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CUDA Runtime API 12.6.0: 6.Modules 总结报告</w:t>
      </w:r>
    </w:p>
    <w:p>
      <w:pPr>
        <w:pStyle w:val="SubtitleSmall"/>
      </w:pPr>
      <w:r>
        <w:t>调研对象: NVIDIA CUDA Runtime API 文档归档版 12.6.0 | 重点章节: 6.Modules | 生成日期: 2026-06-09</w:t>
      </w:r>
    </w:p>
    <w:p>
      <w:pPr>
        <w:pStyle w:val="Callout"/>
        <w:shd w:fill="F4F6F9"/>
      </w:pPr>
      <w:r>
        <w:rPr>
          <w:b/>
        </w:rPr>
        <w:t xml:space="preserve">结论摘要: </w:t>
      </w:r>
      <w:r>
        <w:t>6.Modules 是 CUDA Runtime API 的功能分组索引，而不是 Driver API 中的模块加载概念。它把 Runtime API 拆成设备、错误、流/事件、执行、内存、图管理、互操作、版本和类型等模块，适合作为调研 CUDA Runtime 行为和 CUPTI callback 观测点的主目录。</w:t>
      </w:r>
    </w:p>
    <w:p>
      <w:pPr>
        <w:pStyle w:val="Heading1"/>
      </w:pPr>
      <w:r>
        <w:t>1. 文档范围与阅读目标</w:t>
      </w:r>
    </w:p>
    <w:p>
      <w:r>
        <w:t>本报告总结 NVIDIA CUDA Toolkit v12.6.0 归档文档中 CUDA Runtime API 的 6.Modules 章节。该章节列出所有 Runtime API 模块，并链接到每个模块的函数清单和详细说明。调研目标不是逐字翻译每个 API，而是建立一张可用于后续实验、CUPTI callback 追踪和代码审计的功能地图。</w:t>
      </w:r>
    </w:p>
    <w:p>
      <w:pPr>
        <w:pStyle w:val="ListBullet"/>
      </w:pPr>
      <w:r>
        <w:t>确认 6.Modules 的定位: Runtime API 按功能组织的索引。</w:t>
      </w:r>
    </w:p>
    <w:p>
      <w:pPr>
        <w:pStyle w:val="ListBullet"/>
      </w:pPr>
      <w:r>
        <w:t>整理核心模块之间的关系: 设备选择、内存生命周期、执行调度、同步与错误处理。</w:t>
      </w:r>
    </w:p>
    <w:p>
      <w:pPr>
        <w:pStyle w:val="ListBullet"/>
      </w:pPr>
      <w:r>
        <w:t>标出已弃用模块，避免后续样例代码或实验依赖过时接口。</w:t>
      </w:r>
    </w:p>
    <w:p>
      <w:pPr>
        <w:pStyle w:val="ListBullet"/>
      </w:pPr>
      <w:r>
        <w:t>给出面向 CUPTI callback API 调研的优先阅读路径。</w:t>
      </w:r>
    </w:p>
    <w:p>
      <w:pPr>
        <w:pStyle w:val="Heading1"/>
      </w:pPr>
      <w:r>
        <w:t>2. 6.Modules 的整体结构</w:t>
      </w:r>
    </w:p>
    <w:p>
      <w:r>
        <w:t>官方文档在 6.Modules 下列出 35 个模块。它们可以归纳为七类: 基础运行时状态、执行与同步、内存体系、图管理、外部/图形互操作、Runtime/Driver 交界，以及弃用接口。这个归类比文档原始列表更利于实验设计。</w:t>
      </w:r>
    </w:p>
    <w:tbl>
      <w:tblPr>
        <w:tblStyle w:val="TableGrid"/>
        <w:tblW w:type="dxa" w:w="10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00"/>
        <w:gridCol w:w="3600"/>
        <w:gridCol w:w="4860"/>
      </w:tblGrid>
      <w:tr>
        <w:trPr>
          <w:tblHeader w:val="true"/>
        </w:trPr>
        <w:tc>
          <w:tcPr>
            <w:tcW w:type="dxa" w:w="1900"/>
            <w:shd w:fill="F2F4F7"/>
            <w:vAlign w:val="center"/>
          </w:tcPr>
          <w:p>
            <w:r>
              <w:rPr>
                <w:b/>
              </w:rPr>
              <w:t>归类</w:t>
            </w:r>
          </w:p>
        </w:tc>
        <w:tc>
          <w:tcPr>
            <w:tcW w:type="dxa" w:w="3600"/>
            <w:shd w:fill="F2F4F7"/>
            <w:vAlign w:val="center"/>
          </w:tcPr>
          <w:p>
            <w:r>
              <w:rPr>
                <w:b/>
              </w:rPr>
              <w:t>对应模块</w:t>
            </w:r>
          </w:p>
        </w:tc>
        <w:tc>
          <w:tcPr>
            <w:tcW w:type="dxa" w:w="4860"/>
            <w:shd w:fill="F2F4F7"/>
            <w:vAlign w:val="center"/>
          </w:tcPr>
          <w:p>
            <w:r>
              <w:rPr>
                <w:b/>
              </w:rPr>
              <w:t>调研价值</w:t>
            </w:r>
          </w:p>
        </w:tc>
      </w:tr>
      <w:tr>
        <w:tc>
          <w:tcPr>
            <w:tcW w:type="dxa" w:w="1900"/>
            <w:vAlign w:val="center"/>
          </w:tcPr>
          <w:p>
            <w:r>
              <w:t>基础运行时状态</w:t>
            </w:r>
          </w:p>
        </w:tc>
        <w:tc>
          <w:tcPr>
            <w:tcW w:type="dxa" w:w="3600"/>
            <w:vAlign w:val="center"/>
          </w:tcPr>
          <w:p>
            <w:r>
              <w:t>Device Management, Error Handling, Version Management, Data types</w:t>
            </w:r>
          </w:p>
        </w:tc>
        <w:tc>
          <w:tcPr>
            <w:tcW w:type="dxa" w:w="4860"/>
            <w:vAlign w:val="center"/>
          </w:tcPr>
          <w:p>
            <w:r>
              <w:t>建立上下文、设备选择、错误状态和版本边界，是所有 Runtime 调用的前置知识。</w:t>
            </w:r>
          </w:p>
        </w:tc>
      </w:tr>
      <w:tr>
        <w:tc>
          <w:tcPr>
            <w:tcW w:type="dxa" w:w="1900"/>
            <w:vAlign w:val="center"/>
          </w:tcPr>
          <w:p>
            <w:r>
              <w:t>执行与同步</w:t>
            </w:r>
          </w:p>
        </w:tc>
        <w:tc>
          <w:tcPr>
            <w:tcW w:type="dxa" w:w="3600"/>
            <w:vAlign w:val="center"/>
          </w:tcPr>
          <w:p>
            <w:r>
              <w:t>Stream Management, Event Management, Execution Control, Occupancy, Profiler Control</w:t>
            </w:r>
          </w:p>
        </w:tc>
        <w:tc>
          <w:tcPr>
            <w:tcW w:type="dxa" w:w="4860"/>
            <w:vAlign w:val="center"/>
          </w:tcPr>
          <w:p>
            <w:r>
              <w:t>覆盖 kernel launch、stream/event 同步、occupancy 查询和 profiler 控制，是 callback 追踪的核心区域。</w:t>
            </w:r>
          </w:p>
        </w:tc>
      </w:tr>
      <w:tr>
        <w:tc>
          <w:tcPr>
            <w:tcW w:type="dxa" w:w="1900"/>
            <w:vAlign w:val="center"/>
          </w:tcPr>
          <w:p>
            <w:r>
              <w:t>内存体系</w:t>
            </w:r>
          </w:p>
        </w:tc>
        <w:tc>
          <w:tcPr>
            <w:tcW w:type="dxa" w:w="3600"/>
            <w:vAlign w:val="center"/>
          </w:tcPr>
          <w:p>
            <w:r>
              <w:t>Memory Management, Stream Ordered Memory Allocator, Unified Addressing, Peer Device Memory Access</w:t>
            </w:r>
          </w:p>
        </w:tc>
        <w:tc>
          <w:tcPr>
            <w:tcW w:type="dxa" w:w="4860"/>
            <w:vAlign w:val="center"/>
          </w:tcPr>
          <w:p>
            <w:r>
              <w:t>覆盖 device/host pinned/unified/peer/async allocation 与 memcpy，是数据路径调研的主线。</w:t>
            </w:r>
          </w:p>
        </w:tc>
      </w:tr>
      <w:tr>
        <w:tc>
          <w:tcPr>
            <w:tcW w:type="dxa" w:w="1900"/>
            <w:vAlign w:val="center"/>
          </w:tcPr>
          <w:p>
            <w:r>
              <w:t>图管理</w:t>
            </w:r>
          </w:p>
        </w:tc>
        <w:tc>
          <w:tcPr>
            <w:tcW w:type="dxa" w:w="3600"/>
            <w:vAlign w:val="center"/>
          </w:tcPr>
          <w:p>
            <w:r>
              <w:t>Graph Management</w:t>
            </w:r>
          </w:p>
        </w:tc>
        <w:tc>
          <w:tcPr>
            <w:tcW w:type="dxa" w:w="4860"/>
            <w:vAlign w:val="center"/>
          </w:tcPr>
          <w:p>
            <w:r>
              <w:t>覆盖 CUDA Graph 的节点、依赖、实例化、更新和 launch，适合研究捕获后 Runtime 调用粒度变化。</w:t>
            </w:r>
          </w:p>
        </w:tc>
      </w:tr>
      <w:tr>
        <w:tc>
          <w:tcPr>
            <w:tcW w:type="dxa" w:w="1900"/>
            <w:vAlign w:val="center"/>
          </w:tcPr>
          <w:p>
            <w:r>
              <w:t>外部与图形互操作</w:t>
            </w:r>
          </w:p>
        </w:tc>
        <w:tc>
          <w:tcPr>
            <w:tcW w:type="dxa" w:w="3600"/>
            <w:vAlign w:val="center"/>
          </w:tcPr>
          <w:p>
            <w:r>
              <w:t>External Resource Interoperability, Graphics/OpenGL/Direct3D/VDPAU/EGL, Texture/Surface Object</w:t>
            </w:r>
          </w:p>
        </w:tc>
        <w:tc>
          <w:tcPr>
            <w:tcW w:type="dxa" w:w="4860"/>
            <w:vAlign w:val="center"/>
          </w:tcPr>
          <w:p>
            <w:r>
              <w:t>用于 CUDA 与图形 API、外部 memory/semaphore、texture/surface 对象共享资源的场景。</w:t>
            </w:r>
          </w:p>
        </w:tc>
      </w:tr>
      <w:tr>
        <w:tc>
          <w:tcPr>
            <w:tcW w:type="dxa" w:w="1900"/>
            <w:vAlign w:val="center"/>
          </w:tcPr>
          <w:p>
            <w:r>
              <w:t>Runtime/Driver 交界</w:t>
            </w:r>
          </w:p>
        </w:tc>
        <w:tc>
          <w:tcPr>
            <w:tcW w:type="dxa" w:w="3600"/>
            <w:vAlign w:val="center"/>
          </w:tcPr>
          <w:p>
            <w:r>
              <w:t>Driver Entry Point Access, C++ API Routines, Interactions with the CUDA Driver API</w:t>
            </w:r>
          </w:p>
        </w:tc>
        <w:tc>
          <w:tcPr>
            <w:tcW w:type="dxa" w:w="4860"/>
            <w:vAlign w:val="center"/>
          </w:tcPr>
          <w:p>
            <w:r>
              <w:t>帮助区分 Runtime 包装层和底层 Driver API，适合与 CUPTI callback domain 对照。</w:t>
            </w:r>
          </w:p>
        </w:tc>
      </w:tr>
      <w:tr>
        <w:tc>
          <w:tcPr>
            <w:tcW w:type="dxa" w:w="1900"/>
            <w:vAlign w:val="center"/>
          </w:tcPr>
          <w:p>
            <w:r>
              <w:t>弃用接口</w:t>
            </w:r>
          </w:p>
        </w:tc>
        <w:tc>
          <w:tcPr>
            <w:tcW w:type="dxa" w:w="3600"/>
            <w:vAlign w:val="center"/>
          </w:tcPr>
          <w:p>
            <w:r>
              <w:t>Device/Thread/Execution/Memory Management [DEPRECATED] 与旧图形互操作模块</w:t>
            </w:r>
          </w:p>
        </w:tc>
        <w:tc>
          <w:tcPr>
            <w:tcW w:type="dxa" w:w="4860"/>
            <w:vAlign w:val="center"/>
          </w:tcPr>
          <w:p>
            <w:r>
              <w:t>用于识别历史样例和兼容代码，新实验应优先使用非 deprecated API。</w:t>
            </w:r>
          </w:p>
        </w:tc>
      </w:tr>
    </w:tbl>
    <w:p>
      <w:pPr>
        <w:pStyle w:val="Heading1"/>
      </w:pPr>
      <w:r>
        <w:t>3. 核心模块解读</w:t>
      </w:r>
    </w:p>
    <w:p>
      <w:pPr>
        <w:pStyle w:val="Heading2"/>
      </w:pPr>
      <w:r>
        <w:t>3.1 Device Management</w:t>
      </w:r>
    </w:p>
    <w:p>
      <w:r>
        <w:t>设备管理模块负责选择、初始化、查询和重置 CUDA 设备。典型 API 包括 cudaGetDeviceCount、cudaSetDevice、cudaGetDeviceProperties、cudaDeviceGetAttribute、cudaDeviceSynchronize、cudaDeviceReset 等。这一模块是 Runtime API 状态机的入口: 第一次调用可能触发 Runtime 内部初始化，错误也可能来自初始化失败、驱动不足或无设备。</w:t>
      </w:r>
    </w:p>
    <w:p>
      <w:pPr>
        <w:pStyle w:val="Heading2"/>
      </w:pPr>
      <w:r>
        <w:t>3.2 Error Handling</w:t>
      </w:r>
    </w:p>
    <w:p>
      <w:r>
        <w:t>错误处理模块很小，但在实验中非常关键。cudaGetLastError 会读取并重置当前 host thread 中 Runtime 实例的最后错误，cudaPeekAtLastError 只读取不重置，cudaGetErrorName 和 cudaGetErrorString 用于把错误码转为可读文本。由于很多 Runtime API 可能返回此前异步 launch 的错误，实验代码需要在 kernel launch 后用同步和错误检查区分 launch 配置错误与执行期错误。</w:t>
      </w:r>
    </w:p>
    <w:p>
      <w:pPr>
        <w:pStyle w:val="Heading2"/>
      </w:pPr>
      <w:r>
        <w:t>3.3 Stream 与 Event Management</w:t>
      </w:r>
    </w:p>
    <w:p>
      <w:r>
        <w:t>Stream 是 Runtime API 中组织异步工作的基础队列，Event 是记录时序、同步和依赖的轻量对象。Stream Management 包含 stream 创建/销毁、查询、同步、等待事件、capture 到 graph、属性设置等函数。Event Management 则负责事件创建、记录、同步、elapsed time 等。调研 callback 时，stream/event API 是最容易观察异步语义的位置。</w:t>
      </w:r>
    </w:p>
    <w:p>
      <w:pPr>
        <w:pStyle w:val="Heading2"/>
      </w:pPr>
      <w:r>
        <w:t>3.4 Execution Control</w:t>
      </w:r>
    </w:p>
    <w:p>
      <w:r>
        <w:t>执行控制模块覆盖 kernel launch 和函数属性。重点 API 包括 cudaLaunchKernel、cudaLaunchKernelExC、cudaLaunchCooperativeKernel、cudaFuncGetAttributes、cudaFuncSetAttribute、cudaFuncSetCacheConfig 等。对 CUPTI 来说，kernel launch 是 Runtime API callback 与 activity trace 之间最重要的连接点。</w:t>
      </w:r>
    </w:p>
    <w:p>
      <w:pPr>
        <w:pStyle w:val="Heading2"/>
      </w:pPr>
      <w:r>
        <w:t>3.5 Memory Management</w:t>
      </w:r>
    </w:p>
    <w:p>
      <w:r>
        <w:t>内存管理模块覆盖 cudaMalloc/cudaFree、cudaMemcpy 系列、cudaHostAlloc/cudaHostRegister、CUDA array、mipmapped array、symbol 地址和大小查询等。它定义了大多数 CUDA 程序的数据生命周期。对于调研 Runtime API，建议把内存 API 分为分配、释放、拷贝、host pinned memory、array/symbol 五组分别测试。</w:t>
      </w:r>
    </w:p>
    <w:p>
      <w:pPr>
        <w:pStyle w:val="Heading2"/>
      </w:pPr>
      <w:r>
        <w:t>3.6 Stream Ordered Memory Allocator</w:t>
      </w:r>
    </w:p>
    <w:p>
      <w:r>
        <w:t>该模块对应 cudaMallocAsync、cudaFreeAsync 和 memory pool 相关行为。它把内存分配/释放纳入 stream 顺序，与传统 cudaMalloc/cudaFree 的同步行为不同。若后续研究异步内存分配与 CUPTI 事件顺序，这一模块值得单独设计样例。</w:t>
      </w:r>
    </w:p>
    <w:p>
      <w:pPr>
        <w:pStyle w:val="Heading2"/>
      </w:pPr>
      <w:r>
        <w:t>3.7 Graph Management</w:t>
      </w:r>
    </w:p>
    <w:p>
      <w:r>
        <w:t>Graph Management 提供 CUDA Graph 的构建、节点添加、依赖管理、实例化、更新、launch 和销毁。当 stream capture 生成 graph 后，原本一串 Runtime 调用会被压缩为 graph launch 形态，这会改变 callback 中可见的调用粒度，因此 graph 是 callback 调研的高级重点。</w:t>
      </w:r>
    </w:p>
    <w:p>
      <w:pPr>
        <w:pStyle w:val="Heading1"/>
      </w:pPr>
      <w:r>
        <w:t>4. 对 CUPTI Runtime Callback 调研的启发</w:t>
      </w:r>
    </w:p>
    <w:p>
      <w:r>
        <w:t>如果当前目标是理解 CUDA Runtime API，并结合 CUPTI callback 做实验，建议先不要从 35 个模块平均展开，而是围绕程序主路径构造最小样例: 设备初始化、内存分配、数据拷贝、kernel launch、同步、释放资源。</w:t>
      </w:r>
    </w:p>
    <w:p>
      <w:pPr>
        <w:pStyle w:val="ListNumber"/>
      </w:pPr>
      <w:r>
        <w:t>先用 cudaGetDeviceCount、cudaSetDevice、cudaGetDeviceProperties 验证设备管理 callback。</w:t>
      </w:r>
    </w:p>
    <w:p>
      <w:pPr>
        <w:pStyle w:val="ListNumber"/>
      </w:pPr>
      <w:r>
        <w:t>加入 cudaMalloc、cudaMemcpy、cudaFree，观察 Runtime API callback 的 enter/exit 时机和返回错误码。</w:t>
      </w:r>
    </w:p>
    <w:p>
      <w:pPr>
        <w:pStyle w:val="ListNumber"/>
      </w:pPr>
      <w:r>
        <w:t>加入 cudaLaunchKernel 或普通 &lt;&lt;&lt;&gt;&gt;&gt; kernel launch，比较 Runtime callback 与 kernel activity 记录。</w:t>
      </w:r>
    </w:p>
    <w:p>
      <w:pPr>
        <w:pStyle w:val="ListNumber"/>
      </w:pPr>
      <w:r>
        <w:t>加入 cudaStreamCreate、cudaMemcpyAsync、cudaEventRecord、cudaStreamSynchronize，观察异步 API 的时间边界。</w:t>
      </w:r>
    </w:p>
    <w:p>
      <w:pPr>
        <w:pStyle w:val="ListNumber"/>
      </w:pPr>
      <w:r>
        <w:t>最后加入 cudaStreamBeginCapture/cudaStreamEndCapture、cudaGraphInstantiate、cudaGraphLaunch，比较 graph 前后调用模式。</w:t>
      </w:r>
    </w:p>
    <w:p>
      <w:pPr>
        <w:pStyle w:val="Heading1"/>
      </w:pPr>
      <w:r>
        <w:t>5. 建议阅读顺序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800"/>
        <w:gridCol w:w="2100"/>
        <w:gridCol w:w="3300"/>
        <w:gridCol w:w="3160"/>
      </w:tblGrid>
      <w:tr>
        <w:trPr>
          <w:tblHeader w:val="true"/>
        </w:trPr>
        <w:tc>
          <w:tcPr>
            <w:tcW w:type="dxa" w:w="800"/>
            <w:shd w:fill="E8EEF5"/>
            <w:vAlign w:val="center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100"/>
            <w:shd w:fill="E8EEF5"/>
            <w:vAlign w:val="center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3300"/>
            <w:shd w:fill="E8EEF5"/>
            <w:vAlign w:val="center"/>
          </w:tcPr>
          <w:p>
            <w:r>
              <w:rPr>
                <w:b/>
              </w:rPr>
              <w:t>优先 API</w:t>
            </w:r>
          </w:p>
        </w:tc>
        <w:tc>
          <w:tcPr>
            <w:tcW w:type="dxa" w:w="3160"/>
            <w:shd w:fill="E8EEF5"/>
            <w:vAlign w:val="center"/>
          </w:tcPr>
          <w:p>
            <w:r>
              <w:rPr>
                <w:b/>
              </w:rPr>
              <w:t>目的</w:t>
            </w:r>
          </w:p>
        </w:tc>
      </w:tr>
      <w:tr>
        <w:tc>
          <w:tcPr>
            <w:tcW w:type="dxa" w:w="800"/>
            <w:vAlign w:val="center"/>
          </w:tcPr>
          <w:p>
            <w:r>
              <w:t>1</w:t>
            </w:r>
          </w:p>
        </w:tc>
        <w:tc>
          <w:tcPr>
            <w:tcW w:type="dxa" w:w="2100"/>
            <w:vAlign w:val="center"/>
          </w:tcPr>
          <w:p>
            <w:r>
              <w:t>Device + Error</w:t>
            </w:r>
          </w:p>
        </w:tc>
        <w:tc>
          <w:tcPr>
            <w:tcW w:type="dxa" w:w="3300"/>
            <w:vAlign w:val="center"/>
          </w:tcPr>
          <w:p>
            <w:r>
              <w:t>cudaGetDeviceCount, cudaSetDevice, cudaGetLastError</w:t>
            </w:r>
          </w:p>
        </w:tc>
        <w:tc>
          <w:tcPr>
            <w:tcW w:type="dxa" w:w="3160"/>
            <w:vAlign w:val="center"/>
          </w:tcPr>
          <w:p>
            <w:r>
              <w:t>建立 Runtime 初始化和错误检查框架</w:t>
            </w:r>
          </w:p>
        </w:tc>
      </w:tr>
      <w:tr>
        <w:tc>
          <w:tcPr>
            <w:tcW w:type="dxa" w:w="800"/>
            <w:vAlign w:val="center"/>
          </w:tcPr>
          <w:p>
            <w:r>
              <w:t>2</w:t>
            </w:r>
          </w:p>
        </w:tc>
        <w:tc>
          <w:tcPr>
            <w:tcW w:type="dxa" w:w="2100"/>
            <w:vAlign w:val="center"/>
          </w:tcPr>
          <w:p>
            <w:r>
              <w:t>Memory</w:t>
            </w:r>
          </w:p>
        </w:tc>
        <w:tc>
          <w:tcPr>
            <w:tcW w:type="dxa" w:w="3300"/>
            <w:vAlign w:val="center"/>
          </w:tcPr>
          <w:p>
            <w:r>
              <w:t>cudaMalloc, cudaMemcpy, cudaFree</w:t>
            </w:r>
          </w:p>
        </w:tc>
        <w:tc>
          <w:tcPr>
            <w:tcW w:type="dxa" w:w="3160"/>
            <w:vAlign w:val="center"/>
          </w:tcPr>
          <w:p>
            <w:r>
              <w:t>覆盖数据生命周期主线</w:t>
            </w:r>
          </w:p>
        </w:tc>
      </w:tr>
      <w:tr>
        <w:tc>
          <w:tcPr>
            <w:tcW w:type="dxa" w:w="800"/>
            <w:vAlign w:val="center"/>
          </w:tcPr>
          <w:p>
            <w:r>
              <w:t>3</w:t>
            </w:r>
          </w:p>
        </w:tc>
        <w:tc>
          <w:tcPr>
            <w:tcW w:type="dxa" w:w="2100"/>
            <w:vAlign w:val="center"/>
          </w:tcPr>
          <w:p>
            <w:r>
              <w:t>Execution</w:t>
            </w:r>
          </w:p>
        </w:tc>
        <w:tc>
          <w:tcPr>
            <w:tcW w:type="dxa" w:w="3300"/>
            <w:vAlign w:val="center"/>
          </w:tcPr>
          <w:p>
            <w:r>
              <w:t>cudaLaunchKernel, cudaFuncGetAttributes</w:t>
            </w:r>
          </w:p>
        </w:tc>
        <w:tc>
          <w:tcPr>
            <w:tcW w:type="dxa" w:w="3160"/>
            <w:vAlign w:val="center"/>
          </w:tcPr>
          <w:p>
            <w:r>
              <w:t>理解 kernel launch 与函数属性</w:t>
            </w:r>
          </w:p>
        </w:tc>
      </w:tr>
      <w:tr>
        <w:tc>
          <w:tcPr>
            <w:tcW w:type="dxa" w:w="800"/>
            <w:vAlign w:val="center"/>
          </w:tcPr>
          <w:p>
            <w:r>
              <w:t>4</w:t>
            </w:r>
          </w:p>
        </w:tc>
        <w:tc>
          <w:tcPr>
            <w:tcW w:type="dxa" w:w="2100"/>
            <w:vAlign w:val="center"/>
          </w:tcPr>
          <w:p>
            <w:r>
              <w:t>Stream + Event</w:t>
            </w:r>
          </w:p>
        </w:tc>
        <w:tc>
          <w:tcPr>
            <w:tcW w:type="dxa" w:w="3300"/>
            <w:vAlign w:val="center"/>
          </w:tcPr>
          <w:p>
            <w:r>
              <w:t>cudaStreamCreate, cudaEventRecord, cudaStreamSynchronize</w:t>
            </w:r>
          </w:p>
        </w:tc>
        <w:tc>
          <w:tcPr>
            <w:tcW w:type="dxa" w:w="3160"/>
            <w:vAlign w:val="center"/>
          </w:tcPr>
          <w:p>
            <w:r>
              <w:t>理解异步队列和同步语义</w:t>
            </w:r>
          </w:p>
        </w:tc>
      </w:tr>
      <w:tr>
        <w:tc>
          <w:tcPr>
            <w:tcW w:type="dxa" w:w="800"/>
            <w:vAlign w:val="center"/>
          </w:tcPr>
          <w:p>
            <w:r>
              <w:t>5</w:t>
            </w:r>
          </w:p>
        </w:tc>
        <w:tc>
          <w:tcPr>
            <w:tcW w:type="dxa" w:w="2100"/>
            <w:vAlign w:val="center"/>
          </w:tcPr>
          <w:p>
            <w:r>
              <w:t>Graph</w:t>
            </w:r>
          </w:p>
        </w:tc>
        <w:tc>
          <w:tcPr>
            <w:tcW w:type="dxa" w:w="3300"/>
            <w:vAlign w:val="center"/>
          </w:tcPr>
          <w:p>
            <w:r>
              <w:t>cudaStreamBeginCapture, cudaGraphInstantiate, cudaGraphLaunch</w:t>
            </w:r>
          </w:p>
        </w:tc>
        <w:tc>
          <w:tcPr>
            <w:tcW w:type="dxa" w:w="3160"/>
            <w:vAlign w:val="center"/>
          </w:tcPr>
          <w:p>
            <w:r>
              <w:t>研究捕获、实例化和重放后的调用变化</w:t>
            </w:r>
          </w:p>
        </w:tc>
      </w:tr>
      <w:tr>
        <w:tc>
          <w:tcPr>
            <w:tcW w:type="dxa" w:w="800"/>
            <w:vAlign w:val="center"/>
          </w:tcPr>
          <w:p>
            <w:r>
              <w:t>6</w:t>
            </w:r>
          </w:p>
        </w:tc>
        <w:tc>
          <w:tcPr>
            <w:tcW w:type="dxa" w:w="2100"/>
            <w:vAlign w:val="center"/>
          </w:tcPr>
          <w:p>
            <w:r>
              <w:t>Driver API interactions</w:t>
            </w:r>
          </w:p>
        </w:tc>
        <w:tc>
          <w:tcPr>
            <w:tcW w:type="dxa" w:w="3300"/>
            <w:vAlign w:val="center"/>
          </w:tcPr>
          <w:p>
            <w:r>
              <w:t>Runtime/Driver 交互章节</w:t>
            </w:r>
          </w:p>
        </w:tc>
        <w:tc>
          <w:tcPr>
            <w:tcW w:type="dxa" w:w="3160"/>
            <w:vAlign w:val="center"/>
          </w:tcPr>
          <w:p>
            <w:r>
              <w:t>解释 Runtime 封装和 Driver 底层入口的边界</w:t>
            </w:r>
          </w:p>
        </w:tc>
      </w:tr>
    </w:tbl>
    <w:p>
      <w:pPr>
        <w:pStyle w:val="Heading1"/>
      </w:pPr>
      <w:r>
        <w:t>6. 注意事项</w:t>
      </w:r>
    </w:p>
    <w:p>
      <w:pPr>
        <w:pStyle w:val="ListBullet"/>
      </w:pPr>
      <w:r>
        <w:t>6.Modules 的模块名是文档分类，不等同于 CUDA Driver API 的 CUmodule 或动态加载模块。</w:t>
      </w:r>
    </w:p>
    <w:p>
      <w:pPr>
        <w:pStyle w:val="ListBullet"/>
      </w:pPr>
      <w:r>
        <w:t>标记为 [DEPRECATED] 的模块更适合历史代码排查，新样例应使用非弃用接口。</w:t>
      </w:r>
    </w:p>
    <w:p>
      <w:pPr>
        <w:pStyle w:val="ListBullet"/>
      </w:pPr>
      <w:r>
        <w:t>很多 Runtime API 文档都会提示可能返回此前异步 launch 的错误，因此实验日志要同时记录 API 返回值和同步点。</w:t>
      </w:r>
    </w:p>
    <w:p>
      <w:pPr>
        <w:pStyle w:val="ListBullet"/>
      </w:pPr>
      <w:r>
        <w:t>C++ API Routines 中存在模板重载版本，若使用 &lt;&lt;&lt;&gt;&gt;&gt; 或模板包装，callback 看到的底层 Runtime 调用可能需要结合编译结果理解。</w:t>
      </w:r>
    </w:p>
    <w:p>
      <w:pPr>
        <w:pStyle w:val="ListBullet"/>
      </w:pPr>
      <w:r>
        <w:t>Graph 和 async allocator 会改变传统同步/分配模型，建议在基础 Runtime API 样例稳定后再加入。</w:t>
      </w:r>
    </w:p>
    <w:p>
      <w:pPr>
        <w:pStyle w:val="Heading1"/>
      </w:pPr>
      <w:r>
        <w:t>7. 参考资料</w:t>
      </w:r>
    </w:p>
    <w:p>
      <w:pPr>
        <w:pStyle w:val="Source"/>
      </w:pPr>
      <w:r>
        <w:t xml:space="preserve">CUDA Runtime API v12.6.0 - 6.Modules: </w:t>
      </w:r>
      <w:hyperlink r:id="rId10">
        <w:r>
          <w:rPr>
            <w:color w:val="0563C1"/>
            <w:u w:val="single"/>
          </w:rPr>
          <w:t>https://docs.nvidia.com/cuda/archive/12.6.0/cuda-runtime-api/modules.html</w:t>
        </w:r>
      </w:hyperlink>
    </w:p>
    <w:p>
      <w:pPr>
        <w:pStyle w:val="Source"/>
      </w:pPr>
      <w:r>
        <w:t xml:space="preserve">Device Management: </w:t>
      </w:r>
      <w:hyperlink r:id="rId11">
        <w:r>
          <w:rPr>
            <w:color w:val="0563C1"/>
            <w:u w:val="single"/>
          </w:rPr>
          <w:t>https://docs.nvidia.com/cuda/archive/12.6.0/cuda-runtime-api/group__CUDART__DEVICE.html</w:t>
        </w:r>
      </w:hyperlink>
    </w:p>
    <w:p>
      <w:pPr>
        <w:pStyle w:val="Source"/>
      </w:pPr>
      <w:r>
        <w:t xml:space="preserve">Error Handling: </w:t>
      </w:r>
      <w:hyperlink r:id="rId12">
        <w:r>
          <w:rPr>
            <w:color w:val="0563C1"/>
            <w:u w:val="single"/>
          </w:rPr>
          <w:t>https://docs.nvidia.com/cuda/archive/12.6.0/cuda-runtime-api/group__CUDART__ERROR.html</w:t>
        </w:r>
      </w:hyperlink>
    </w:p>
    <w:p>
      <w:pPr>
        <w:pStyle w:val="Source"/>
      </w:pPr>
      <w:r>
        <w:t xml:space="preserve">Stream Management: </w:t>
      </w:r>
      <w:hyperlink r:id="rId13">
        <w:r>
          <w:rPr>
            <w:color w:val="0563C1"/>
            <w:u w:val="single"/>
          </w:rPr>
          <w:t>https://docs.nvidia.com/cuda/archive/12.6.0/cuda-runtime-api/group__CUDART__STREAM.html</w:t>
        </w:r>
      </w:hyperlink>
    </w:p>
    <w:p>
      <w:pPr>
        <w:pStyle w:val="Source"/>
      </w:pPr>
      <w:r>
        <w:t xml:space="preserve">Execution Control: </w:t>
      </w:r>
      <w:hyperlink r:id="rId14">
        <w:r>
          <w:rPr>
            <w:color w:val="0563C1"/>
            <w:u w:val="single"/>
          </w:rPr>
          <w:t>https://docs.nvidia.com/cuda/archive/12.6.0/cuda-runtime-api/group__CUDART__EXECUTION.html</w:t>
        </w:r>
      </w:hyperlink>
    </w:p>
    <w:p>
      <w:pPr>
        <w:pStyle w:val="Source"/>
      </w:pPr>
      <w:r>
        <w:t xml:space="preserve">Memory Management: </w:t>
      </w:r>
      <w:hyperlink r:id="rId15">
        <w:r>
          <w:rPr>
            <w:color w:val="0563C1"/>
            <w:u w:val="single"/>
          </w:rPr>
          <w:t>https://docs.nvidia.com/cuda/archive/12.6.0/cuda-runtime-api/group__CUDART__MEMORY.html</w:t>
        </w:r>
      </w:hyperlink>
    </w:p>
    <w:p>
      <w:pPr>
        <w:pStyle w:val="Source"/>
      </w:pPr>
      <w:r>
        <w:t xml:space="preserve">Graph Management: </w:t>
      </w:r>
      <w:hyperlink r:id="rId16">
        <w:r>
          <w:rPr>
            <w:color w:val="0563C1"/>
            <w:u w:val="single"/>
          </w:rPr>
          <w:t>https://docs.nvidia.com/cuda/archive/12.6.0/cuda-runtime-api/group__CUDART__GRAPH.html</w:t>
        </w:r>
      </w:hyperlink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>CUDA Runtime API 6.Modules 调研报告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Small">
    <w:name w:val="Subtitle Small"/>
    <w:basedOn w:val="Normal"/>
    <w:pPr>
      <w:spacing w:after="280"/>
    </w:pPr>
    <w:rPr>
      <w:rFonts w:ascii="Microsoft YaHei" w:hAnsi="Microsoft YaHei" w:eastAsia="Microsoft YaHei"/>
      <w:color w:val="555555"/>
      <w:sz w:val="21"/>
    </w:rPr>
  </w:style>
  <w:style w:type="paragraph" w:customStyle="1" w:styleId="Callout">
    <w:name w:val="Callout"/>
    <w:basedOn w:val="Normal"/>
    <w:pPr>
      <w:spacing w:before="80" w:after="160"/>
      <w:ind w:left="259" w:right="173"/>
    </w:pPr>
    <w:rPr>
      <w:rFonts w:ascii="Microsoft YaHei" w:hAnsi="Microsoft YaHei" w:eastAsia="Microsoft YaHei"/>
      <w:color w:val="1F3A5F"/>
      <w:sz w:val="21"/>
    </w:rPr>
  </w:style>
  <w:style w:type="paragraph" w:customStyle="1" w:styleId="Source">
    <w:name w:val="Source"/>
    <w:basedOn w:val="Normal"/>
    <w:pPr>
      <w:spacing w:after="80"/>
    </w:pPr>
    <w:rPr>
      <w:rFonts w:ascii="Microsoft YaHei" w:hAnsi="Microsoft YaHei" w:eastAsia="Microsoft YaHei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cs.nvidia.com/cuda/archive/12.6.0/cuda-runtime-api/modules.html" TargetMode="External"/><Relationship Id="rId11" Type="http://schemas.openxmlformats.org/officeDocument/2006/relationships/hyperlink" Target="https://docs.nvidia.com/cuda/archive/12.6.0/cuda-runtime-api/group__CUDART__DEVICE.html" TargetMode="External"/><Relationship Id="rId12" Type="http://schemas.openxmlformats.org/officeDocument/2006/relationships/hyperlink" Target="https://docs.nvidia.com/cuda/archive/12.6.0/cuda-runtime-api/group__CUDART__ERROR.html" TargetMode="External"/><Relationship Id="rId13" Type="http://schemas.openxmlformats.org/officeDocument/2006/relationships/hyperlink" Target="https://docs.nvidia.com/cuda/archive/12.6.0/cuda-runtime-api/group__CUDART__STREAM.html" TargetMode="External"/><Relationship Id="rId14" Type="http://schemas.openxmlformats.org/officeDocument/2006/relationships/hyperlink" Target="https://docs.nvidia.com/cuda/archive/12.6.0/cuda-runtime-api/group__CUDART__EXECUTION.html" TargetMode="External"/><Relationship Id="rId15" Type="http://schemas.openxmlformats.org/officeDocument/2006/relationships/hyperlink" Target="https://docs.nvidia.com/cuda/archive/12.6.0/cuda-runtime-api/group__CUDART__MEMORY.html" TargetMode="External"/><Relationship Id="rId16" Type="http://schemas.openxmlformats.org/officeDocument/2006/relationships/hyperlink" Target="https://docs.nvidia.com/cuda/archive/12.6.0/cuda-runtime-api/group__CUDART__GRAP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