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DECODE Competition Intelligence Project</w:t>
      </w:r>
    </w:p>
    <w:p>
      <w:pPr>
        <w:jc w:val="center"/>
      </w:pPr>
      <w:r>
        <w:rPr>
          <w:b/>
          <w:sz w:val="28"/>
        </w:rPr>
        <w:t>Complete analysis of Candidate Dataset 1 for Team 3470</w:t>
      </w:r>
    </w:p>
    <w:p>
      <w:pPr>
        <w:jc w:val="center"/>
      </w:pPr>
      <w:r>
        <w:t>Python-based, explainable analysis. No machine learning used.</w:t>
      </w:r>
    </w:p>
    <w:p/>
    <w:p>
      <w:pPr>
        <w:pStyle w:val="Heading1"/>
      </w:pPr>
      <w:r>
        <w:t>Executive Summary</w:t>
      </w:r>
    </w:p>
    <w:p>
      <w:r>
        <w:t>After cleaning 109 raw observations into 108 analysis-ready rows, the strongest overall robot is T08. Team 3470 ranks 6th overall in the balanced model and is strongest in cycle speed, reliability, and autonomous leave. Its clearest performance bottleneck is a late-event slowdown associated with the overflow/intake path, while its raw scoring-action volume is only mid-field despite fast cycles.</w:t>
      </w:r>
    </w:p>
    <w:p>
      <w:pPr>
        <w:pStyle w:val="ListBullet"/>
      </w:pPr>
      <w:r>
        <w:t>Overall top five: T08, T14, T05, T17, T07.</w:t>
      </w:r>
    </w:p>
    <w:p>
      <w:pPr>
        <w:pStyle w:val="ListBullet"/>
      </w:pPr>
      <w:r>
        <w:t>Best partners for 3470: T08, T14, T17, T02, T06.</w:t>
      </w:r>
    </w:p>
    <w:p>
      <w:pPr>
        <w:pStyle w:val="ListBullet"/>
      </w:pPr>
      <w:r>
        <w:t>Most reliable: T02, T17, 3470, T08, T03.</w:t>
      </w:r>
    </w:p>
    <w:p>
      <w:pPr>
        <w:pStyle w:val="ListBullet"/>
      </w:pPr>
      <w:r>
        <w:t>3470: 100% autonomous leave, 0 recorded breakdowns, 15.03 s average cycle time, 10.5 average recorded scoring actions, 50% motif completion.</w:t>
      </w:r>
    </w:p>
    <w:p>
      <w:pPr>
        <w:pStyle w:val="ListBullet"/>
      </w:pPr>
      <w:r>
        <w:t>Primary 3470 priority: fix late-match throughput before chasing more speed.</w:t>
      </w:r>
    </w:p>
    <w:p>
      <w:pPr>
        <w:pStyle w:val="Heading1"/>
      </w:pPr>
      <w:r>
        <w:t>1. Data Cleaning and Method</w:t>
      </w:r>
    </w:p>
    <w:p>
      <w:r>
        <w:t>The analysis starts with the supplied scouting export and preserves raw observations whenever the data does not justify a correction. One exact duplicate was removed. Missing values were not imputed. Suspicious values were flagged, and only one low-confidence extreme CL value was excluded from CL-based aggregates while its raw value remained in the cleaned dataset.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D9EAF7"/>
          </w:tcPr>
          <w:p>
            <w:r/>
            <w:r>
              <w:rPr>
                <w:b/>
                <w:sz w:val="17"/>
              </w:rPr>
              <w:t>Check</w:t>
            </w:r>
          </w:p>
        </w:tc>
        <w:tc>
          <w:tcPr>
            <w:tcW w:type="dxa" w:w="1800"/>
            <w:vAlign w:val="center"/>
            <w:shd w:fill="D9EAF7"/>
          </w:tcPr>
          <w:p>
            <w:r/>
            <w:r>
              <w:rPr>
                <w:b/>
                <w:sz w:val="17"/>
              </w:rPr>
              <w:t>Result</w:t>
            </w:r>
          </w:p>
        </w:tc>
        <w:tc>
          <w:tcPr>
            <w:tcW w:type="dxa" w:w="6192"/>
            <w:vAlign w:val="center"/>
            <w:shd w:fill="D9EAF7"/>
          </w:tcPr>
          <w:p>
            <w:r/>
            <w:r>
              <w:rPr>
                <w:b/>
                <w:sz w:val="17"/>
              </w:rPr>
              <w:t>Interpretation</w:t>
            </w:r>
          </w:p>
        </w:tc>
      </w:tr>
      <w:tr>
        <w:trPr>
          <w:cantSplit/>
        </w:trPr>
        <w:tc>
          <w:tcPr>
            <w:tcW w:type="dxa" w:w="2232"/>
            <w:vAlign w:val="center"/>
          </w:tcPr>
          <w:p>
            <w:r/>
            <w:r>
              <w:rPr>
                <w:b w:val="0"/>
                <w:sz w:val="17"/>
              </w:rPr>
              <w:t>Raw observations</w:t>
            </w:r>
          </w:p>
        </w:tc>
        <w:tc>
          <w:tcPr>
            <w:tcW w:type="dxa" w:w="1800"/>
            <w:vAlign w:val="center"/>
          </w:tcPr>
          <w:p>
            <w:r/>
            <w:r>
              <w:rPr>
                <w:b w:val="0"/>
                <w:sz w:val="17"/>
              </w:rPr>
              <w:t>109</w:t>
            </w:r>
          </w:p>
        </w:tc>
        <w:tc>
          <w:tcPr>
            <w:tcW w:type="dxa" w:w="6192"/>
            <w:vAlign w:val="center"/>
          </w:tcPr>
          <w:p>
            <w:r/>
            <w:r>
              <w:rPr>
                <w:b w:val="0"/>
                <w:sz w:val="17"/>
              </w:rPr>
              <w:t>Before cleaning.</w:t>
            </w:r>
          </w:p>
        </w:tc>
      </w:tr>
      <w:tr>
        <w:trPr>
          <w:cantSplit/>
        </w:trPr>
        <w:tc>
          <w:tcPr>
            <w:tcW w:type="dxa" w:w="2232"/>
            <w:vAlign w:val="center"/>
          </w:tcPr>
          <w:p>
            <w:r/>
            <w:r>
              <w:rPr>
                <w:b w:val="0"/>
                <w:sz w:val="17"/>
              </w:rPr>
              <w:t>Analysis-ready observations</w:t>
            </w:r>
          </w:p>
        </w:tc>
        <w:tc>
          <w:tcPr>
            <w:tcW w:type="dxa" w:w="1800"/>
            <w:vAlign w:val="center"/>
          </w:tcPr>
          <w:p>
            <w:r/>
            <w:r>
              <w:rPr>
                <w:b w:val="0"/>
                <w:sz w:val="17"/>
              </w:rPr>
              <w:t>108</w:t>
            </w:r>
          </w:p>
        </w:tc>
        <w:tc>
          <w:tcPr>
            <w:tcW w:type="dxa" w:w="6192"/>
            <w:vAlign w:val="center"/>
          </w:tcPr>
          <w:p>
            <w:r/>
            <w:r>
              <w:rPr>
                <w:b w:val="0"/>
                <w:sz w:val="17"/>
              </w:rPr>
              <w:t>One exact duplicate removed.</w:t>
            </w:r>
          </w:p>
        </w:tc>
      </w:tr>
      <w:tr>
        <w:trPr>
          <w:cantSplit/>
        </w:trPr>
        <w:tc>
          <w:tcPr>
            <w:tcW w:type="dxa" w:w="2232"/>
            <w:vAlign w:val="center"/>
          </w:tcPr>
          <w:p>
            <w:r/>
            <w:r>
              <w:rPr>
                <w:b w:val="0"/>
                <w:sz w:val="17"/>
              </w:rPr>
              <w:t>Teams</w:t>
            </w:r>
          </w:p>
        </w:tc>
        <w:tc>
          <w:tcPr>
            <w:tcW w:type="dxa" w:w="1800"/>
            <w:vAlign w:val="center"/>
          </w:tcPr>
          <w:p>
            <w:r/>
            <w:r>
              <w:rPr>
                <w:b w:val="0"/>
                <w:sz w:val="17"/>
              </w:rPr>
              <w:t>18</w:t>
            </w:r>
          </w:p>
        </w:tc>
        <w:tc>
          <w:tcPr>
            <w:tcW w:type="dxa" w:w="6192"/>
            <w:vAlign w:val="center"/>
          </w:tcPr>
          <w:p>
            <w:r/>
            <w:r>
              <w:rPr>
                <w:b w:val="0"/>
                <w:sz w:val="17"/>
              </w:rPr>
              <w:t>3470 plus 17 anonymized teams.</w:t>
            </w:r>
          </w:p>
        </w:tc>
      </w:tr>
      <w:tr>
        <w:trPr>
          <w:cantSplit/>
        </w:trPr>
        <w:tc>
          <w:tcPr>
            <w:tcW w:type="dxa" w:w="2232"/>
            <w:vAlign w:val="center"/>
          </w:tcPr>
          <w:p>
            <w:r/>
            <w:r>
              <w:rPr>
                <w:b w:val="0"/>
                <w:sz w:val="17"/>
              </w:rPr>
              <w:t>Missing cycle_time_sec</w:t>
            </w:r>
          </w:p>
        </w:tc>
        <w:tc>
          <w:tcPr>
            <w:tcW w:type="dxa" w:w="1800"/>
            <w:vAlign w:val="center"/>
          </w:tcPr>
          <w:p>
            <w:r/>
            <w:r>
              <w:rPr>
                <w:b w:val="0"/>
                <w:sz w:val="17"/>
              </w:rPr>
              <w:t>2</w:t>
            </w:r>
          </w:p>
        </w:tc>
        <w:tc>
          <w:tcPr>
            <w:tcW w:type="dxa" w:w="6192"/>
            <w:vAlign w:val="center"/>
          </w:tcPr>
          <w:p>
            <w:r/>
            <w:r>
              <w:rPr>
                <w:b w:val="0"/>
                <w:sz w:val="17"/>
              </w:rPr>
              <w:t>Both are T12; no imputation used.</w:t>
            </w:r>
          </w:p>
        </w:tc>
      </w:tr>
      <w:tr>
        <w:trPr>
          <w:cantSplit/>
        </w:trPr>
        <w:tc>
          <w:tcPr>
            <w:tcW w:type="dxa" w:w="2232"/>
            <w:vAlign w:val="center"/>
          </w:tcPr>
          <w:p>
            <w:r/>
            <w:r>
              <w:rPr>
                <w:b w:val="0"/>
                <w:sz w:val="17"/>
              </w:rPr>
              <w:t>Missing qualitative_note</w:t>
            </w:r>
          </w:p>
        </w:tc>
        <w:tc>
          <w:tcPr>
            <w:tcW w:type="dxa" w:w="1800"/>
            <w:vAlign w:val="center"/>
          </w:tcPr>
          <w:p>
            <w:r/>
            <w:r>
              <w:rPr>
                <w:b w:val="0"/>
                <w:sz w:val="17"/>
              </w:rPr>
              <w:t>17</w:t>
            </w:r>
          </w:p>
        </w:tc>
        <w:tc>
          <w:tcPr>
            <w:tcW w:type="dxa" w:w="6192"/>
            <w:vAlign w:val="center"/>
          </w:tcPr>
          <w:p>
            <w:r/>
            <w:r>
              <w:rPr>
                <w:b w:val="0"/>
                <w:sz w:val="17"/>
              </w:rPr>
              <w:t>Notes are optional qualitative evidence; numeric metrics retained.</w:t>
            </w:r>
          </w:p>
        </w:tc>
      </w:tr>
      <w:tr>
        <w:trPr>
          <w:cantSplit/>
        </w:trPr>
        <w:tc>
          <w:tcPr>
            <w:tcW w:type="dxa" w:w="2232"/>
            <w:vAlign w:val="center"/>
          </w:tcPr>
          <w:p>
            <w:r/>
            <w:r>
              <w:rPr>
                <w:b w:val="0"/>
                <w:sz w:val="17"/>
              </w:rPr>
              <w:t>Result/score conflicts</w:t>
            </w:r>
          </w:p>
        </w:tc>
        <w:tc>
          <w:tcPr>
            <w:tcW w:type="dxa" w:w="1800"/>
            <w:vAlign w:val="center"/>
          </w:tcPr>
          <w:p>
            <w:r/>
            <w:r>
              <w:rPr>
                <w:b w:val="0"/>
                <w:sz w:val="17"/>
              </w:rPr>
              <w:t>0</w:t>
            </w:r>
          </w:p>
        </w:tc>
        <w:tc>
          <w:tcPr>
            <w:tcW w:type="dxa" w:w="6192"/>
            <w:vAlign w:val="center"/>
          </w:tcPr>
          <w:p>
            <w:r/>
            <w:r>
              <w:rPr>
                <w:b w:val="0"/>
                <w:sz w:val="17"/>
              </w:rPr>
              <w:t>No W/L records conflict with final scores.</w:t>
            </w:r>
          </w:p>
        </w:tc>
      </w:tr>
      <w:tr>
        <w:trPr>
          <w:cantSplit/>
        </w:trPr>
        <w:tc>
          <w:tcPr>
            <w:tcW w:type="dxa" w:w="2232"/>
            <w:vAlign w:val="center"/>
          </w:tcPr>
          <w:p>
            <w:r/>
            <w:r>
              <w:rPr>
                <w:b w:val="0"/>
                <w:sz w:val="17"/>
              </w:rPr>
              <w:t>Extreme low-confidence CL rows excluded from CL aggregates</w:t>
            </w:r>
          </w:p>
        </w:tc>
        <w:tc>
          <w:tcPr>
            <w:tcW w:type="dxa" w:w="1800"/>
            <w:vAlign w:val="center"/>
          </w:tcPr>
          <w:p>
            <w:r/>
            <w:r>
              <w:rPr>
                <w:b w:val="0"/>
                <w:sz w:val="17"/>
              </w:rPr>
              <w:t>1</w:t>
            </w:r>
          </w:p>
        </w:tc>
        <w:tc>
          <w:tcPr>
            <w:tcW w:type="dxa" w:w="6192"/>
            <w:vAlign w:val="center"/>
          </w:tcPr>
          <w:p>
            <w:r/>
            <w:r>
              <w:rPr>
                <w:b w:val="0"/>
                <w:sz w:val="17"/>
              </w:rPr>
              <w:t>T05 M14-T05-3 only.</w:t>
            </w:r>
          </w:p>
        </w:tc>
      </w:tr>
      <w:tr>
        <w:trPr>
          <w:cantSplit/>
        </w:trPr>
        <w:tc>
          <w:tcPr>
            <w:tcW w:type="dxa" w:w="2232"/>
            <w:vAlign w:val="center"/>
          </w:tcPr>
          <w:p>
            <w:r/>
            <w:r>
              <w:rPr>
                <w:b w:val="0"/>
                <w:sz w:val="17"/>
              </w:rPr>
              <w:t>Ambiguous M## prefixes with conflicting same-alliance scores</w:t>
            </w:r>
          </w:p>
        </w:tc>
        <w:tc>
          <w:tcPr>
            <w:tcW w:type="dxa" w:w="1800"/>
            <w:vAlign w:val="center"/>
          </w:tcPr>
          <w:p>
            <w:r/>
            <w:r>
              <w:rPr>
                <w:b w:val="0"/>
                <w:sz w:val="17"/>
              </w:rPr>
              <w:t>36/36</w:t>
            </w:r>
          </w:p>
        </w:tc>
        <w:tc>
          <w:tcPr>
            <w:tcW w:type="dxa" w:w="6192"/>
            <w:vAlign w:val="center"/>
          </w:tcPr>
          <w:p>
            <w:r/>
            <w:r>
              <w:rPr>
                <w:b w:val="0"/>
                <w:sz w:val="17"/>
              </w:rPr>
              <w:t>Match-prefix semantics are uncertain; context-based overrated/underrated conclusions are provisional, not verified event results.</w:t>
            </w:r>
          </w:p>
        </w:tc>
      </w:tr>
      <w:tr>
        <w:trPr>
          <w:cantSplit/>
        </w:trPr>
        <w:tc>
          <w:tcPr>
            <w:tcW w:type="dxa" w:w="2232"/>
            <w:vAlign w:val="center"/>
          </w:tcPr>
          <w:p>
            <w:r/>
            <w:r>
              <w:rPr>
                <w:b w:val="0"/>
                <w:sz w:val="17"/>
              </w:rPr>
              <w:t>Prefixes with &gt;2 observations on one color</w:t>
            </w:r>
          </w:p>
        </w:tc>
        <w:tc>
          <w:tcPr>
            <w:tcW w:type="dxa" w:w="1800"/>
            <w:vAlign w:val="center"/>
          </w:tcPr>
          <w:p>
            <w:r/>
            <w:r>
              <w:rPr>
                <w:b w:val="0"/>
                <w:sz w:val="17"/>
              </w:rPr>
              <w:t>6</w:t>
            </w:r>
          </w:p>
        </w:tc>
        <w:tc>
          <w:tcPr>
            <w:tcW w:type="dxa" w:w="6192"/>
            <w:vAlign w:val="center"/>
          </w:tcPr>
          <w:p>
            <w:r/>
            <w:r>
              <w:rPr>
                <w:b w:val="0"/>
                <w:sz w:val="17"/>
              </w:rPr>
              <w:t>Cannot safely treat M## as an official event match number; do not use for alliance joining.</w:t>
            </w:r>
          </w:p>
        </w:tc>
      </w:tr>
      <w:tr>
        <w:trPr>
          <w:cantSplit/>
        </w:trPr>
        <w:tc>
          <w:tcPr>
            <w:tcW w:type="dxa" w:w="2232"/>
            <w:vAlign w:val="center"/>
          </w:tcPr>
          <w:p>
            <w:r/>
            <w:r>
              <w:rPr>
                <w:b w:val="0"/>
                <w:sz w:val="17"/>
              </w:rPr>
              <w:t>Per-team sample size</w:t>
            </w:r>
          </w:p>
        </w:tc>
        <w:tc>
          <w:tcPr>
            <w:tcW w:type="dxa" w:w="1800"/>
            <w:vAlign w:val="center"/>
          </w:tcPr>
          <w:p>
            <w:r/>
            <w:r>
              <w:rPr>
                <w:b w:val="0"/>
                <w:sz w:val="17"/>
              </w:rPr>
              <w:t>6 matches/team</w:t>
            </w:r>
          </w:p>
        </w:tc>
        <w:tc>
          <w:tcPr>
            <w:tcW w:type="dxa" w:w="6192"/>
            <w:vAlign w:val="center"/>
          </w:tcPr>
          <w:p>
            <w:r/>
            <w:r>
              <w:rPr>
                <w:b w:val="0"/>
                <w:sz w:val="17"/>
              </w:rPr>
              <w:t>Small sample size limits certainty and makes rank sensitivity important.</w:t>
            </w:r>
          </w:p>
        </w:tc>
      </w:tr>
    </w:tbl>
    <w:p/>
    <w:p>
      <w:pPr>
        <w:pStyle w:val="Heading2"/>
      </w:pPr>
      <w:r>
        <w:t>Ranking model</w:t>
      </w:r>
    </w:p>
    <w:p>
      <w:r>
        <w:t>Because the supplied materials do not give official point values for CL, overflow, depot, motif, or leave actions, I did not invent point weights. Instead, each team metric is converted to a field percentile so different units can be combined transparently. Alliance score and win rate are excluded from robot strength because they describe the whole alliance.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D9EAF7"/>
          </w:tcPr>
          <w:p>
            <w:r/>
            <w:r>
              <w:rPr>
                <w:b/>
                <w:sz w:val="18"/>
              </w:rPr>
              <w:t>Component</w:t>
            </w:r>
          </w:p>
        </w:tc>
        <w:tc>
          <w:tcPr>
            <w:tcW w:type="dxa" w:w="1152"/>
            <w:vAlign w:val="center"/>
            <w:shd w:fill="D9EAF7"/>
          </w:tcPr>
          <w:p>
            <w:r/>
            <w:r>
              <w:rPr>
                <w:b/>
                <w:sz w:val="18"/>
              </w:rPr>
              <w:t>Weight</w:t>
            </w:r>
          </w:p>
        </w:tc>
        <w:tc>
          <w:tcPr>
            <w:tcW w:type="dxa" w:w="6840"/>
            <w:vAlign w:val="center"/>
            <w:shd w:fill="D9EAF7"/>
          </w:tcPr>
          <w:p>
            <w:r/>
            <w:r>
              <w:rPr>
                <w:b/>
                <w:sz w:val="18"/>
              </w:rPr>
              <w:t>What it uses</w:t>
            </w:r>
          </w:p>
        </w:tc>
      </w:tr>
      <w:tr>
        <w:trPr>
          <w:cantSplit/>
        </w:trPr>
        <w:tc>
          <w:tcPr>
            <w:tcW w:type="dxa" w:w="2232"/>
            <w:vAlign w:val="center"/>
          </w:tcPr>
          <w:p>
            <w:r/>
            <w:r>
              <w:rPr>
                <w:b w:val="0"/>
                <w:sz w:val="18"/>
              </w:rPr>
              <w:t>Scoring volume</w:t>
            </w:r>
          </w:p>
        </w:tc>
        <w:tc>
          <w:tcPr>
            <w:tcW w:type="dxa" w:w="1152"/>
            <w:vAlign w:val="center"/>
          </w:tcPr>
          <w:p>
            <w:r/>
            <w:r>
              <w:rPr>
                <w:b w:val="0"/>
                <w:sz w:val="18"/>
              </w:rPr>
              <w:t>45%</w:t>
            </w:r>
          </w:p>
        </w:tc>
        <w:tc>
          <w:tcPr>
            <w:tcW w:type="dxa" w:w="6840"/>
            <w:vAlign w:val="center"/>
          </w:tcPr>
          <w:p>
            <w:r/>
            <w:r>
              <w:rPr>
                <w:b w:val="0"/>
                <w:sz w:val="18"/>
              </w:rPr>
              <w:t>Mean field percentiles of CL, overflow, and depot actions</w:t>
            </w:r>
          </w:p>
        </w:tc>
      </w:tr>
      <w:tr>
        <w:trPr>
          <w:cantSplit/>
        </w:trPr>
        <w:tc>
          <w:tcPr>
            <w:tcW w:type="dxa" w:w="2232"/>
            <w:vAlign w:val="center"/>
          </w:tcPr>
          <w:p>
            <w:r/>
            <w:r>
              <w:rPr>
                <w:b w:val="0"/>
                <w:sz w:val="18"/>
              </w:rPr>
              <w:t>Objectives</w:t>
            </w:r>
          </w:p>
        </w:tc>
        <w:tc>
          <w:tcPr>
            <w:tcW w:type="dxa" w:w="1152"/>
            <w:vAlign w:val="center"/>
          </w:tcPr>
          <w:p>
            <w:r/>
            <w:r>
              <w:rPr>
                <w:b w:val="0"/>
                <w:sz w:val="18"/>
              </w:rPr>
              <w:t>15%</w:t>
            </w:r>
          </w:p>
        </w:tc>
        <w:tc>
          <w:tcPr>
            <w:tcW w:type="dxa" w:w="6840"/>
            <w:vAlign w:val="center"/>
          </w:tcPr>
          <w:p>
            <w:r/>
            <w:r>
              <w:rPr>
                <w:b w:val="0"/>
                <w:sz w:val="18"/>
              </w:rPr>
              <w:t>Auto leave rate and motif completion rate</w:t>
            </w:r>
          </w:p>
        </w:tc>
      </w:tr>
      <w:tr>
        <w:trPr>
          <w:cantSplit/>
        </w:trPr>
        <w:tc>
          <w:tcPr>
            <w:tcW w:type="dxa" w:w="2232"/>
            <w:vAlign w:val="center"/>
          </w:tcPr>
          <w:p>
            <w:r/>
            <w:r>
              <w:rPr>
                <w:b w:val="0"/>
                <w:sz w:val="18"/>
              </w:rPr>
              <w:t>Cycle speed</w:t>
            </w:r>
          </w:p>
        </w:tc>
        <w:tc>
          <w:tcPr>
            <w:tcW w:type="dxa" w:w="1152"/>
            <w:vAlign w:val="center"/>
          </w:tcPr>
          <w:p>
            <w:r/>
            <w:r>
              <w:rPr>
                <w:b w:val="0"/>
                <w:sz w:val="18"/>
              </w:rPr>
              <w:t>15%</w:t>
            </w:r>
          </w:p>
        </w:tc>
        <w:tc>
          <w:tcPr>
            <w:tcW w:type="dxa" w:w="6840"/>
            <w:vAlign w:val="center"/>
          </w:tcPr>
          <w:p>
            <w:r/>
            <w:r>
              <w:rPr>
                <w:b w:val="0"/>
                <w:sz w:val="18"/>
              </w:rPr>
              <w:t>Inverse percentile of average cycle time</w:t>
            </w:r>
          </w:p>
        </w:tc>
      </w:tr>
      <w:tr>
        <w:trPr>
          <w:cantSplit/>
        </w:trPr>
        <w:tc>
          <w:tcPr>
            <w:tcW w:type="dxa" w:w="2232"/>
            <w:vAlign w:val="center"/>
          </w:tcPr>
          <w:p>
            <w:r/>
            <w:r>
              <w:rPr>
                <w:b w:val="0"/>
                <w:sz w:val="18"/>
              </w:rPr>
              <w:t>Reliability</w:t>
            </w:r>
          </w:p>
        </w:tc>
        <w:tc>
          <w:tcPr>
            <w:tcW w:type="dxa" w:w="1152"/>
            <w:vAlign w:val="center"/>
          </w:tcPr>
          <w:p>
            <w:r/>
            <w:r>
              <w:rPr>
                <w:b w:val="0"/>
                <w:sz w:val="18"/>
              </w:rPr>
              <w:t>15%</w:t>
            </w:r>
          </w:p>
        </w:tc>
        <w:tc>
          <w:tcPr>
            <w:tcW w:type="dxa" w:w="6840"/>
            <w:vAlign w:val="center"/>
          </w:tcPr>
          <w:p>
            <w:r/>
            <w:r>
              <w:rPr>
                <w:b w:val="0"/>
                <w:sz w:val="18"/>
              </w:rPr>
              <w:t>Breakdowns, driver consistency, penalties, action variability, cycle variability</w:t>
            </w:r>
          </w:p>
        </w:tc>
      </w:tr>
      <w:tr>
        <w:trPr>
          <w:cantSplit/>
        </w:trPr>
        <w:tc>
          <w:tcPr>
            <w:tcW w:type="dxa" w:w="2232"/>
            <w:vAlign w:val="center"/>
          </w:tcPr>
          <w:p>
            <w:r/>
            <w:r>
              <w:rPr>
                <w:b w:val="0"/>
                <w:sz w:val="18"/>
              </w:rPr>
              <w:t>Defense</w:t>
            </w:r>
          </w:p>
        </w:tc>
        <w:tc>
          <w:tcPr>
            <w:tcW w:type="dxa" w:w="1152"/>
            <w:vAlign w:val="center"/>
          </w:tcPr>
          <w:p>
            <w:r/>
            <w:r>
              <w:rPr>
                <w:b w:val="0"/>
                <w:sz w:val="18"/>
              </w:rPr>
              <w:t>10%</w:t>
            </w:r>
          </w:p>
        </w:tc>
        <w:tc>
          <w:tcPr>
            <w:tcW w:type="dxa" w:w="6840"/>
            <w:vAlign w:val="center"/>
          </w:tcPr>
          <w:p>
            <w:r/>
            <w:r>
              <w:rPr>
                <w:b w:val="0"/>
                <w:sz w:val="18"/>
              </w:rPr>
              <w:t>Scout defense rating percentile</w:t>
            </w:r>
          </w:p>
        </w:tc>
      </w:tr>
    </w:tbl>
    <w:p/>
    <w:p>
      <w:r>
        <w:t>Ranking confidence is based on data completeness, average scout confidence, and rank stability under balanced, offense-heavy, and reliability-heavy weightings. This is a decision model, not an official FTC scoring model or a prediction of exact match points.</w:t>
      </w:r>
    </w:p>
    <w:p>
      <w:pPr>
        <w:pStyle w:val="Heading1"/>
      </w:pPr>
      <w:r>
        <w:t>2. Data Quality Findings</w:t>
      </w:r>
    </w:p>
    <w:p>
      <w:pPr>
        <w:pStyle w:val="ListBullet"/>
      </w:pPr>
      <w:r>
        <w:t>M23-T09-4 appeared twice as an identical row. One copy was removed.</w:t>
      </w:r>
    </w:p>
    <w:p>
      <w:pPr>
        <w:pStyle w:val="ListBullet"/>
      </w:pPr>
      <w:r>
        <w:t>M14-T05-3 reports 28 CL actions while T05's other usable CL values are 6-7; the same row has the dataset's lowest scout confidence (2/5). Raw value retained; CL value excluded from the composite.</w:t>
      </w:r>
    </w:p>
    <w:p>
      <w:pPr>
        <w:pStyle w:val="ListBullet"/>
      </w:pPr>
      <w:r>
        <w:t>T12 is missing two cycle times, and another T12 cycle time is 7.5 s, making any 'fastest robot' claim uncertain.</w:t>
      </w:r>
    </w:p>
    <w:p>
      <w:pPr>
        <w:pStyle w:val="ListBullet"/>
      </w:pPr>
      <w:r>
        <w:t>Two very slow cycle-time outliers (T04 at 25.5 s and T07 at 25.6 s) were retained because they coincide with breakdown-prone robots and are plausible failure-performance observations.</w:t>
      </w:r>
    </w:p>
    <w:p>
      <w:pPr>
        <w:pStyle w:val="ListBullet"/>
      </w:pPr>
      <w:r>
        <w:t>There are 17 missing qualitative notes, but no W/L records conflict with the listed alliance/opponent scores and team match numbers remain 1-6 for every team.</w:t>
      </w:r>
    </w:p>
    <w:p>
      <w:pPr>
        <w:pStyle w:val="ListBullet"/>
      </w:pPr>
      <w:r>
        <w:t>Scout defense means range from 2.67 to 3.18, suggesting mild rater-calibration differences. Defense is therefore used as a supporting signal, not a precise standalone truth.</w:t>
      </w:r>
    </w:p>
    <w:p>
      <w:pPr>
        <w:pStyle w:val="ListBullet"/>
      </w:pPr>
      <w:r>
        <w:t>All 36 reused M## prefixes have conflicting scorelines for observations with the same alliance color; 6 prefixes even have three observations labeled the same alliance. The prefix may be an arbitrary/reused label, not a global match ID. No rows were deleted for this ambiguity, but event scorelines need independent verification.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D9EAF7"/>
          </w:tcPr>
          <w:p>
            <w:r/>
            <w:r>
              <w:rPr>
                <w:b/>
                <w:sz w:val="18"/>
              </w:rPr>
              <w:t>Scout</w:t>
            </w:r>
          </w:p>
        </w:tc>
        <w:tc>
          <w:tcPr>
            <w:tcW w:type="dxa" w:w="1008"/>
            <w:vAlign w:val="center"/>
            <w:shd w:fill="D9EAF7"/>
          </w:tcPr>
          <w:p>
            <w:r/>
            <w:r>
              <w:rPr>
                <w:b/>
                <w:sz w:val="18"/>
              </w:rPr>
              <w:t>Obs.</w:t>
            </w:r>
          </w:p>
        </w:tc>
        <w:tc>
          <w:tcPr>
            <w:tcW w:type="dxa" w:w="1800"/>
            <w:vAlign w:val="center"/>
            <w:shd w:fill="D9EAF7"/>
          </w:tcPr>
          <w:p>
            <w:r/>
            <w:r>
              <w:rPr>
                <w:b/>
                <w:sz w:val="18"/>
              </w:rPr>
              <w:t>Avg defense</w:t>
            </w:r>
          </w:p>
        </w:tc>
        <w:tc>
          <w:tcPr>
            <w:tcW w:type="dxa" w:w="1800"/>
            <w:vAlign w:val="center"/>
            <w:shd w:fill="D9EAF7"/>
          </w:tcPr>
          <w:p>
            <w:r/>
            <w:r>
              <w:rPr>
                <w:b/>
                <w:sz w:val="18"/>
              </w:rPr>
              <w:t>Avg driver</w:t>
            </w:r>
          </w:p>
        </w:tc>
        <w:tc>
          <w:tcPr>
            <w:tcW w:type="dxa" w:w="1944"/>
            <w:vAlign w:val="center"/>
            <w:shd w:fill="D9EAF7"/>
          </w:tcPr>
          <w:p>
            <w:r/>
            <w:r>
              <w:rPr>
                <w:b/>
                <w:sz w:val="18"/>
              </w:rPr>
              <w:t>Avg confidence</w:t>
            </w:r>
          </w:p>
        </w:tc>
      </w:tr>
      <w:tr>
        <w:trPr>
          <w:cantSplit/>
        </w:trPr>
        <w:tc>
          <w:tcPr>
            <w:tcW w:type="dxa" w:w="1440"/>
            <w:vAlign w:val="center"/>
          </w:tcPr>
          <w:p>
            <w:r/>
            <w:r>
              <w:rPr>
                <w:b w:val="0"/>
                <w:sz w:val="18"/>
              </w:rPr>
              <w:t>S1</w:t>
            </w:r>
          </w:p>
        </w:tc>
        <w:tc>
          <w:tcPr>
            <w:tcW w:type="dxa" w:w="1008"/>
            <w:vAlign w:val="center"/>
          </w:tcPr>
          <w:p>
            <w:r/>
            <w:r>
              <w:rPr>
                <w:b w:val="0"/>
                <w:sz w:val="18"/>
              </w:rPr>
              <w:t>25</w:t>
            </w:r>
          </w:p>
        </w:tc>
        <w:tc>
          <w:tcPr>
            <w:tcW w:type="dxa" w:w="1800"/>
            <w:vAlign w:val="center"/>
          </w:tcPr>
          <w:p>
            <w:r/>
            <w:r>
              <w:rPr>
                <w:b w:val="0"/>
                <w:sz w:val="18"/>
              </w:rPr>
              <w:t>2.67</w:t>
            </w:r>
          </w:p>
        </w:tc>
        <w:tc>
          <w:tcPr>
            <w:tcW w:type="dxa" w:w="1800"/>
            <w:vAlign w:val="center"/>
          </w:tcPr>
          <w:p>
            <w:r/>
            <w:r>
              <w:rPr>
                <w:b w:val="0"/>
                <w:sz w:val="18"/>
              </w:rPr>
              <w:t>3.61</w:t>
            </w:r>
          </w:p>
        </w:tc>
        <w:tc>
          <w:tcPr>
            <w:tcW w:type="dxa" w:w="1944"/>
            <w:vAlign w:val="center"/>
          </w:tcPr>
          <w:p>
            <w:r/>
            <w:r>
              <w:rPr>
                <w:b w:val="0"/>
                <w:sz w:val="18"/>
              </w:rPr>
              <w:t>4</w:t>
            </w:r>
          </w:p>
        </w:tc>
      </w:tr>
      <w:tr>
        <w:trPr>
          <w:cantSplit/>
        </w:trPr>
        <w:tc>
          <w:tcPr>
            <w:tcW w:type="dxa" w:w="1440"/>
            <w:vAlign w:val="center"/>
          </w:tcPr>
          <w:p>
            <w:r/>
            <w:r>
              <w:rPr>
                <w:b w:val="0"/>
                <w:sz w:val="18"/>
              </w:rPr>
              <w:t>S2</w:t>
            </w:r>
          </w:p>
        </w:tc>
        <w:tc>
          <w:tcPr>
            <w:tcW w:type="dxa" w:w="1008"/>
            <w:vAlign w:val="center"/>
          </w:tcPr>
          <w:p>
            <w:r/>
            <w:r>
              <w:rPr>
                <w:b w:val="0"/>
                <w:sz w:val="18"/>
              </w:rPr>
              <w:t>29</w:t>
            </w:r>
          </w:p>
        </w:tc>
        <w:tc>
          <w:tcPr>
            <w:tcW w:type="dxa" w:w="1800"/>
            <w:vAlign w:val="center"/>
          </w:tcPr>
          <w:p>
            <w:r/>
            <w:r>
              <w:rPr>
                <w:b w:val="0"/>
                <w:sz w:val="18"/>
              </w:rPr>
              <w:t>2.8</w:t>
            </w:r>
          </w:p>
        </w:tc>
        <w:tc>
          <w:tcPr>
            <w:tcW w:type="dxa" w:w="1800"/>
            <w:vAlign w:val="center"/>
          </w:tcPr>
          <w:p>
            <w:r/>
            <w:r>
              <w:rPr>
                <w:b w:val="0"/>
                <w:sz w:val="18"/>
              </w:rPr>
              <w:t>3.78</w:t>
            </w:r>
          </w:p>
        </w:tc>
        <w:tc>
          <w:tcPr>
            <w:tcW w:type="dxa" w:w="1944"/>
            <w:vAlign w:val="center"/>
          </w:tcPr>
          <w:p>
            <w:r/>
            <w:r>
              <w:rPr>
                <w:b w:val="0"/>
                <w:sz w:val="18"/>
              </w:rPr>
              <w:t>4.28</w:t>
            </w:r>
          </w:p>
        </w:tc>
      </w:tr>
      <w:tr>
        <w:trPr>
          <w:cantSplit/>
        </w:trPr>
        <w:tc>
          <w:tcPr>
            <w:tcW w:type="dxa" w:w="1440"/>
            <w:vAlign w:val="center"/>
          </w:tcPr>
          <w:p>
            <w:r/>
            <w:r>
              <w:rPr>
                <w:b w:val="0"/>
                <w:sz w:val="18"/>
              </w:rPr>
              <w:t>S3</w:t>
            </w:r>
          </w:p>
        </w:tc>
        <w:tc>
          <w:tcPr>
            <w:tcW w:type="dxa" w:w="1008"/>
            <w:vAlign w:val="center"/>
          </w:tcPr>
          <w:p>
            <w:r/>
            <w:r>
              <w:rPr>
                <w:b w:val="0"/>
                <w:sz w:val="18"/>
              </w:rPr>
              <w:t>24</w:t>
            </w:r>
          </w:p>
        </w:tc>
        <w:tc>
          <w:tcPr>
            <w:tcW w:type="dxa" w:w="1800"/>
            <w:vAlign w:val="center"/>
          </w:tcPr>
          <w:p>
            <w:r/>
            <w:r>
              <w:rPr>
                <w:b w:val="0"/>
                <w:sz w:val="18"/>
              </w:rPr>
              <w:t>3.13</w:t>
            </w:r>
          </w:p>
        </w:tc>
        <w:tc>
          <w:tcPr>
            <w:tcW w:type="dxa" w:w="1800"/>
            <w:vAlign w:val="center"/>
          </w:tcPr>
          <w:p>
            <w:r/>
            <w:r>
              <w:rPr>
                <w:b w:val="0"/>
                <w:sz w:val="18"/>
              </w:rPr>
              <w:t>3.62</w:t>
            </w:r>
          </w:p>
        </w:tc>
        <w:tc>
          <w:tcPr>
            <w:tcW w:type="dxa" w:w="1944"/>
            <w:vAlign w:val="center"/>
          </w:tcPr>
          <w:p>
            <w:r/>
            <w:r>
              <w:rPr>
                <w:b w:val="0"/>
                <w:sz w:val="18"/>
              </w:rPr>
              <w:t>3.96</w:t>
            </w:r>
          </w:p>
        </w:tc>
      </w:tr>
      <w:tr>
        <w:trPr>
          <w:cantSplit/>
        </w:trPr>
        <w:tc>
          <w:tcPr>
            <w:tcW w:type="dxa" w:w="1440"/>
            <w:vAlign w:val="center"/>
          </w:tcPr>
          <w:p>
            <w:r/>
            <w:r>
              <w:rPr>
                <w:b w:val="0"/>
                <w:sz w:val="18"/>
              </w:rPr>
              <w:t>S4</w:t>
            </w:r>
          </w:p>
        </w:tc>
        <w:tc>
          <w:tcPr>
            <w:tcW w:type="dxa" w:w="1008"/>
            <w:vAlign w:val="center"/>
          </w:tcPr>
          <w:p>
            <w:r/>
            <w:r>
              <w:rPr>
                <w:b w:val="0"/>
                <w:sz w:val="18"/>
              </w:rPr>
              <w:t>30</w:t>
            </w:r>
          </w:p>
        </w:tc>
        <w:tc>
          <w:tcPr>
            <w:tcW w:type="dxa" w:w="1800"/>
            <w:vAlign w:val="center"/>
          </w:tcPr>
          <w:p>
            <w:r/>
            <w:r>
              <w:rPr>
                <w:b w:val="0"/>
                <w:sz w:val="18"/>
              </w:rPr>
              <w:t>3.18</w:t>
            </w:r>
          </w:p>
        </w:tc>
        <w:tc>
          <w:tcPr>
            <w:tcW w:type="dxa" w:w="1800"/>
            <w:vAlign w:val="center"/>
          </w:tcPr>
          <w:p>
            <w:r/>
            <w:r>
              <w:rPr>
                <w:b w:val="0"/>
                <w:sz w:val="18"/>
              </w:rPr>
              <w:t>3.56</w:t>
            </w:r>
          </w:p>
        </w:tc>
        <w:tc>
          <w:tcPr>
            <w:tcW w:type="dxa" w:w="1944"/>
            <w:vAlign w:val="center"/>
          </w:tcPr>
          <w:p>
            <w:r/>
            <w:r>
              <w:rPr>
                <w:b w:val="0"/>
                <w:sz w:val="18"/>
              </w:rPr>
              <w:t>4.23</w:t>
            </w:r>
          </w:p>
        </w:tc>
      </w:tr>
    </w:tbl>
    <w:p/>
    <w:p>
      <w:pPr>
        <w:pStyle w:val="Heading1"/>
      </w:pPr>
      <w:r>
        <w:t>3. Overall Team Ranking</w:t>
      </w:r>
    </w:p>
    <w:p>
      <w:pPr>
        <w:jc w:val="center"/>
      </w:pPr>
      <w:r>
        <w:drawing>
          <wp:inline xmlns:a="http://schemas.openxmlformats.org/drawingml/2006/main" xmlns:pic="http://schemas.openxmlformats.org/drawingml/2006/picture">
            <wp:extent cx="5852160" cy="4819426"/>
            <wp:docPr id="1" name="Picture 1"/>
            <wp:cNvGraphicFramePr>
              <a:graphicFrameLocks noChangeAspect="1"/>
            </wp:cNvGraphicFramePr>
            <a:graphic>
              <a:graphicData uri="http://schemas.openxmlformats.org/drawingml/2006/picture">
                <pic:pic>
                  <pic:nvPicPr>
                    <pic:cNvPr id="0" name="overall_ranking.png"/>
                    <pic:cNvPicPr/>
                  </pic:nvPicPr>
                  <pic:blipFill>
                    <a:blip r:embed="rId10"/>
                    <a:stretch>
                      <a:fillRect/>
                    </a:stretch>
                  </pic:blipFill>
                  <pic:spPr>
                    <a:xfrm>
                      <a:off x="0" y="0"/>
                      <a:ext cx="5852160" cy="4819426"/>
                    </a:xfrm>
                    <a:prstGeom prst="rect"/>
                  </pic:spPr>
                </pic:pic>
              </a:graphicData>
            </a:graphic>
          </wp:inline>
        </w:drawing>
      </w:r>
    </w:p>
    <w:p>
      <w:pPr>
        <w:jc w:val="center"/>
      </w:pPr>
      <w:r>
        <w:rPr>
          <w:i/>
          <w:sz w:val="18"/>
        </w:rPr>
        <w:t>Figure 1. Overall evidence-weighted team ranking.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792"/>
            <w:vAlign w:val="center"/>
            <w:shd w:fill="D9EAF7"/>
          </w:tcPr>
          <w:p>
            <w:r/>
            <w:r>
              <w:rPr>
                <w:b/>
                <w:sz w:val="16"/>
              </w:rPr>
              <w:t>Rank</w:t>
            </w:r>
          </w:p>
        </w:tc>
        <w:tc>
          <w:tcPr>
            <w:tcW w:type="dxa" w:w="936"/>
            <w:vAlign w:val="center"/>
            <w:shd w:fill="D9EAF7"/>
          </w:tcPr>
          <w:p>
            <w:r/>
            <w:r>
              <w:rPr>
                <w:b/>
                <w:sz w:val="16"/>
              </w:rPr>
              <w:t>Team</w:t>
            </w:r>
          </w:p>
        </w:tc>
        <w:tc>
          <w:tcPr>
            <w:tcW w:type="dxa" w:w="1008"/>
            <w:vAlign w:val="center"/>
            <w:shd w:fill="D9EAF7"/>
          </w:tcPr>
          <w:p>
            <w:r/>
            <w:r>
              <w:rPr>
                <w:b/>
                <w:sz w:val="16"/>
              </w:rPr>
              <w:t>Score</w:t>
            </w:r>
          </w:p>
        </w:tc>
        <w:tc>
          <w:tcPr>
            <w:tcW w:type="dxa" w:w="1296"/>
            <w:vAlign w:val="center"/>
            <w:shd w:fill="D9EAF7"/>
          </w:tcPr>
          <w:p>
            <w:r/>
            <w:r>
              <w:rPr>
                <w:b/>
                <w:sz w:val="16"/>
              </w:rPr>
              <w:t>Avg actions</w:t>
            </w:r>
          </w:p>
        </w:tc>
        <w:tc>
          <w:tcPr>
            <w:tcW w:type="dxa" w:w="1080"/>
            <w:vAlign w:val="center"/>
            <w:shd w:fill="D9EAF7"/>
          </w:tcPr>
          <w:p>
            <w:r/>
            <w:r>
              <w:rPr>
                <w:b/>
                <w:sz w:val="16"/>
              </w:rPr>
              <w:t>Cycle s</w:t>
            </w:r>
          </w:p>
        </w:tc>
        <w:tc>
          <w:tcPr>
            <w:tcW w:type="dxa" w:w="1296"/>
            <w:vAlign w:val="center"/>
            <w:shd w:fill="D9EAF7"/>
          </w:tcPr>
          <w:p>
            <w:r/>
            <w:r>
              <w:rPr>
                <w:b/>
                <w:sz w:val="16"/>
              </w:rPr>
              <w:t>Reliability</w:t>
            </w:r>
          </w:p>
        </w:tc>
        <w:tc>
          <w:tcPr>
            <w:tcW w:type="dxa" w:w="1296"/>
            <w:vAlign w:val="center"/>
            <w:shd w:fill="D9EAF7"/>
          </w:tcPr>
          <w:p>
            <w:r/>
            <w:r>
              <w:rPr>
                <w:b/>
                <w:sz w:val="16"/>
              </w:rPr>
              <w:t>Confidence</w:t>
            </w:r>
          </w:p>
        </w:tc>
      </w:tr>
      <w:tr>
        <w:trPr>
          <w:cantSplit/>
        </w:trPr>
        <w:tc>
          <w:tcPr>
            <w:tcW w:type="dxa" w:w="792"/>
            <w:vAlign w:val="center"/>
          </w:tcPr>
          <w:p>
            <w:r/>
            <w:r>
              <w:rPr>
                <w:b w:val="0"/>
                <w:sz w:val="16"/>
              </w:rPr>
              <w:t>1</w:t>
            </w:r>
          </w:p>
        </w:tc>
        <w:tc>
          <w:tcPr>
            <w:tcW w:type="dxa" w:w="936"/>
            <w:vAlign w:val="center"/>
          </w:tcPr>
          <w:p>
            <w:r/>
            <w:r>
              <w:rPr>
                <w:b w:val="0"/>
                <w:sz w:val="16"/>
              </w:rPr>
              <w:t>T08</w:t>
            </w:r>
          </w:p>
        </w:tc>
        <w:tc>
          <w:tcPr>
            <w:tcW w:type="dxa" w:w="1008"/>
            <w:vAlign w:val="center"/>
          </w:tcPr>
          <w:p>
            <w:r/>
            <w:r>
              <w:rPr>
                <w:b w:val="0"/>
                <w:sz w:val="16"/>
              </w:rPr>
              <w:t>68.5</w:t>
            </w:r>
          </w:p>
        </w:tc>
        <w:tc>
          <w:tcPr>
            <w:tcW w:type="dxa" w:w="1296"/>
            <w:vAlign w:val="center"/>
          </w:tcPr>
          <w:p>
            <w:r/>
            <w:r>
              <w:rPr>
                <w:b w:val="0"/>
                <w:sz w:val="16"/>
              </w:rPr>
              <w:t>13.17</w:t>
            </w:r>
          </w:p>
        </w:tc>
        <w:tc>
          <w:tcPr>
            <w:tcW w:type="dxa" w:w="1080"/>
            <w:vAlign w:val="center"/>
          </w:tcPr>
          <w:p>
            <w:r/>
            <w:r>
              <w:rPr>
                <w:b w:val="0"/>
                <w:sz w:val="16"/>
              </w:rPr>
              <w:t>19.73</w:t>
            </w:r>
          </w:p>
        </w:tc>
        <w:tc>
          <w:tcPr>
            <w:tcW w:type="dxa" w:w="1296"/>
            <w:vAlign w:val="center"/>
          </w:tcPr>
          <w:p>
            <w:r/>
            <w:r>
              <w:rPr>
                <w:b w:val="0"/>
                <w:sz w:val="16"/>
              </w:rPr>
              <w:t>Medium</w:t>
            </w:r>
          </w:p>
        </w:tc>
        <w:tc>
          <w:tcPr>
            <w:tcW w:type="dxa" w:w="1296"/>
            <w:vAlign w:val="center"/>
          </w:tcPr>
          <w:p>
            <w:r/>
            <w:r>
              <w:rPr>
                <w:b w:val="0"/>
                <w:sz w:val="16"/>
              </w:rPr>
              <w:t>High</w:t>
            </w:r>
          </w:p>
        </w:tc>
      </w:tr>
      <w:tr>
        <w:trPr>
          <w:cantSplit/>
        </w:trPr>
        <w:tc>
          <w:tcPr>
            <w:tcW w:type="dxa" w:w="792"/>
            <w:vAlign w:val="center"/>
          </w:tcPr>
          <w:p>
            <w:r/>
            <w:r>
              <w:rPr>
                <w:b w:val="0"/>
                <w:sz w:val="16"/>
              </w:rPr>
              <w:t>2</w:t>
            </w:r>
          </w:p>
        </w:tc>
        <w:tc>
          <w:tcPr>
            <w:tcW w:type="dxa" w:w="936"/>
            <w:vAlign w:val="center"/>
          </w:tcPr>
          <w:p>
            <w:r/>
            <w:r>
              <w:rPr>
                <w:b w:val="0"/>
                <w:sz w:val="16"/>
              </w:rPr>
              <w:t>T14</w:t>
            </w:r>
          </w:p>
        </w:tc>
        <w:tc>
          <w:tcPr>
            <w:tcW w:type="dxa" w:w="1008"/>
            <w:vAlign w:val="center"/>
          </w:tcPr>
          <w:p>
            <w:r/>
            <w:r>
              <w:rPr>
                <w:b w:val="0"/>
                <w:sz w:val="16"/>
              </w:rPr>
              <w:t>60.81</w:t>
            </w:r>
          </w:p>
        </w:tc>
        <w:tc>
          <w:tcPr>
            <w:tcW w:type="dxa" w:w="1296"/>
            <w:vAlign w:val="center"/>
          </w:tcPr>
          <w:p>
            <w:r/>
            <w:r>
              <w:rPr>
                <w:b w:val="0"/>
                <w:sz w:val="16"/>
              </w:rPr>
              <w:t>11.5</w:t>
            </w:r>
          </w:p>
        </w:tc>
        <w:tc>
          <w:tcPr>
            <w:tcW w:type="dxa" w:w="1080"/>
            <w:vAlign w:val="center"/>
          </w:tcPr>
          <w:p>
            <w:r/>
            <w:r>
              <w:rPr>
                <w:b w:val="0"/>
                <w:sz w:val="16"/>
              </w:rPr>
              <w:t>15.53</w:t>
            </w:r>
          </w:p>
        </w:tc>
        <w:tc>
          <w:tcPr>
            <w:tcW w:type="dxa" w:w="1296"/>
            <w:vAlign w:val="center"/>
          </w:tcPr>
          <w:p>
            <w:r/>
            <w:r>
              <w:rPr>
                <w:b w:val="0"/>
                <w:sz w:val="16"/>
              </w:rPr>
              <w:t>Medium</w:t>
            </w:r>
          </w:p>
        </w:tc>
        <w:tc>
          <w:tcPr>
            <w:tcW w:type="dxa" w:w="1296"/>
            <w:vAlign w:val="center"/>
          </w:tcPr>
          <w:p>
            <w:r/>
            <w:r>
              <w:rPr>
                <w:b w:val="0"/>
                <w:sz w:val="16"/>
              </w:rPr>
              <w:t>Medium</w:t>
            </w:r>
          </w:p>
        </w:tc>
      </w:tr>
      <w:tr>
        <w:trPr>
          <w:cantSplit/>
        </w:trPr>
        <w:tc>
          <w:tcPr>
            <w:tcW w:type="dxa" w:w="792"/>
            <w:vAlign w:val="center"/>
          </w:tcPr>
          <w:p>
            <w:r/>
            <w:r>
              <w:rPr>
                <w:b w:val="0"/>
                <w:sz w:val="16"/>
              </w:rPr>
              <w:t>3</w:t>
            </w:r>
          </w:p>
        </w:tc>
        <w:tc>
          <w:tcPr>
            <w:tcW w:type="dxa" w:w="936"/>
            <w:vAlign w:val="center"/>
          </w:tcPr>
          <w:p>
            <w:r/>
            <w:r>
              <w:rPr>
                <w:b w:val="0"/>
                <w:sz w:val="16"/>
              </w:rPr>
              <w:t>T05</w:t>
            </w:r>
          </w:p>
        </w:tc>
        <w:tc>
          <w:tcPr>
            <w:tcW w:type="dxa" w:w="1008"/>
            <w:vAlign w:val="center"/>
          </w:tcPr>
          <w:p>
            <w:r/>
            <w:r>
              <w:rPr>
                <w:b w:val="0"/>
                <w:sz w:val="16"/>
              </w:rPr>
              <w:t>60.51</w:t>
            </w:r>
          </w:p>
        </w:tc>
        <w:tc>
          <w:tcPr>
            <w:tcW w:type="dxa" w:w="1296"/>
            <w:vAlign w:val="center"/>
          </w:tcPr>
          <w:p>
            <w:r/>
            <w:r>
              <w:rPr>
                <w:b w:val="0"/>
                <w:sz w:val="16"/>
              </w:rPr>
              <w:t>12.8</w:t>
            </w:r>
          </w:p>
        </w:tc>
        <w:tc>
          <w:tcPr>
            <w:tcW w:type="dxa" w:w="1080"/>
            <w:vAlign w:val="center"/>
          </w:tcPr>
          <w:p>
            <w:r/>
            <w:r>
              <w:rPr>
                <w:b w:val="0"/>
                <w:sz w:val="16"/>
              </w:rPr>
              <w:t>17.03</w:t>
            </w:r>
          </w:p>
        </w:tc>
        <w:tc>
          <w:tcPr>
            <w:tcW w:type="dxa" w:w="1296"/>
            <w:vAlign w:val="center"/>
          </w:tcPr>
          <w:p>
            <w:r/>
            <w:r>
              <w:rPr>
                <w:b w:val="0"/>
                <w:sz w:val="16"/>
              </w:rPr>
              <w:t>Medium</w:t>
            </w:r>
          </w:p>
        </w:tc>
        <w:tc>
          <w:tcPr>
            <w:tcW w:type="dxa" w:w="1296"/>
            <w:vAlign w:val="center"/>
          </w:tcPr>
          <w:p>
            <w:r/>
            <w:r>
              <w:rPr>
                <w:b w:val="0"/>
                <w:sz w:val="16"/>
              </w:rPr>
              <w:t>Medium</w:t>
            </w:r>
          </w:p>
        </w:tc>
      </w:tr>
      <w:tr>
        <w:trPr>
          <w:cantSplit/>
        </w:trPr>
        <w:tc>
          <w:tcPr>
            <w:tcW w:type="dxa" w:w="792"/>
            <w:vAlign w:val="center"/>
          </w:tcPr>
          <w:p>
            <w:r/>
            <w:r>
              <w:rPr>
                <w:b w:val="0"/>
                <w:sz w:val="16"/>
              </w:rPr>
              <w:t>4</w:t>
            </w:r>
          </w:p>
        </w:tc>
        <w:tc>
          <w:tcPr>
            <w:tcW w:type="dxa" w:w="936"/>
            <w:vAlign w:val="center"/>
          </w:tcPr>
          <w:p>
            <w:r/>
            <w:r>
              <w:rPr>
                <w:b w:val="0"/>
                <w:sz w:val="16"/>
              </w:rPr>
              <w:t>T17</w:t>
            </w:r>
          </w:p>
        </w:tc>
        <w:tc>
          <w:tcPr>
            <w:tcW w:type="dxa" w:w="1008"/>
            <w:vAlign w:val="center"/>
          </w:tcPr>
          <w:p>
            <w:r/>
            <w:r>
              <w:rPr>
                <w:b w:val="0"/>
                <w:sz w:val="16"/>
              </w:rPr>
              <w:t>58.29</w:t>
            </w:r>
          </w:p>
        </w:tc>
        <w:tc>
          <w:tcPr>
            <w:tcW w:type="dxa" w:w="1296"/>
            <w:vAlign w:val="center"/>
          </w:tcPr>
          <w:p>
            <w:r/>
            <w:r>
              <w:rPr>
                <w:b w:val="0"/>
                <w:sz w:val="16"/>
              </w:rPr>
              <w:t>12</w:t>
            </w:r>
          </w:p>
        </w:tc>
        <w:tc>
          <w:tcPr>
            <w:tcW w:type="dxa" w:w="1080"/>
            <w:vAlign w:val="center"/>
          </w:tcPr>
          <w:p>
            <w:r/>
            <w:r>
              <w:rPr>
                <w:b w:val="0"/>
                <w:sz w:val="16"/>
              </w:rPr>
              <w:t>17.38</w:t>
            </w:r>
          </w:p>
        </w:tc>
        <w:tc>
          <w:tcPr>
            <w:tcW w:type="dxa" w:w="1296"/>
            <w:vAlign w:val="center"/>
          </w:tcPr>
          <w:p>
            <w:r/>
            <w:r>
              <w:rPr>
                <w:b w:val="0"/>
                <w:sz w:val="16"/>
              </w:rPr>
              <w:t>High</w:t>
            </w:r>
          </w:p>
        </w:tc>
        <w:tc>
          <w:tcPr>
            <w:tcW w:type="dxa" w:w="1296"/>
            <w:vAlign w:val="center"/>
          </w:tcPr>
          <w:p>
            <w:r/>
            <w:r>
              <w:rPr>
                <w:b w:val="0"/>
                <w:sz w:val="16"/>
              </w:rPr>
              <w:t>Medium</w:t>
            </w:r>
          </w:p>
        </w:tc>
      </w:tr>
      <w:tr>
        <w:trPr>
          <w:cantSplit/>
        </w:trPr>
        <w:tc>
          <w:tcPr>
            <w:tcW w:type="dxa" w:w="792"/>
            <w:vAlign w:val="center"/>
          </w:tcPr>
          <w:p>
            <w:r/>
            <w:r>
              <w:rPr>
                <w:b w:val="0"/>
                <w:sz w:val="16"/>
              </w:rPr>
              <w:t>5</w:t>
            </w:r>
          </w:p>
        </w:tc>
        <w:tc>
          <w:tcPr>
            <w:tcW w:type="dxa" w:w="936"/>
            <w:vAlign w:val="center"/>
          </w:tcPr>
          <w:p>
            <w:r/>
            <w:r>
              <w:rPr>
                <w:b w:val="0"/>
                <w:sz w:val="16"/>
              </w:rPr>
              <w:t>T07</w:t>
            </w:r>
          </w:p>
        </w:tc>
        <w:tc>
          <w:tcPr>
            <w:tcW w:type="dxa" w:w="1008"/>
            <w:vAlign w:val="center"/>
          </w:tcPr>
          <w:p>
            <w:r/>
            <w:r>
              <w:rPr>
                <w:b w:val="0"/>
                <w:sz w:val="16"/>
              </w:rPr>
              <w:t>57.74</w:t>
            </w:r>
          </w:p>
        </w:tc>
        <w:tc>
          <w:tcPr>
            <w:tcW w:type="dxa" w:w="1296"/>
            <w:vAlign w:val="center"/>
          </w:tcPr>
          <w:p>
            <w:r/>
            <w:r>
              <w:rPr>
                <w:b w:val="0"/>
                <w:sz w:val="16"/>
              </w:rPr>
              <w:t>13.83</w:t>
            </w:r>
          </w:p>
        </w:tc>
        <w:tc>
          <w:tcPr>
            <w:tcW w:type="dxa" w:w="1080"/>
            <w:vAlign w:val="center"/>
          </w:tcPr>
          <w:p>
            <w:r/>
            <w:r>
              <w:rPr>
                <w:b w:val="0"/>
                <w:sz w:val="16"/>
              </w:rPr>
              <w:t>19.72</w:t>
            </w:r>
          </w:p>
        </w:tc>
        <w:tc>
          <w:tcPr>
            <w:tcW w:type="dxa" w:w="1296"/>
            <w:vAlign w:val="center"/>
          </w:tcPr>
          <w:p>
            <w:r/>
            <w:r>
              <w:rPr>
                <w:b w:val="0"/>
                <w:sz w:val="16"/>
              </w:rPr>
              <w:t>Medium</w:t>
            </w:r>
          </w:p>
        </w:tc>
        <w:tc>
          <w:tcPr>
            <w:tcW w:type="dxa" w:w="1296"/>
            <w:vAlign w:val="center"/>
          </w:tcPr>
          <w:p>
            <w:r/>
            <w:r>
              <w:rPr>
                <w:b w:val="0"/>
                <w:sz w:val="16"/>
              </w:rPr>
              <w:t>Medium</w:t>
            </w:r>
          </w:p>
        </w:tc>
      </w:tr>
      <w:tr>
        <w:trPr>
          <w:cantSplit/>
        </w:trPr>
        <w:tc>
          <w:tcPr>
            <w:tcW w:type="dxa" w:w="792"/>
            <w:vAlign w:val="center"/>
          </w:tcPr>
          <w:p>
            <w:r/>
            <w:r>
              <w:rPr>
                <w:b w:val="0"/>
                <w:sz w:val="16"/>
              </w:rPr>
              <w:t>6</w:t>
            </w:r>
          </w:p>
        </w:tc>
        <w:tc>
          <w:tcPr>
            <w:tcW w:type="dxa" w:w="936"/>
            <w:vAlign w:val="center"/>
          </w:tcPr>
          <w:p>
            <w:r/>
            <w:r>
              <w:rPr>
                <w:b w:val="0"/>
                <w:sz w:val="16"/>
              </w:rPr>
              <w:t>3470</w:t>
            </w:r>
          </w:p>
        </w:tc>
        <w:tc>
          <w:tcPr>
            <w:tcW w:type="dxa" w:w="1008"/>
            <w:vAlign w:val="center"/>
          </w:tcPr>
          <w:p>
            <w:r/>
            <w:r>
              <w:rPr>
                <w:b w:val="0"/>
                <w:sz w:val="16"/>
              </w:rPr>
              <w:t>56.66</w:t>
            </w:r>
          </w:p>
        </w:tc>
        <w:tc>
          <w:tcPr>
            <w:tcW w:type="dxa" w:w="1296"/>
            <w:vAlign w:val="center"/>
          </w:tcPr>
          <w:p>
            <w:r/>
            <w:r>
              <w:rPr>
                <w:b w:val="0"/>
                <w:sz w:val="16"/>
              </w:rPr>
              <w:t>10.5</w:t>
            </w:r>
          </w:p>
        </w:tc>
        <w:tc>
          <w:tcPr>
            <w:tcW w:type="dxa" w:w="1080"/>
            <w:vAlign w:val="center"/>
          </w:tcPr>
          <w:p>
            <w:r/>
            <w:r>
              <w:rPr>
                <w:b w:val="0"/>
                <w:sz w:val="16"/>
              </w:rPr>
              <w:t>15.03</w:t>
            </w:r>
          </w:p>
        </w:tc>
        <w:tc>
          <w:tcPr>
            <w:tcW w:type="dxa" w:w="1296"/>
            <w:vAlign w:val="center"/>
          </w:tcPr>
          <w:p>
            <w:r/>
            <w:r>
              <w:rPr>
                <w:b w:val="0"/>
                <w:sz w:val="16"/>
              </w:rPr>
              <w:t>Medium</w:t>
            </w:r>
          </w:p>
        </w:tc>
        <w:tc>
          <w:tcPr>
            <w:tcW w:type="dxa" w:w="1296"/>
            <w:vAlign w:val="center"/>
          </w:tcPr>
          <w:p>
            <w:r/>
            <w:r>
              <w:rPr>
                <w:b w:val="0"/>
                <w:sz w:val="16"/>
              </w:rPr>
              <w:t>Medium</w:t>
            </w:r>
          </w:p>
        </w:tc>
      </w:tr>
      <w:tr>
        <w:trPr>
          <w:cantSplit/>
        </w:trPr>
        <w:tc>
          <w:tcPr>
            <w:tcW w:type="dxa" w:w="792"/>
            <w:vAlign w:val="center"/>
          </w:tcPr>
          <w:p>
            <w:r/>
            <w:r>
              <w:rPr>
                <w:b w:val="0"/>
                <w:sz w:val="16"/>
              </w:rPr>
              <w:t>7</w:t>
            </w:r>
          </w:p>
        </w:tc>
        <w:tc>
          <w:tcPr>
            <w:tcW w:type="dxa" w:w="936"/>
            <w:vAlign w:val="center"/>
          </w:tcPr>
          <w:p>
            <w:r/>
            <w:r>
              <w:rPr>
                <w:b w:val="0"/>
                <w:sz w:val="16"/>
              </w:rPr>
              <w:t>T02</w:t>
            </w:r>
          </w:p>
        </w:tc>
        <w:tc>
          <w:tcPr>
            <w:tcW w:type="dxa" w:w="1008"/>
            <w:vAlign w:val="center"/>
          </w:tcPr>
          <w:p>
            <w:r/>
            <w:r>
              <w:rPr>
                <w:b w:val="0"/>
                <w:sz w:val="16"/>
              </w:rPr>
              <w:t>56.49</w:t>
            </w:r>
          </w:p>
        </w:tc>
        <w:tc>
          <w:tcPr>
            <w:tcW w:type="dxa" w:w="1296"/>
            <w:vAlign w:val="center"/>
          </w:tcPr>
          <w:p>
            <w:r/>
            <w:r>
              <w:rPr>
                <w:b w:val="0"/>
                <w:sz w:val="16"/>
              </w:rPr>
              <w:t>10.67</w:t>
            </w:r>
          </w:p>
        </w:tc>
        <w:tc>
          <w:tcPr>
            <w:tcW w:type="dxa" w:w="1080"/>
            <w:vAlign w:val="center"/>
          </w:tcPr>
          <w:p>
            <w:r/>
            <w:r>
              <w:rPr>
                <w:b w:val="0"/>
                <w:sz w:val="16"/>
              </w:rPr>
              <w:t>18.35</w:t>
            </w:r>
          </w:p>
        </w:tc>
        <w:tc>
          <w:tcPr>
            <w:tcW w:type="dxa" w:w="1296"/>
            <w:vAlign w:val="center"/>
          </w:tcPr>
          <w:p>
            <w:r/>
            <w:r>
              <w:rPr>
                <w:b w:val="0"/>
                <w:sz w:val="16"/>
              </w:rPr>
              <w:t>High</w:t>
            </w:r>
          </w:p>
        </w:tc>
        <w:tc>
          <w:tcPr>
            <w:tcW w:type="dxa" w:w="1296"/>
            <w:vAlign w:val="center"/>
          </w:tcPr>
          <w:p>
            <w:r/>
            <w:r>
              <w:rPr>
                <w:b w:val="0"/>
                <w:sz w:val="16"/>
              </w:rPr>
              <w:t>Medium</w:t>
            </w:r>
          </w:p>
        </w:tc>
      </w:tr>
      <w:tr>
        <w:trPr>
          <w:cantSplit/>
        </w:trPr>
        <w:tc>
          <w:tcPr>
            <w:tcW w:type="dxa" w:w="792"/>
            <w:vAlign w:val="center"/>
          </w:tcPr>
          <w:p>
            <w:r/>
            <w:r>
              <w:rPr>
                <w:b w:val="0"/>
                <w:sz w:val="16"/>
              </w:rPr>
              <w:t>8</w:t>
            </w:r>
          </w:p>
        </w:tc>
        <w:tc>
          <w:tcPr>
            <w:tcW w:type="dxa" w:w="936"/>
            <w:vAlign w:val="center"/>
          </w:tcPr>
          <w:p>
            <w:r/>
            <w:r>
              <w:rPr>
                <w:b w:val="0"/>
                <w:sz w:val="16"/>
              </w:rPr>
              <w:t>T15</w:t>
            </w:r>
          </w:p>
        </w:tc>
        <w:tc>
          <w:tcPr>
            <w:tcW w:type="dxa" w:w="1008"/>
            <w:vAlign w:val="center"/>
          </w:tcPr>
          <w:p>
            <w:r/>
            <w:r>
              <w:rPr>
                <w:b w:val="0"/>
                <w:sz w:val="16"/>
              </w:rPr>
              <w:t>56.34</w:t>
            </w:r>
          </w:p>
        </w:tc>
        <w:tc>
          <w:tcPr>
            <w:tcW w:type="dxa" w:w="1296"/>
            <w:vAlign w:val="center"/>
          </w:tcPr>
          <w:p>
            <w:r/>
            <w:r>
              <w:rPr>
                <w:b w:val="0"/>
                <w:sz w:val="16"/>
              </w:rPr>
              <w:t>11.33</w:t>
            </w:r>
          </w:p>
        </w:tc>
        <w:tc>
          <w:tcPr>
            <w:tcW w:type="dxa" w:w="1080"/>
            <w:vAlign w:val="center"/>
          </w:tcPr>
          <w:p>
            <w:r/>
            <w:r>
              <w:rPr>
                <w:b w:val="0"/>
                <w:sz w:val="16"/>
              </w:rPr>
              <w:t>16.45</w:t>
            </w:r>
          </w:p>
        </w:tc>
        <w:tc>
          <w:tcPr>
            <w:tcW w:type="dxa" w:w="1296"/>
            <w:vAlign w:val="center"/>
          </w:tcPr>
          <w:p>
            <w:r/>
            <w:r>
              <w:rPr>
                <w:b w:val="0"/>
                <w:sz w:val="16"/>
              </w:rPr>
              <w:t>Medium</w:t>
            </w:r>
          </w:p>
        </w:tc>
        <w:tc>
          <w:tcPr>
            <w:tcW w:type="dxa" w:w="1296"/>
            <w:vAlign w:val="center"/>
          </w:tcPr>
          <w:p>
            <w:r/>
            <w:r>
              <w:rPr>
                <w:b w:val="0"/>
                <w:sz w:val="16"/>
              </w:rPr>
              <w:t>High</w:t>
            </w:r>
          </w:p>
        </w:tc>
      </w:tr>
      <w:tr>
        <w:trPr>
          <w:cantSplit/>
        </w:trPr>
        <w:tc>
          <w:tcPr>
            <w:tcW w:type="dxa" w:w="792"/>
            <w:vAlign w:val="center"/>
          </w:tcPr>
          <w:p>
            <w:r/>
            <w:r>
              <w:rPr>
                <w:b w:val="0"/>
                <w:sz w:val="16"/>
              </w:rPr>
              <w:t>9</w:t>
            </w:r>
          </w:p>
        </w:tc>
        <w:tc>
          <w:tcPr>
            <w:tcW w:type="dxa" w:w="936"/>
            <w:vAlign w:val="center"/>
          </w:tcPr>
          <w:p>
            <w:r/>
            <w:r>
              <w:rPr>
                <w:b w:val="0"/>
                <w:sz w:val="16"/>
              </w:rPr>
              <w:t>T06</w:t>
            </w:r>
          </w:p>
        </w:tc>
        <w:tc>
          <w:tcPr>
            <w:tcW w:type="dxa" w:w="1008"/>
            <w:vAlign w:val="center"/>
          </w:tcPr>
          <w:p>
            <w:r/>
            <w:r>
              <w:rPr>
                <w:b w:val="0"/>
                <w:sz w:val="16"/>
              </w:rPr>
              <w:t>55.49</w:t>
            </w:r>
          </w:p>
        </w:tc>
        <w:tc>
          <w:tcPr>
            <w:tcW w:type="dxa" w:w="1296"/>
            <w:vAlign w:val="center"/>
          </w:tcPr>
          <w:p>
            <w:r/>
            <w:r>
              <w:rPr>
                <w:b w:val="0"/>
                <w:sz w:val="16"/>
              </w:rPr>
              <w:t>13.5</w:t>
            </w:r>
          </w:p>
        </w:tc>
        <w:tc>
          <w:tcPr>
            <w:tcW w:type="dxa" w:w="1080"/>
            <w:vAlign w:val="center"/>
          </w:tcPr>
          <w:p>
            <w:r/>
            <w:r>
              <w:rPr>
                <w:b w:val="0"/>
                <w:sz w:val="16"/>
              </w:rPr>
              <w:t>19.82</w:t>
            </w:r>
          </w:p>
        </w:tc>
        <w:tc>
          <w:tcPr>
            <w:tcW w:type="dxa" w:w="1296"/>
            <w:vAlign w:val="center"/>
          </w:tcPr>
          <w:p>
            <w:r/>
            <w:r>
              <w:rPr>
                <w:b w:val="0"/>
                <w:sz w:val="16"/>
              </w:rPr>
              <w:t>Medium</w:t>
            </w:r>
          </w:p>
        </w:tc>
        <w:tc>
          <w:tcPr>
            <w:tcW w:type="dxa" w:w="1296"/>
            <w:vAlign w:val="center"/>
          </w:tcPr>
          <w:p>
            <w:r/>
            <w:r>
              <w:rPr>
                <w:b w:val="0"/>
                <w:sz w:val="16"/>
              </w:rPr>
              <w:t>Medium</w:t>
            </w:r>
          </w:p>
        </w:tc>
      </w:tr>
      <w:tr>
        <w:trPr>
          <w:cantSplit/>
        </w:trPr>
        <w:tc>
          <w:tcPr>
            <w:tcW w:type="dxa" w:w="792"/>
            <w:vAlign w:val="center"/>
          </w:tcPr>
          <w:p>
            <w:r/>
            <w:r>
              <w:rPr>
                <w:b w:val="0"/>
                <w:sz w:val="16"/>
              </w:rPr>
              <w:t>10</w:t>
            </w:r>
          </w:p>
        </w:tc>
        <w:tc>
          <w:tcPr>
            <w:tcW w:type="dxa" w:w="936"/>
            <w:vAlign w:val="center"/>
          </w:tcPr>
          <w:p>
            <w:r/>
            <w:r>
              <w:rPr>
                <w:b w:val="0"/>
                <w:sz w:val="16"/>
              </w:rPr>
              <w:t>T09</w:t>
            </w:r>
          </w:p>
        </w:tc>
        <w:tc>
          <w:tcPr>
            <w:tcW w:type="dxa" w:w="1008"/>
            <w:vAlign w:val="center"/>
          </w:tcPr>
          <w:p>
            <w:r/>
            <w:r>
              <w:rPr>
                <w:b w:val="0"/>
                <w:sz w:val="16"/>
              </w:rPr>
              <w:t>53.25</w:t>
            </w:r>
          </w:p>
        </w:tc>
        <w:tc>
          <w:tcPr>
            <w:tcW w:type="dxa" w:w="1296"/>
            <w:vAlign w:val="center"/>
          </w:tcPr>
          <w:p>
            <w:r/>
            <w:r>
              <w:rPr>
                <w:b w:val="0"/>
                <w:sz w:val="16"/>
              </w:rPr>
              <w:t>8.33</w:t>
            </w:r>
          </w:p>
        </w:tc>
        <w:tc>
          <w:tcPr>
            <w:tcW w:type="dxa" w:w="1080"/>
            <w:vAlign w:val="center"/>
          </w:tcPr>
          <w:p>
            <w:r/>
            <w:r>
              <w:rPr>
                <w:b w:val="0"/>
                <w:sz w:val="16"/>
              </w:rPr>
              <w:t>15.32</w:t>
            </w:r>
          </w:p>
        </w:tc>
        <w:tc>
          <w:tcPr>
            <w:tcW w:type="dxa" w:w="1296"/>
            <w:vAlign w:val="center"/>
          </w:tcPr>
          <w:p>
            <w:r/>
            <w:r>
              <w:rPr>
                <w:b w:val="0"/>
                <w:sz w:val="16"/>
              </w:rPr>
              <w:t>Low</w:t>
            </w:r>
          </w:p>
        </w:tc>
        <w:tc>
          <w:tcPr>
            <w:tcW w:type="dxa" w:w="1296"/>
            <w:vAlign w:val="center"/>
          </w:tcPr>
          <w:p>
            <w:r/>
            <w:r>
              <w:rPr>
                <w:b w:val="0"/>
                <w:sz w:val="16"/>
              </w:rPr>
              <w:t>Medium</w:t>
            </w:r>
          </w:p>
        </w:tc>
      </w:tr>
      <w:tr>
        <w:trPr>
          <w:cantSplit/>
        </w:trPr>
        <w:tc>
          <w:tcPr>
            <w:tcW w:type="dxa" w:w="792"/>
            <w:vAlign w:val="center"/>
          </w:tcPr>
          <w:p>
            <w:r/>
            <w:r>
              <w:rPr>
                <w:b w:val="0"/>
                <w:sz w:val="16"/>
              </w:rPr>
              <w:t>11</w:t>
            </w:r>
          </w:p>
        </w:tc>
        <w:tc>
          <w:tcPr>
            <w:tcW w:type="dxa" w:w="936"/>
            <w:vAlign w:val="center"/>
          </w:tcPr>
          <w:p>
            <w:r/>
            <w:r>
              <w:rPr>
                <w:b w:val="0"/>
                <w:sz w:val="16"/>
              </w:rPr>
              <w:t>T12</w:t>
            </w:r>
          </w:p>
        </w:tc>
        <w:tc>
          <w:tcPr>
            <w:tcW w:type="dxa" w:w="1008"/>
            <w:vAlign w:val="center"/>
          </w:tcPr>
          <w:p>
            <w:r/>
            <w:r>
              <w:rPr>
                <w:b w:val="0"/>
                <w:sz w:val="16"/>
              </w:rPr>
              <w:t>49.54</w:t>
            </w:r>
          </w:p>
        </w:tc>
        <w:tc>
          <w:tcPr>
            <w:tcW w:type="dxa" w:w="1296"/>
            <w:vAlign w:val="center"/>
          </w:tcPr>
          <w:p>
            <w:r/>
            <w:r>
              <w:rPr>
                <w:b w:val="0"/>
                <w:sz w:val="16"/>
              </w:rPr>
              <w:t>10.5</w:t>
            </w:r>
          </w:p>
        </w:tc>
        <w:tc>
          <w:tcPr>
            <w:tcW w:type="dxa" w:w="1080"/>
            <w:vAlign w:val="center"/>
          </w:tcPr>
          <w:p>
            <w:r/>
            <w:r>
              <w:rPr>
                <w:b w:val="0"/>
                <w:sz w:val="16"/>
              </w:rPr>
              <w:t>15.0</w:t>
            </w:r>
          </w:p>
        </w:tc>
        <w:tc>
          <w:tcPr>
            <w:tcW w:type="dxa" w:w="1296"/>
            <w:vAlign w:val="center"/>
          </w:tcPr>
          <w:p>
            <w:r/>
            <w:r>
              <w:rPr>
                <w:b w:val="0"/>
                <w:sz w:val="16"/>
              </w:rPr>
              <w:t>Medium</w:t>
            </w:r>
          </w:p>
        </w:tc>
        <w:tc>
          <w:tcPr>
            <w:tcW w:type="dxa" w:w="1296"/>
            <w:vAlign w:val="center"/>
          </w:tcPr>
          <w:p>
            <w:r/>
            <w:r>
              <w:rPr>
                <w:b w:val="0"/>
                <w:sz w:val="16"/>
              </w:rPr>
              <w:t>Low</w:t>
            </w:r>
          </w:p>
        </w:tc>
      </w:tr>
      <w:tr>
        <w:trPr>
          <w:cantSplit/>
        </w:trPr>
        <w:tc>
          <w:tcPr>
            <w:tcW w:type="dxa" w:w="792"/>
            <w:vAlign w:val="center"/>
          </w:tcPr>
          <w:p>
            <w:r/>
            <w:r>
              <w:rPr>
                <w:b w:val="0"/>
                <w:sz w:val="16"/>
              </w:rPr>
              <w:t>12</w:t>
            </w:r>
          </w:p>
        </w:tc>
        <w:tc>
          <w:tcPr>
            <w:tcW w:type="dxa" w:w="936"/>
            <w:vAlign w:val="center"/>
          </w:tcPr>
          <w:p>
            <w:r/>
            <w:r>
              <w:rPr>
                <w:b w:val="0"/>
                <w:sz w:val="16"/>
              </w:rPr>
              <w:t>T10</w:t>
            </w:r>
          </w:p>
        </w:tc>
        <w:tc>
          <w:tcPr>
            <w:tcW w:type="dxa" w:w="1008"/>
            <w:vAlign w:val="center"/>
          </w:tcPr>
          <w:p>
            <w:r/>
            <w:r>
              <w:rPr>
                <w:b w:val="0"/>
                <w:sz w:val="16"/>
              </w:rPr>
              <w:t>47.85</w:t>
            </w:r>
          </w:p>
        </w:tc>
        <w:tc>
          <w:tcPr>
            <w:tcW w:type="dxa" w:w="1296"/>
            <w:vAlign w:val="center"/>
          </w:tcPr>
          <w:p>
            <w:r/>
            <w:r>
              <w:rPr>
                <w:b w:val="0"/>
                <w:sz w:val="16"/>
              </w:rPr>
              <w:t>9</w:t>
            </w:r>
          </w:p>
        </w:tc>
        <w:tc>
          <w:tcPr>
            <w:tcW w:type="dxa" w:w="1080"/>
            <w:vAlign w:val="center"/>
          </w:tcPr>
          <w:p>
            <w:r/>
            <w:r>
              <w:rPr>
                <w:b w:val="0"/>
                <w:sz w:val="16"/>
              </w:rPr>
              <w:t>16.4</w:t>
            </w:r>
          </w:p>
        </w:tc>
        <w:tc>
          <w:tcPr>
            <w:tcW w:type="dxa" w:w="1296"/>
            <w:vAlign w:val="center"/>
          </w:tcPr>
          <w:p>
            <w:r/>
            <w:r>
              <w:rPr>
                <w:b w:val="0"/>
                <w:sz w:val="16"/>
              </w:rPr>
              <w:t>Low</w:t>
            </w:r>
          </w:p>
        </w:tc>
        <w:tc>
          <w:tcPr>
            <w:tcW w:type="dxa" w:w="1296"/>
            <w:vAlign w:val="center"/>
          </w:tcPr>
          <w:p>
            <w:r/>
            <w:r>
              <w:rPr>
                <w:b w:val="0"/>
                <w:sz w:val="16"/>
              </w:rPr>
              <w:t>High</w:t>
            </w:r>
          </w:p>
        </w:tc>
      </w:tr>
      <w:tr>
        <w:trPr>
          <w:cantSplit/>
        </w:trPr>
        <w:tc>
          <w:tcPr>
            <w:tcW w:type="dxa" w:w="792"/>
            <w:vAlign w:val="center"/>
          </w:tcPr>
          <w:p>
            <w:r/>
            <w:r>
              <w:rPr>
                <w:b w:val="0"/>
                <w:sz w:val="16"/>
              </w:rPr>
              <w:t>13</w:t>
            </w:r>
          </w:p>
        </w:tc>
        <w:tc>
          <w:tcPr>
            <w:tcW w:type="dxa" w:w="936"/>
            <w:vAlign w:val="center"/>
          </w:tcPr>
          <w:p>
            <w:r/>
            <w:r>
              <w:rPr>
                <w:b w:val="0"/>
                <w:sz w:val="16"/>
              </w:rPr>
              <w:t>T01</w:t>
            </w:r>
          </w:p>
        </w:tc>
        <w:tc>
          <w:tcPr>
            <w:tcW w:type="dxa" w:w="1008"/>
            <w:vAlign w:val="center"/>
          </w:tcPr>
          <w:p>
            <w:r/>
            <w:r>
              <w:rPr>
                <w:b w:val="0"/>
                <w:sz w:val="16"/>
              </w:rPr>
              <w:t>47.75</w:t>
            </w:r>
          </w:p>
        </w:tc>
        <w:tc>
          <w:tcPr>
            <w:tcW w:type="dxa" w:w="1296"/>
            <w:vAlign w:val="center"/>
          </w:tcPr>
          <w:p>
            <w:r/>
            <w:r>
              <w:rPr>
                <w:b w:val="0"/>
                <w:sz w:val="16"/>
              </w:rPr>
              <w:t>10.33</w:t>
            </w:r>
          </w:p>
        </w:tc>
        <w:tc>
          <w:tcPr>
            <w:tcW w:type="dxa" w:w="1080"/>
            <w:vAlign w:val="center"/>
          </w:tcPr>
          <w:p>
            <w:r/>
            <w:r>
              <w:rPr>
                <w:b w:val="0"/>
                <w:sz w:val="16"/>
              </w:rPr>
              <w:t>18.25</w:t>
            </w:r>
          </w:p>
        </w:tc>
        <w:tc>
          <w:tcPr>
            <w:tcW w:type="dxa" w:w="1296"/>
            <w:vAlign w:val="center"/>
          </w:tcPr>
          <w:p>
            <w:r/>
            <w:r>
              <w:rPr>
                <w:b w:val="0"/>
                <w:sz w:val="16"/>
              </w:rPr>
              <w:t>Medium</w:t>
            </w:r>
          </w:p>
        </w:tc>
        <w:tc>
          <w:tcPr>
            <w:tcW w:type="dxa" w:w="1296"/>
            <w:vAlign w:val="center"/>
          </w:tcPr>
          <w:p>
            <w:r/>
            <w:r>
              <w:rPr>
                <w:b w:val="0"/>
                <w:sz w:val="16"/>
              </w:rPr>
              <w:t>Medium</w:t>
            </w:r>
          </w:p>
        </w:tc>
      </w:tr>
      <w:tr>
        <w:trPr>
          <w:cantSplit/>
        </w:trPr>
        <w:tc>
          <w:tcPr>
            <w:tcW w:type="dxa" w:w="792"/>
            <w:vAlign w:val="center"/>
          </w:tcPr>
          <w:p>
            <w:r/>
            <w:r>
              <w:rPr>
                <w:b w:val="0"/>
                <w:sz w:val="16"/>
              </w:rPr>
              <w:t>14</w:t>
            </w:r>
          </w:p>
        </w:tc>
        <w:tc>
          <w:tcPr>
            <w:tcW w:type="dxa" w:w="936"/>
            <w:vAlign w:val="center"/>
          </w:tcPr>
          <w:p>
            <w:r/>
            <w:r>
              <w:rPr>
                <w:b w:val="0"/>
                <w:sz w:val="16"/>
              </w:rPr>
              <w:t>T13</w:t>
            </w:r>
          </w:p>
        </w:tc>
        <w:tc>
          <w:tcPr>
            <w:tcW w:type="dxa" w:w="1008"/>
            <w:vAlign w:val="center"/>
          </w:tcPr>
          <w:p>
            <w:r/>
            <w:r>
              <w:rPr>
                <w:b w:val="0"/>
                <w:sz w:val="16"/>
              </w:rPr>
              <w:t>42.46</w:t>
            </w:r>
          </w:p>
        </w:tc>
        <w:tc>
          <w:tcPr>
            <w:tcW w:type="dxa" w:w="1296"/>
            <w:vAlign w:val="center"/>
          </w:tcPr>
          <w:p>
            <w:r/>
            <w:r>
              <w:rPr>
                <w:b w:val="0"/>
                <w:sz w:val="16"/>
              </w:rPr>
              <w:t>6.5</w:t>
            </w:r>
          </w:p>
        </w:tc>
        <w:tc>
          <w:tcPr>
            <w:tcW w:type="dxa" w:w="1080"/>
            <w:vAlign w:val="center"/>
          </w:tcPr>
          <w:p>
            <w:r/>
            <w:r>
              <w:rPr>
                <w:b w:val="0"/>
                <w:sz w:val="16"/>
              </w:rPr>
              <w:t>14.4</w:t>
            </w:r>
          </w:p>
        </w:tc>
        <w:tc>
          <w:tcPr>
            <w:tcW w:type="dxa" w:w="1296"/>
            <w:vAlign w:val="center"/>
          </w:tcPr>
          <w:p>
            <w:r/>
            <w:r>
              <w:rPr>
                <w:b w:val="0"/>
                <w:sz w:val="16"/>
              </w:rPr>
              <w:t>Low</w:t>
            </w:r>
          </w:p>
        </w:tc>
        <w:tc>
          <w:tcPr>
            <w:tcW w:type="dxa" w:w="1296"/>
            <w:vAlign w:val="center"/>
          </w:tcPr>
          <w:p>
            <w:r/>
            <w:r>
              <w:rPr>
                <w:b w:val="0"/>
                <w:sz w:val="16"/>
              </w:rPr>
              <w:t>High</w:t>
            </w:r>
          </w:p>
        </w:tc>
      </w:tr>
      <w:tr>
        <w:trPr>
          <w:cantSplit/>
        </w:trPr>
        <w:tc>
          <w:tcPr>
            <w:tcW w:type="dxa" w:w="792"/>
            <w:vAlign w:val="center"/>
          </w:tcPr>
          <w:p>
            <w:r/>
            <w:r>
              <w:rPr>
                <w:b w:val="0"/>
                <w:sz w:val="16"/>
              </w:rPr>
              <w:t>15</w:t>
            </w:r>
          </w:p>
        </w:tc>
        <w:tc>
          <w:tcPr>
            <w:tcW w:type="dxa" w:w="936"/>
            <w:vAlign w:val="center"/>
          </w:tcPr>
          <w:p>
            <w:r/>
            <w:r>
              <w:rPr>
                <w:b w:val="0"/>
                <w:sz w:val="16"/>
              </w:rPr>
              <w:t>T03</w:t>
            </w:r>
          </w:p>
        </w:tc>
        <w:tc>
          <w:tcPr>
            <w:tcW w:type="dxa" w:w="1008"/>
            <w:vAlign w:val="center"/>
          </w:tcPr>
          <w:p>
            <w:r/>
            <w:r>
              <w:rPr>
                <w:b w:val="0"/>
                <w:sz w:val="16"/>
              </w:rPr>
              <w:t>39.66</w:t>
            </w:r>
          </w:p>
        </w:tc>
        <w:tc>
          <w:tcPr>
            <w:tcW w:type="dxa" w:w="1296"/>
            <w:vAlign w:val="center"/>
          </w:tcPr>
          <w:p>
            <w:r/>
            <w:r>
              <w:rPr>
                <w:b w:val="0"/>
                <w:sz w:val="16"/>
              </w:rPr>
              <w:t>11.67</w:t>
            </w:r>
          </w:p>
        </w:tc>
        <w:tc>
          <w:tcPr>
            <w:tcW w:type="dxa" w:w="1080"/>
            <w:vAlign w:val="center"/>
          </w:tcPr>
          <w:p>
            <w:r/>
            <w:r>
              <w:rPr>
                <w:b w:val="0"/>
                <w:sz w:val="16"/>
              </w:rPr>
              <w:t>20.0</w:t>
            </w:r>
          </w:p>
        </w:tc>
        <w:tc>
          <w:tcPr>
            <w:tcW w:type="dxa" w:w="1296"/>
            <w:vAlign w:val="center"/>
          </w:tcPr>
          <w:p>
            <w:r/>
            <w:r>
              <w:rPr>
                <w:b w:val="0"/>
                <w:sz w:val="16"/>
              </w:rPr>
              <w:t>Medium</w:t>
            </w:r>
          </w:p>
        </w:tc>
        <w:tc>
          <w:tcPr>
            <w:tcW w:type="dxa" w:w="1296"/>
            <w:vAlign w:val="center"/>
          </w:tcPr>
          <w:p>
            <w:r/>
            <w:r>
              <w:rPr>
                <w:b w:val="0"/>
                <w:sz w:val="16"/>
              </w:rPr>
              <w:t>Low</w:t>
            </w:r>
          </w:p>
        </w:tc>
      </w:tr>
      <w:tr>
        <w:trPr>
          <w:cantSplit/>
        </w:trPr>
        <w:tc>
          <w:tcPr>
            <w:tcW w:type="dxa" w:w="792"/>
            <w:vAlign w:val="center"/>
          </w:tcPr>
          <w:p>
            <w:r/>
            <w:r>
              <w:rPr>
                <w:b w:val="0"/>
                <w:sz w:val="16"/>
              </w:rPr>
              <w:t>16</w:t>
            </w:r>
          </w:p>
        </w:tc>
        <w:tc>
          <w:tcPr>
            <w:tcW w:type="dxa" w:w="936"/>
            <w:vAlign w:val="center"/>
          </w:tcPr>
          <w:p>
            <w:r/>
            <w:r>
              <w:rPr>
                <w:b w:val="0"/>
                <w:sz w:val="16"/>
              </w:rPr>
              <w:t>T16</w:t>
            </w:r>
          </w:p>
        </w:tc>
        <w:tc>
          <w:tcPr>
            <w:tcW w:type="dxa" w:w="1008"/>
            <w:vAlign w:val="center"/>
          </w:tcPr>
          <w:p>
            <w:r/>
            <w:r>
              <w:rPr>
                <w:b w:val="0"/>
                <w:sz w:val="16"/>
              </w:rPr>
              <w:t>34.43</w:t>
            </w:r>
          </w:p>
        </w:tc>
        <w:tc>
          <w:tcPr>
            <w:tcW w:type="dxa" w:w="1296"/>
            <w:vAlign w:val="center"/>
          </w:tcPr>
          <w:p>
            <w:r/>
            <w:r>
              <w:rPr>
                <w:b w:val="0"/>
                <w:sz w:val="16"/>
              </w:rPr>
              <w:t>6.5</w:t>
            </w:r>
          </w:p>
        </w:tc>
        <w:tc>
          <w:tcPr>
            <w:tcW w:type="dxa" w:w="1080"/>
            <w:vAlign w:val="center"/>
          </w:tcPr>
          <w:p>
            <w:r/>
            <w:r>
              <w:rPr>
                <w:b w:val="0"/>
                <w:sz w:val="16"/>
              </w:rPr>
              <w:t>20.27</w:t>
            </w:r>
          </w:p>
        </w:tc>
        <w:tc>
          <w:tcPr>
            <w:tcW w:type="dxa" w:w="1296"/>
            <w:vAlign w:val="center"/>
          </w:tcPr>
          <w:p>
            <w:r/>
            <w:r>
              <w:rPr>
                <w:b w:val="0"/>
                <w:sz w:val="16"/>
              </w:rPr>
              <w:t>Low</w:t>
            </w:r>
          </w:p>
        </w:tc>
        <w:tc>
          <w:tcPr>
            <w:tcW w:type="dxa" w:w="1296"/>
            <w:vAlign w:val="center"/>
          </w:tcPr>
          <w:p>
            <w:r/>
            <w:r>
              <w:rPr>
                <w:b w:val="0"/>
                <w:sz w:val="16"/>
              </w:rPr>
              <w:t>Medium</w:t>
            </w:r>
          </w:p>
        </w:tc>
      </w:tr>
      <w:tr>
        <w:trPr>
          <w:cantSplit/>
        </w:trPr>
        <w:tc>
          <w:tcPr>
            <w:tcW w:type="dxa" w:w="792"/>
            <w:vAlign w:val="center"/>
          </w:tcPr>
          <w:p>
            <w:r/>
            <w:r>
              <w:rPr>
                <w:b w:val="0"/>
                <w:sz w:val="16"/>
              </w:rPr>
              <w:t>17</w:t>
            </w:r>
          </w:p>
        </w:tc>
        <w:tc>
          <w:tcPr>
            <w:tcW w:type="dxa" w:w="936"/>
            <w:vAlign w:val="center"/>
          </w:tcPr>
          <w:p>
            <w:r/>
            <w:r>
              <w:rPr>
                <w:b w:val="0"/>
                <w:sz w:val="16"/>
              </w:rPr>
              <w:t>T04</w:t>
            </w:r>
          </w:p>
        </w:tc>
        <w:tc>
          <w:tcPr>
            <w:tcW w:type="dxa" w:w="1008"/>
            <w:vAlign w:val="center"/>
          </w:tcPr>
          <w:p>
            <w:r/>
            <w:r>
              <w:rPr>
                <w:b w:val="0"/>
                <w:sz w:val="16"/>
              </w:rPr>
              <w:t>32.31</w:t>
            </w:r>
          </w:p>
        </w:tc>
        <w:tc>
          <w:tcPr>
            <w:tcW w:type="dxa" w:w="1296"/>
            <w:vAlign w:val="center"/>
          </w:tcPr>
          <w:p>
            <w:r/>
            <w:r>
              <w:rPr>
                <w:b w:val="0"/>
                <w:sz w:val="16"/>
              </w:rPr>
              <w:t>7.83</w:t>
            </w:r>
          </w:p>
        </w:tc>
        <w:tc>
          <w:tcPr>
            <w:tcW w:type="dxa" w:w="1080"/>
            <w:vAlign w:val="center"/>
          </w:tcPr>
          <w:p>
            <w:r/>
            <w:r>
              <w:rPr>
                <w:b w:val="0"/>
                <w:sz w:val="16"/>
              </w:rPr>
              <w:t>20.17</w:t>
            </w:r>
          </w:p>
        </w:tc>
        <w:tc>
          <w:tcPr>
            <w:tcW w:type="dxa" w:w="1296"/>
            <w:vAlign w:val="center"/>
          </w:tcPr>
          <w:p>
            <w:r/>
            <w:r>
              <w:rPr>
                <w:b w:val="0"/>
                <w:sz w:val="16"/>
              </w:rPr>
              <w:t>Low</w:t>
            </w:r>
          </w:p>
        </w:tc>
        <w:tc>
          <w:tcPr>
            <w:tcW w:type="dxa" w:w="1296"/>
            <w:vAlign w:val="center"/>
          </w:tcPr>
          <w:p>
            <w:r/>
            <w:r>
              <w:rPr>
                <w:b w:val="0"/>
                <w:sz w:val="16"/>
              </w:rPr>
              <w:t>High</w:t>
            </w:r>
          </w:p>
        </w:tc>
      </w:tr>
      <w:tr>
        <w:trPr>
          <w:cantSplit/>
        </w:trPr>
        <w:tc>
          <w:tcPr>
            <w:tcW w:type="dxa" w:w="792"/>
            <w:vAlign w:val="center"/>
          </w:tcPr>
          <w:p>
            <w:r/>
            <w:r>
              <w:rPr>
                <w:b w:val="0"/>
                <w:sz w:val="16"/>
              </w:rPr>
              <w:t>18</w:t>
            </w:r>
          </w:p>
        </w:tc>
        <w:tc>
          <w:tcPr>
            <w:tcW w:type="dxa" w:w="936"/>
            <w:vAlign w:val="center"/>
          </w:tcPr>
          <w:p>
            <w:r/>
            <w:r>
              <w:rPr>
                <w:b w:val="0"/>
                <w:sz w:val="16"/>
              </w:rPr>
              <w:t>T11</w:t>
            </w:r>
          </w:p>
        </w:tc>
        <w:tc>
          <w:tcPr>
            <w:tcW w:type="dxa" w:w="1008"/>
            <w:vAlign w:val="center"/>
          </w:tcPr>
          <w:p>
            <w:r/>
            <w:r>
              <w:rPr>
                <w:b w:val="0"/>
                <w:sz w:val="16"/>
              </w:rPr>
              <w:t>21.93</w:t>
            </w:r>
          </w:p>
        </w:tc>
        <w:tc>
          <w:tcPr>
            <w:tcW w:type="dxa" w:w="1296"/>
            <w:vAlign w:val="center"/>
          </w:tcPr>
          <w:p>
            <w:r/>
            <w:r>
              <w:rPr>
                <w:b w:val="0"/>
                <w:sz w:val="16"/>
              </w:rPr>
              <w:t>7</w:t>
            </w:r>
          </w:p>
        </w:tc>
        <w:tc>
          <w:tcPr>
            <w:tcW w:type="dxa" w:w="1080"/>
            <w:vAlign w:val="center"/>
          </w:tcPr>
          <w:p>
            <w:r/>
            <w:r>
              <w:rPr>
                <w:b w:val="0"/>
                <w:sz w:val="16"/>
              </w:rPr>
              <w:t>19.52</w:t>
            </w:r>
          </w:p>
        </w:tc>
        <w:tc>
          <w:tcPr>
            <w:tcW w:type="dxa" w:w="1296"/>
            <w:vAlign w:val="center"/>
          </w:tcPr>
          <w:p>
            <w:r/>
            <w:r>
              <w:rPr>
                <w:b w:val="0"/>
                <w:sz w:val="16"/>
              </w:rPr>
              <w:t>Low</w:t>
            </w:r>
          </w:p>
        </w:tc>
        <w:tc>
          <w:tcPr>
            <w:tcW w:type="dxa" w:w="1296"/>
            <w:vAlign w:val="center"/>
          </w:tcPr>
          <w:p>
            <w:r/>
            <w:r>
              <w:rPr>
                <w:b w:val="0"/>
                <w:sz w:val="16"/>
              </w:rPr>
              <w:t>High</w:t>
            </w:r>
          </w:p>
        </w:tc>
      </w:tr>
    </w:tbl>
    <w:p/>
    <w:p>
      <w:pPr>
        <w:pStyle w:val="Heading2"/>
      </w:pPr>
      <w:r>
        <w:t>Why the top teams rank where they do</w:t>
      </w:r>
    </w:p>
    <w:p>
      <w:pPr>
        <w:pStyle w:val="ListBullet"/>
      </w:pPr>
      <w:r>
        <w:t>T08 (#1, High confidence): 13.17 average actions, 4.68/5 defense, 83% motif completion, no breakdowns. Main risks are 19.73 s average cycle time, 2.2/5 driver consistency, and 5.67 average penalty points. It stays #1 in all three weight-sensitivity models.</w:t>
      </w:r>
    </w:p>
    <w:p>
      <w:pPr>
        <w:pStyle w:val="ListBullet"/>
      </w:pPr>
      <w:r>
        <w:t>T14 (#2, Medium confidence): fast 15.53 s cycles, 6.17 CL, 4.33 depot, low 2.83 average penalties, no breakdowns. Its rank moves from 2nd to 6th under different weight priorities, so placement is less stable than T08.</w:t>
      </w:r>
    </w:p>
    <w:p>
      <w:pPr>
        <w:pStyle w:val="ListBullet"/>
      </w:pPr>
      <w:r>
        <w:t>T05 (#3, Medium confidence): high scoring volume and no breakdowns, but 6.5 average penalties, 2.25/5 driver consistency, and the low-confidence 28-CL outlier reduce trust and fit.</w:t>
      </w:r>
    </w:p>
    <w:p>
      <w:pPr>
        <w:pStyle w:val="ListBullet"/>
      </w:pPr>
      <w:r>
        <w:t>T17 (#4, Medium confidence): strong driver consistency (4.85/5), 12.0 actions, 83% motif, no breakdowns. Weak defense (1.25/5) and 6.0 average penalties are the main drawbacks.</w:t>
      </w:r>
    </w:p>
    <w:p>
      <w:pPr>
        <w:pStyle w:val="ListBullet"/>
      </w:pPr>
      <w:r>
        <w:t>T07 (#5, Medium confidence): the highest recorded action volume among the top group (13.83) and a 17-action ceiling, but a 50% breakdown rate makes it the clearest high-risk/high-ceiling option.</w:t>
      </w:r>
    </w:p>
    <w:p>
      <w:pPr>
        <w:pStyle w:val="Heading1"/>
      </w:pPr>
      <w:r>
        <w:t>4. Reliability, Risk, and Floor/Ceiling</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720"/>
            <w:vAlign w:val="center"/>
            <w:shd w:fill="D9EAF7"/>
          </w:tcPr>
          <w:p>
            <w:r/>
            <w:r>
              <w:rPr>
                <w:b/>
                <w:sz w:val="15"/>
              </w:rPr>
              <w:t>Rank</w:t>
            </w:r>
          </w:p>
        </w:tc>
        <w:tc>
          <w:tcPr>
            <w:tcW w:type="dxa" w:w="792"/>
            <w:vAlign w:val="center"/>
            <w:shd w:fill="D9EAF7"/>
          </w:tcPr>
          <w:p>
            <w:r/>
            <w:r>
              <w:rPr>
                <w:b/>
                <w:sz w:val="15"/>
              </w:rPr>
              <w:t>Team</w:t>
            </w:r>
          </w:p>
        </w:tc>
        <w:tc>
          <w:tcPr>
            <w:tcW w:type="dxa" w:w="1152"/>
            <w:vAlign w:val="center"/>
            <w:shd w:fill="D9EAF7"/>
          </w:tcPr>
          <w:p>
            <w:r/>
            <w:r>
              <w:rPr>
                <w:b/>
                <w:sz w:val="15"/>
              </w:rPr>
              <w:t>Reliability</w:t>
            </w:r>
          </w:p>
        </w:tc>
        <w:tc>
          <w:tcPr>
            <w:tcW w:type="dxa" w:w="792"/>
            <w:vAlign w:val="center"/>
            <w:shd w:fill="D9EAF7"/>
          </w:tcPr>
          <w:p>
            <w:r/>
            <w:r>
              <w:rPr>
                <w:b/>
                <w:sz w:val="15"/>
              </w:rPr>
              <w:t>Floor</w:t>
            </w:r>
          </w:p>
        </w:tc>
        <w:tc>
          <w:tcPr>
            <w:tcW w:type="dxa" w:w="792"/>
            <w:vAlign w:val="center"/>
            <w:shd w:fill="D9EAF7"/>
          </w:tcPr>
          <w:p>
            <w:r/>
            <w:r>
              <w:rPr>
                <w:b/>
                <w:sz w:val="15"/>
              </w:rPr>
              <w:t>Ceiling</w:t>
            </w:r>
          </w:p>
        </w:tc>
        <w:tc>
          <w:tcPr>
            <w:tcW w:type="dxa" w:w="1152"/>
            <w:vAlign w:val="center"/>
            <w:shd w:fill="D9EAF7"/>
          </w:tcPr>
          <w:p>
            <w:r/>
            <w:r>
              <w:rPr>
                <w:b/>
                <w:sz w:val="15"/>
              </w:rPr>
              <w:t>Breakdown</w:t>
            </w:r>
          </w:p>
        </w:tc>
        <w:tc>
          <w:tcPr>
            <w:tcW w:type="dxa" w:w="1080"/>
            <w:vAlign w:val="center"/>
            <w:shd w:fill="D9EAF7"/>
          </w:tcPr>
          <w:p>
            <w:r/>
            <w:r>
              <w:rPr>
                <w:b/>
                <w:sz w:val="15"/>
              </w:rPr>
              <w:t>Avg penalty</w:t>
            </w:r>
          </w:p>
        </w:tc>
        <w:tc>
          <w:tcPr>
            <w:tcW w:type="dxa" w:w="3168"/>
            <w:vAlign w:val="center"/>
            <w:shd w:fill="D9EAF7"/>
          </w:tcPr>
          <w:p>
            <w:r/>
            <w:r>
              <w:rPr>
                <w:b/>
                <w:sz w:val="15"/>
              </w:rPr>
              <w:t>Risk tags</w:t>
            </w:r>
          </w:p>
        </w:tc>
      </w:tr>
      <w:tr>
        <w:trPr>
          <w:cantSplit/>
        </w:trPr>
        <w:tc>
          <w:tcPr>
            <w:tcW w:type="dxa" w:w="720"/>
            <w:vAlign w:val="center"/>
          </w:tcPr>
          <w:p>
            <w:r/>
            <w:r>
              <w:rPr>
                <w:b w:val="0"/>
                <w:sz w:val="15"/>
              </w:rPr>
              <w:t>1</w:t>
            </w:r>
          </w:p>
        </w:tc>
        <w:tc>
          <w:tcPr>
            <w:tcW w:type="dxa" w:w="792"/>
            <w:vAlign w:val="center"/>
          </w:tcPr>
          <w:p>
            <w:r/>
            <w:r>
              <w:rPr>
                <w:b w:val="0"/>
                <w:sz w:val="15"/>
              </w:rPr>
              <w:t>T02</w:t>
            </w:r>
          </w:p>
        </w:tc>
        <w:tc>
          <w:tcPr>
            <w:tcW w:type="dxa" w:w="1152"/>
            <w:vAlign w:val="center"/>
          </w:tcPr>
          <w:p>
            <w:r/>
            <w:r>
              <w:rPr>
                <w:b w:val="0"/>
                <w:sz w:val="15"/>
              </w:rPr>
              <w:t>71.18</w:t>
            </w:r>
          </w:p>
        </w:tc>
        <w:tc>
          <w:tcPr>
            <w:tcW w:type="dxa" w:w="792"/>
            <w:vAlign w:val="center"/>
          </w:tcPr>
          <w:p>
            <w:r/>
            <w:r>
              <w:rPr>
                <w:b w:val="0"/>
                <w:sz w:val="15"/>
              </w:rPr>
              <w:t>10.0</w:t>
            </w:r>
          </w:p>
        </w:tc>
        <w:tc>
          <w:tcPr>
            <w:tcW w:type="dxa" w:w="792"/>
            <w:vAlign w:val="center"/>
          </w:tcPr>
          <w:p>
            <w:r/>
            <w:r>
              <w:rPr>
                <w:b w:val="0"/>
                <w:sz w:val="15"/>
              </w:rPr>
              <w:t>13</w:t>
            </w:r>
          </w:p>
        </w:tc>
        <w:tc>
          <w:tcPr>
            <w:tcW w:type="dxa" w:w="1152"/>
            <w:vAlign w:val="center"/>
          </w:tcPr>
          <w:p>
            <w:r/>
            <w:r>
              <w:rPr>
                <w:b w:val="0"/>
                <w:sz w:val="15"/>
              </w:rPr>
              <w:t>0</w:t>
            </w:r>
          </w:p>
        </w:tc>
        <w:tc>
          <w:tcPr>
            <w:tcW w:type="dxa" w:w="1080"/>
            <w:vAlign w:val="center"/>
          </w:tcPr>
          <w:p>
            <w:r/>
            <w:r>
              <w:rPr>
                <w:b w:val="0"/>
                <w:sz w:val="15"/>
              </w:rPr>
              <w:t>4.67</w:t>
            </w:r>
          </w:p>
        </w:tc>
        <w:tc>
          <w:tcPr>
            <w:tcW w:type="dxa" w:w="3168"/>
            <w:vAlign w:val="center"/>
          </w:tcPr>
          <w:p>
            <w:r/>
            <w:r>
              <w:rPr>
                <w:b w:val="0"/>
                <w:sz w:val="15"/>
              </w:rPr>
              <w:t>none</w:t>
            </w:r>
          </w:p>
        </w:tc>
      </w:tr>
      <w:tr>
        <w:trPr>
          <w:cantSplit/>
        </w:trPr>
        <w:tc>
          <w:tcPr>
            <w:tcW w:type="dxa" w:w="720"/>
            <w:vAlign w:val="center"/>
          </w:tcPr>
          <w:p>
            <w:r/>
            <w:r>
              <w:rPr>
                <w:b w:val="0"/>
                <w:sz w:val="15"/>
              </w:rPr>
              <w:t>2</w:t>
            </w:r>
          </w:p>
        </w:tc>
        <w:tc>
          <w:tcPr>
            <w:tcW w:type="dxa" w:w="792"/>
            <w:vAlign w:val="center"/>
          </w:tcPr>
          <w:p>
            <w:r/>
            <w:r>
              <w:rPr>
                <w:b w:val="0"/>
                <w:sz w:val="15"/>
              </w:rPr>
              <w:t>T17</w:t>
            </w:r>
          </w:p>
        </w:tc>
        <w:tc>
          <w:tcPr>
            <w:tcW w:type="dxa" w:w="1152"/>
            <w:vAlign w:val="center"/>
          </w:tcPr>
          <w:p>
            <w:r/>
            <w:r>
              <w:rPr>
                <w:b w:val="0"/>
                <w:sz w:val="15"/>
              </w:rPr>
              <w:t>67.06</w:t>
            </w:r>
          </w:p>
        </w:tc>
        <w:tc>
          <w:tcPr>
            <w:tcW w:type="dxa" w:w="792"/>
            <w:vAlign w:val="center"/>
          </w:tcPr>
          <w:p>
            <w:r/>
            <w:r>
              <w:rPr>
                <w:b w:val="0"/>
                <w:sz w:val="15"/>
              </w:rPr>
              <w:t>11.25</w:t>
            </w:r>
          </w:p>
        </w:tc>
        <w:tc>
          <w:tcPr>
            <w:tcW w:type="dxa" w:w="792"/>
            <w:vAlign w:val="center"/>
          </w:tcPr>
          <w:p>
            <w:r/>
            <w:r>
              <w:rPr>
                <w:b w:val="0"/>
                <w:sz w:val="15"/>
              </w:rPr>
              <w:t>14</w:t>
            </w:r>
          </w:p>
        </w:tc>
        <w:tc>
          <w:tcPr>
            <w:tcW w:type="dxa" w:w="1152"/>
            <w:vAlign w:val="center"/>
          </w:tcPr>
          <w:p>
            <w:r/>
            <w:r>
              <w:rPr>
                <w:b w:val="0"/>
                <w:sz w:val="15"/>
              </w:rPr>
              <w:t>0</w:t>
            </w:r>
          </w:p>
        </w:tc>
        <w:tc>
          <w:tcPr>
            <w:tcW w:type="dxa" w:w="1080"/>
            <w:vAlign w:val="center"/>
          </w:tcPr>
          <w:p>
            <w:r/>
            <w:r>
              <w:rPr>
                <w:b w:val="0"/>
                <w:sz w:val="15"/>
              </w:rPr>
              <w:t>6</w:t>
            </w:r>
          </w:p>
        </w:tc>
        <w:tc>
          <w:tcPr>
            <w:tcW w:type="dxa" w:w="3168"/>
            <w:vAlign w:val="center"/>
          </w:tcPr>
          <w:p>
            <w:r/>
            <w:r>
              <w:rPr>
                <w:b w:val="0"/>
                <w:sz w:val="15"/>
              </w:rPr>
              <w:t>high floor; penalty risk</w:t>
            </w:r>
          </w:p>
        </w:tc>
      </w:tr>
      <w:tr>
        <w:trPr>
          <w:cantSplit/>
        </w:trPr>
        <w:tc>
          <w:tcPr>
            <w:tcW w:type="dxa" w:w="720"/>
            <w:vAlign w:val="center"/>
          </w:tcPr>
          <w:p>
            <w:r/>
            <w:r>
              <w:rPr>
                <w:b w:val="0"/>
                <w:sz w:val="15"/>
              </w:rPr>
              <w:t>3</w:t>
            </w:r>
          </w:p>
        </w:tc>
        <w:tc>
          <w:tcPr>
            <w:tcW w:type="dxa" w:w="792"/>
            <w:vAlign w:val="center"/>
          </w:tcPr>
          <w:p>
            <w:r/>
            <w:r>
              <w:rPr>
                <w:b w:val="0"/>
                <w:sz w:val="15"/>
              </w:rPr>
              <w:t>3470</w:t>
            </w:r>
          </w:p>
        </w:tc>
        <w:tc>
          <w:tcPr>
            <w:tcW w:type="dxa" w:w="1152"/>
            <w:vAlign w:val="center"/>
          </w:tcPr>
          <w:p>
            <w:r/>
            <w:r>
              <w:rPr>
                <w:b w:val="0"/>
                <w:sz w:val="15"/>
              </w:rPr>
              <w:t>63.53</w:t>
            </w:r>
          </w:p>
        </w:tc>
        <w:tc>
          <w:tcPr>
            <w:tcW w:type="dxa" w:w="792"/>
            <w:vAlign w:val="center"/>
          </w:tcPr>
          <w:p>
            <w:r/>
            <w:r>
              <w:rPr>
                <w:b w:val="0"/>
                <w:sz w:val="15"/>
              </w:rPr>
              <w:t>10.0</w:t>
            </w:r>
          </w:p>
        </w:tc>
        <w:tc>
          <w:tcPr>
            <w:tcW w:type="dxa" w:w="792"/>
            <w:vAlign w:val="center"/>
          </w:tcPr>
          <w:p>
            <w:r/>
            <w:r>
              <w:rPr>
                <w:b w:val="0"/>
                <w:sz w:val="15"/>
              </w:rPr>
              <w:t>12</w:t>
            </w:r>
          </w:p>
        </w:tc>
        <w:tc>
          <w:tcPr>
            <w:tcW w:type="dxa" w:w="1152"/>
            <w:vAlign w:val="center"/>
          </w:tcPr>
          <w:p>
            <w:r/>
            <w:r>
              <w:rPr>
                <w:b w:val="0"/>
                <w:sz w:val="15"/>
              </w:rPr>
              <w:t>0</w:t>
            </w:r>
          </w:p>
        </w:tc>
        <w:tc>
          <w:tcPr>
            <w:tcW w:type="dxa" w:w="1080"/>
            <w:vAlign w:val="center"/>
          </w:tcPr>
          <w:p>
            <w:r/>
            <w:r>
              <w:rPr>
                <w:b w:val="0"/>
                <w:sz w:val="15"/>
              </w:rPr>
              <w:t>4</w:t>
            </w:r>
          </w:p>
        </w:tc>
        <w:tc>
          <w:tcPr>
            <w:tcW w:type="dxa" w:w="3168"/>
            <w:vAlign w:val="center"/>
          </w:tcPr>
          <w:p>
            <w:r/>
            <w:r>
              <w:rPr>
                <w:b w:val="0"/>
                <w:sz w:val="15"/>
              </w:rPr>
              <w:t>none</w:t>
            </w:r>
          </w:p>
        </w:tc>
      </w:tr>
      <w:tr>
        <w:trPr>
          <w:cantSplit/>
        </w:trPr>
        <w:tc>
          <w:tcPr>
            <w:tcW w:type="dxa" w:w="720"/>
            <w:vAlign w:val="center"/>
          </w:tcPr>
          <w:p>
            <w:r/>
            <w:r>
              <w:rPr>
                <w:b w:val="0"/>
                <w:sz w:val="15"/>
              </w:rPr>
              <w:t>4</w:t>
            </w:r>
          </w:p>
        </w:tc>
        <w:tc>
          <w:tcPr>
            <w:tcW w:type="dxa" w:w="792"/>
            <w:vAlign w:val="center"/>
          </w:tcPr>
          <w:p>
            <w:r/>
            <w:r>
              <w:rPr>
                <w:b w:val="0"/>
                <w:sz w:val="15"/>
              </w:rPr>
              <w:t>T08</w:t>
            </w:r>
          </w:p>
        </w:tc>
        <w:tc>
          <w:tcPr>
            <w:tcW w:type="dxa" w:w="1152"/>
            <w:vAlign w:val="center"/>
          </w:tcPr>
          <w:p>
            <w:r/>
            <w:r>
              <w:rPr>
                <w:b w:val="0"/>
                <w:sz w:val="15"/>
              </w:rPr>
              <w:t>57.65</w:t>
            </w:r>
          </w:p>
        </w:tc>
        <w:tc>
          <w:tcPr>
            <w:tcW w:type="dxa" w:w="792"/>
            <w:vAlign w:val="center"/>
          </w:tcPr>
          <w:p>
            <w:r/>
            <w:r>
              <w:rPr>
                <w:b w:val="0"/>
                <w:sz w:val="15"/>
              </w:rPr>
              <w:t>13.0</w:t>
            </w:r>
          </w:p>
        </w:tc>
        <w:tc>
          <w:tcPr>
            <w:tcW w:type="dxa" w:w="792"/>
            <w:vAlign w:val="center"/>
          </w:tcPr>
          <w:p>
            <w:r/>
            <w:r>
              <w:rPr>
                <w:b w:val="0"/>
                <w:sz w:val="15"/>
              </w:rPr>
              <w:t>15</w:t>
            </w:r>
          </w:p>
        </w:tc>
        <w:tc>
          <w:tcPr>
            <w:tcW w:type="dxa" w:w="1152"/>
            <w:vAlign w:val="center"/>
          </w:tcPr>
          <w:p>
            <w:r/>
            <w:r>
              <w:rPr>
                <w:b w:val="0"/>
                <w:sz w:val="15"/>
              </w:rPr>
              <w:t>0</w:t>
            </w:r>
          </w:p>
        </w:tc>
        <w:tc>
          <w:tcPr>
            <w:tcW w:type="dxa" w:w="1080"/>
            <w:vAlign w:val="center"/>
          </w:tcPr>
          <w:p>
            <w:r/>
            <w:r>
              <w:rPr>
                <w:b w:val="0"/>
                <w:sz w:val="15"/>
              </w:rPr>
              <w:t>5.67</w:t>
            </w:r>
          </w:p>
        </w:tc>
        <w:tc>
          <w:tcPr>
            <w:tcW w:type="dxa" w:w="3168"/>
            <w:vAlign w:val="center"/>
          </w:tcPr>
          <w:p>
            <w:r/>
            <w:r>
              <w:rPr>
                <w:b w:val="0"/>
                <w:sz w:val="15"/>
              </w:rPr>
              <w:t>high floor</w:t>
            </w:r>
          </w:p>
        </w:tc>
      </w:tr>
      <w:tr>
        <w:trPr>
          <w:cantSplit/>
        </w:trPr>
        <w:tc>
          <w:tcPr>
            <w:tcW w:type="dxa" w:w="720"/>
            <w:vAlign w:val="center"/>
          </w:tcPr>
          <w:p>
            <w:r/>
            <w:r>
              <w:rPr>
                <w:b w:val="0"/>
                <w:sz w:val="15"/>
              </w:rPr>
              <w:t>5</w:t>
            </w:r>
          </w:p>
        </w:tc>
        <w:tc>
          <w:tcPr>
            <w:tcW w:type="dxa" w:w="792"/>
            <w:vAlign w:val="center"/>
          </w:tcPr>
          <w:p>
            <w:r/>
            <w:r>
              <w:rPr>
                <w:b w:val="0"/>
                <w:sz w:val="15"/>
              </w:rPr>
              <w:t>T03</w:t>
            </w:r>
          </w:p>
        </w:tc>
        <w:tc>
          <w:tcPr>
            <w:tcW w:type="dxa" w:w="1152"/>
            <w:vAlign w:val="center"/>
          </w:tcPr>
          <w:p>
            <w:r/>
            <w:r>
              <w:rPr>
                <w:b w:val="0"/>
                <w:sz w:val="15"/>
              </w:rPr>
              <w:t>57.06</w:t>
            </w:r>
          </w:p>
        </w:tc>
        <w:tc>
          <w:tcPr>
            <w:tcW w:type="dxa" w:w="792"/>
            <w:vAlign w:val="center"/>
          </w:tcPr>
          <w:p>
            <w:r/>
            <w:r>
              <w:rPr>
                <w:b w:val="0"/>
                <w:sz w:val="15"/>
              </w:rPr>
              <w:t>11.25</w:t>
            </w:r>
          </w:p>
        </w:tc>
        <w:tc>
          <w:tcPr>
            <w:tcW w:type="dxa" w:w="792"/>
            <w:vAlign w:val="center"/>
          </w:tcPr>
          <w:p>
            <w:r/>
            <w:r>
              <w:rPr>
                <w:b w:val="0"/>
                <w:sz w:val="15"/>
              </w:rPr>
              <w:t>14</w:t>
            </w:r>
          </w:p>
        </w:tc>
        <w:tc>
          <w:tcPr>
            <w:tcW w:type="dxa" w:w="1152"/>
            <w:vAlign w:val="center"/>
          </w:tcPr>
          <w:p>
            <w:r/>
            <w:r>
              <w:rPr>
                <w:b w:val="0"/>
                <w:sz w:val="15"/>
              </w:rPr>
              <w:t>0</w:t>
            </w:r>
          </w:p>
        </w:tc>
        <w:tc>
          <w:tcPr>
            <w:tcW w:type="dxa" w:w="1080"/>
            <w:vAlign w:val="center"/>
          </w:tcPr>
          <w:p>
            <w:r/>
            <w:r>
              <w:rPr>
                <w:b w:val="0"/>
                <w:sz w:val="15"/>
              </w:rPr>
              <w:t>3.83</w:t>
            </w:r>
          </w:p>
        </w:tc>
        <w:tc>
          <w:tcPr>
            <w:tcW w:type="dxa" w:w="3168"/>
            <w:vAlign w:val="center"/>
          </w:tcPr>
          <w:p>
            <w:r/>
            <w:r>
              <w:rPr>
                <w:b w:val="0"/>
                <w:sz w:val="15"/>
              </w:rPr>
              <w:t>high floor</w:t>
            </w:r>
          </w:p>
        </w:tc>
      </w:tr>
      <w:tr>
        <w:trPr>
          <w:cantSplit/>
        </w:trPr>
        <w:tc>
          <w:tcPr>
            <w:tcW w:type="dxa" w:w="720"/>
            <w:vAlign w:val="center"/>
          </w:tcPr>
          <w:p>
            <w:r/>
            <w:r>
              <w:rPr>
                <w:b w:val="0"/>
                <w:sz w:val="15"/>
              </w:rPr>
              <w:t>6</w:t>
            </w:r>
          </w:p>
        </w:tc>
        <w:tc>
          <w:tcPr>
            <w:tcW w:type="dxa" w:w="792"/>
            <w:vAlign w:val="center"/>
          </w:tcPr>
          <w:p>
            <w:r/>
            <w:r>
              <w:rPr>
                <w:b w:val="0"/>
                <w:sz w:val="15"/>
              </w:rPr>
              <w:t>T15</w:t>
            </w:r>
          </w:p>
        </w:tc>
        <w:tc>
          <w:tcPr>
            <w:tcW w:type="dxa" w:w="1152"/>
            <w:vAlign w:val="center"/>
          </w:tcPr>
          <w:p>
            <w:r/>
            <w:r>
              <w:rPr>
                <w:b w:val="0"/>
                <w:sz w:val="15"/>
              </w:rPr>
              <w:t>56.47</w:t>
            </w:r>
          </w:p>
        </w:tc>
        <w:tc>
          <w:tcPr>
            <w:tcW w:type="dxa" w:w="792"/>
            <w:vAlign w:val="center"/>
          </w:tcPr>
          <w:p>
            <w:r/>
            <w:r>
              <w:rPr>
                <w:b w:val="0"/>
                <w:sz w:val="15"/>
              </w:rPr>
              <w:t>11.25</w:t>
            </w:r>
          </w:p>
        </w:tc>
        <w:tc>
          <w:tcPr>
            <w:tcW w:type="dxa" w:w="792"/>
            <w:vAlign w:val="center"/>
          </w:tcPr>
          <w:p>
            <w:r/>
            <w:r>
              <w:rPr>
                <w:b w:val="0"/>
                <w:sz w:val="15"/>
              </w:rPr>
              <w:t>13</w:t>
            </w:r>
          </w:p>
        </w:tc>
        <w:tc>
          <w:tcPr>
            <w:tcW w:type="dxa" w:w="1152"/>
            <w:vAlign w:val="center"/>
          </w:tcPr>
          <w:p>
            <w:r/>
            <w:r>
              <w:rPr>
                <w:b w:val="0"/>
                <w:sz w:val="15"/>
              </w:rPr>
              <w:t>0</w:t>
            </w:r>
          </w:p>
        </w:tc>
        <w:tc>
          <w:tcPr>
            <w:tcW w:type="dxa" w:w="1080"/>
            <w:vAlign w:val="center"/>
          </w:tcPr>
          <w:p>
            <w:r/>
            <w:r>
              <w:rPr>
                <w:b w:val="0"/>
                <w:sz w:val="15"/>
              </w:rPr>
              <w:t>6.17</w:t>
            </w:r>
          </w:p>
        </w:tc>
        <w:tc>
          <w:tcPr>
            <w:tcW w:type="dxa" w:w="3168"/>
            <w:vAlign w:val="center"/>
          </w:tcPr>
          <w:p>
            <w:r/>
            <w:r>
              <w:rPr>
                <w:b w:val="0"/>
                <w:sz w:val="15"/>
              </w:rPr>
              <w:t>high floor; penalty risk</w:t>
            </w:r>
          </w:p>
        </w:tc>
      </w:tr>
      <w:tr>
        <w:trPr>
          <w:cantSplit/>
        </w:trPr>
        <w:tc>
          <w:tcPr>
            <w:tcW w:type="dxa" w:w="720"/>
            <w:vAlign w:val="center"/>
          </w:tcPr>
          <w:p>
            <w:r/>
            <w:r>
              <w:rPr>
                <w:b w:val="0"/>
                <w:sz w:val="15"/>
              </w:rPr>
              <w:t>7</w:t>
            </w:r>
          </w:p>
        </w:tc>
        <w:tc>
          <w:tcPr>
            <w:tcW w:type="dxa" w:w="792"/>
            <w:vAlign w:val="center"/>
          </w:tcPr>
          <w:p>
            <w:r/>
            <w:r>
              <w:rPr>
                <w:b w:val="0"/>
                <w:sz w:val="15"/>
              </w:rPr>
              <w:t>T05</w:t>
            </w:r>
          </w:p>
        </w:tc>
        <w:tc>
          <w:tcPr>
            <w:tcW w:type="dxa" w:w="1152"/>
            <w:vAlign w:val="center"/>
          </w:tcPr>
          <w:p>
            <w:r/>
            <w:r>
              <w:rPr>
                <w:b w:val="0"/>
                <w:sz w:val="15"/>
              </w:rPr>
              <w:t>55.88</w:t>
            </w:r>
          </w:p>
        </w:tc>
        <w:tc>
          <w:tcPr>
            <w:tcW w:type="dxa" w:w="792"/>
            <w:vAlign w:val="center"/>
          </w:tcPr>
          <w:p>
            <w:r/>
            <w:r>
              <w:rPr>
                <w:b w:val="0"/>
                <w:sz w:val="15"/>
              </w:rPr>
              <w:t>11</w:t>
            </w:r>
          </w:p>
        </w:tc>
        <w:tc>
          <w:tcPr>
            <w:tcW w:type="dxa" w:w="792"/>
            <w:vAlign w:val="center"/>
          </w:tcPr>
          <w:p>
            <w:r/>
            <w:r>
              <w:rPr>
                <w:b w:val="0"/>
                <w:sz w:val="15"/>
              </w:rPr>
              <w:t>15</w:t>
            </w:r>
          </w:p>
        </w:tc>
        <w:tc>
          <w:tcPr>
            <w:tcW w:type="dxa" w:w="1152"/>
            <w:vAlign w:val="center"/>
          </w:tcPr>
          <w:p>
            <w:r/>
            <w:r>
              <w:rPr>
                <w:b w:val="0"/>
                <w:sz w:val="15"/>
              </w:rPr>
              <w:t>0</w:t>
            </w:r>
          </w:p>
        </w:tc>
        <w:tc>
          <w:tcPr>
            <w:tcW w:type="dxa" w:w="1080"/>
            <w:vAlign w:val="center"/>
          </w:tcPr>
          <w:p>
            <w:r/>
            <w:r>
              <w:rPr>
                <w:b w:val="0"/>
                <w:sz w:val="15"/>
              </w:rPr>
              <w:t>6.5</w:t>
            </w:r>
          </w:p>
        </w:tc>
        <w:tc>
          <w:tcPr>
            <w:tcW w:type="dxa" w:w="3168"/>
            <w:vAlign w:val="center"/>
          </w:tcPr>
          <w:p>
            <w:r/>
            <w:r>
              <w:rPr>
                <w:b w:val="0"/>
                <w:sz w:val="15"/>
              </w:rPr>
              <w:t>high floor; ceiling risk; penalty risk</w:t>
            </w:r>
          </w:p>
        </w:tc>
      </w:tr>
      <w:tr>
        <w:trPr>
          <w:cantSplit/>
        </w:trPr>
        <w:tc>
          <w:tcPr>
            <w:tcW w:type="dxa" w:w="720"/>
            <w:vAlign w:val="center"/>
          </w:tcPr>
          <w:p>
            <w:r/>
            <w:r>
              <w:rPr>
                <w:b w:val="0"/>
                <w:sz w:val="15"/>
              </w:rPr>
              <w:t>8</w:t>
            </w:r>
          </w:p>
        </w:tc>
        <w:tc>
          <w:tcPr>
            <w:tcW w:type="dxa" w:w="792"/>
            <w:vAlign w:val="center"/>
          </w:tcPr>
          <w:p>
            <w:r/>
            <w:r>
              <w:rPr>
                <w:b w:val="0"/>
                <w:sz w:val="15"/>
              </w:rPr>
              <w:t>T12</w:t>
            </w:r>
          </w:p>
        </w:tc>
        <w:tc>
          <w:tcPr>
            <w:tcW w:type="dxa" w:w="1152"/>
            <w:vAlign w:val="center"/>
          </w:tcPr>
          <w:p>
            <w:r/>
            <w:r>
              <w:rPr>
                <w:b w:val="0"/>
                <w:sz w:val="15"/>
              </w:rPr>
              <w:t>55.29</w:t>
            </w:r>
          </w:p>
        </w:tc>
        <w:tc>
          <w:tcPr>
            <w:tcW w:type="dxa" w:w="792"/>
            <w:vAlign w:val="center"/>
          </w:tcPr>
          <w:p>
            <w:r/>
            <w:r>
              <w:rPr>
                <w:b w:val="0"/>
                <w:sz w:val="15"/>
              </w:rPr>
              <w:t>9.25</w:t>
            </w:r>
          </w:p>
        </w:tc>
        <w:tc>
          <w:tcPr>
            <w:tcW w:type="dxa" w:w="792"/>
            <w:vAlign w:val="center"/>
          </w:tcPr>
          <w:p>
            <w:r/>
            <w:r>
              <w:rPr>
                <w:b w:val="0"/>
                <w:sz w:val="15"/>
              </w:rPr>
              <w:t>13</w:t>
            </w:r>
          </w:p>
        </w:tc>
        <w:tc>
          <w:tcPr>
            <w:tcW w:type="dxa" w:w="1152"/>
            <w:vAlign w:val="center"/>
          </w:tcPr>
          <w:p>
            <w:r/>
            <w:r>
              <w:rPr>
                <w:b w:val="0"/>
                <w:sz w:val="15"/>
              </w:rPr>
              <w:t>0.167</w:t>
            </w:r>
          </w:p>
        </w:tc>
        <w:tc>
          <w:tcPr>
            <w:tcW w:type="dxa" w:w="1080"/>
            <w:vAlign w:val="center"/>
          </w:tcPr>
          <w:p>
            <w:r/>
            <w:r>
              <w:rPr>
                <w:b w:val="0"/>
                <w:sz w:val="15"/>
              </w:rPr>
              <w:t>3.5</w:t>
            </w:r>
          </w:p>
        </w:tc>
        <w:tc>
          <w:tcPr>
            <w:tcW w:type="dxa" w:w="3168"/>
            <w:vAlign w:val="center"/>
          </w:tcPr>
          <w:p>
            <w:r/>
            <w:r>
              <w:rPr>
                <w:b w:val="0"/>
                <w:sz w:val="15"/>
              </w:rPr>
              <w:t>none</w:t>
            </w:r>
          </w:p>
        </w:tc>
      </w:tr>
    </w:tbl>
    <w:p/>
    <w:p>
      <w:pPr>
        <w:pStyle w:val="ListBullet"/>
      </w:pPr>
      <w:r>
        <w:t>Most reliable: T02, T17, 3470. T02 has the best combined reliability index; T17 adds a high action floor; 3470 has zero breakdowns and the lowest action variability in the field.</w:t>
      </w:r>
    </w:p>
    <w:p>
      <w:pPr>
        <w:pStyle w:val="ListBullet"/>
      </w:pPr>
      <w:r>
        <w:t>Best high-floor option: T08. Its 25th-percentile action floor is 13.0 with zero recorded breakdowns.</w:t>
      </w:r>
    </w:p>
    <w:p>
      <w:pPr>
        <w:pStyle w:val="ListBullet"/>
      </w:pPr>
      <w:r>
        <w:t>High-ceiling/high-risk: T07 is the clearest case (17-action ceiling, 50% breakdown rate). T05 carries penalty/driver/data risk despite strong scoring. T06 has a 16-action ceiling but one breakdown and slower cycles.</w:t>
      </w:r>
    </w:p>
    <w:p>
      <w:pPr>
        <w:pStyle w:val="ListBullet"/>
      </w:pPr>
      <w:r>
        <w:t>Major failure/penalty risk: T11 and T07 each have 50% breakdown rates; T04 combines a 33% breakdown rate with 8.5 average penalty points.</w:t>
      </w:r>
    </w:p>
    <w:p>
      <w:pPr>
        <w:pStyle w:val="Heading1"/>
      </w:pPr>
      <w:r>
        <w:t>5. Overrated / Underrated Relative to Raw Match Results</w:t>
      </w:r>
    </w:p>
    <w:p>
      <w:r>
        <w:t>This does not refer to external reputation. It compares the individual-robot composite to a separate result-context rank built from win rate and average alliance score. A robot can look better or worse in match results because alliance partners and opponents are not controlled in this dataset. Additionally, repeated M## match prefixes have conflicting scorelines within one alliance color; the meaning of the prefix must be verified before treating these as official event results. Consequently, result-context over/underrating labels are provisional.</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vAlign w:val="center"/>
            <w:shd w:fill="D9EAF7"/>
          </w:tcPr>
          <w:p>
            <w:r/>
            <w:r>
              <w:rPr>
                <w:b/>
                <w:sz w:val="17"/>
              </w:rPr>
              <w:t>Team</w:t>
            </w:r>
          </w:p>
        </w:tc>
        <w:tc>
          <w:tcPr>
            <w:tcW w:type="dxa" w:w="1296"/>
            <w:vAlign w:val="center"/>
            <w:shd w:fill="D9EAF7"/>
          </w:tcPr>
          <w:p>
            <w:r/>
            <w:r>
              <w:rPr>
                <w:b/>
                <w:sz w:val="17"/>
              </w:rPr>
              <w:t>Robot rank</w:t>
            </w:r>
          </w:p>
        </w:tc>
        <w:tc>
          <w:tcPr>
            <w:tcW w:type="dxa" w:w="1296"/>
            <w:vAlign w:val="center"/>
            <w:shd w:fill="D9EAF7"/>
          </w:tcPr>
          <w:p>
            <w:r/>
            <w:r>
              <w:rPr>
                <w:b/>
                <w:sz w:val="17"/>
              </w:rPr>
              <w:t>Result rank</w:t>
            </w:r>
          </w:p>
        </w:tc>
        <w:tc>
          <w:tcPr>
            <w:tcW w:type="dxa" w:w="1152"/>
            <w:vAlign w:val="center"/>
            <w:shd w:fill="D9EAF7"/>
          </w:tcPr>
          <w:p>
            <w:r/>
            <w:r>
              <w:rPr>
                <w:b/>
                <w:sz w:val="17"/>
              </w:rPr>
              <w:t>Difference</w:t>
            </w:r>
          </w:p>
        </w:tc>
        <w:tc>
          <w:tcPr>
            <w:tcW w:type="dxa" w:w="4896"/>
            <w:vAlign w:val="center"/>
            <w:shd w:fill="D9EAF7"/>
          </w:tcPr>
          <w:p>
            <w:r/>
            <w:r>
              <w:rPr>
                <w:b/>
                <w:sz w:val="17"/>
              </w:rPr>
              <w:t>Interpretation</w:t>
            </w:r>
          </w:p>
        </w:tc>
      </w:tr>
      <w:tr>
        <w:trPr>
          <w:cantSplit/>
        </w:trPr>
        <w:tc>
          <w:tcPr>
            <w:tcW w:type="dxa" w:w="1080"/>
            <w:vAlign w:val="center"/>
          </w:tcPr>
          <w:p>
            <w:r/>
            <w:r>
              <w:rPr>
                <w:b w:val="0"/>
                <w:sz w:val="17"/>
              </w:rPr>
              <w:t>T14</w:t>
            </w:r>
          </w:p>
        </w:tc>
        <w:tc>
          <w:tcPr>
            <w:tcW w:type="dxa" w:w="1296"/>
            <w:vAlign w:val="center"/>
          </w:tcPr>
          <w:p>
            <w:r/>
            <w:r>
              <w:rPr>
                <w:b w:val="0"/>
                <w:sz w:val="17"/>
              </w:rPr>
              <w:t>2</w:t>
            </w:r>
          </w:p>
        </w:tc>
        <w:tc>
          <w:tcPr>
            <w:tcW w:type="dxa" w:w="1296"/>
            <w:vAlign w:val="center"/>
          </w:tcPr>
          <w:p>
            <w:r/>
            <w:r>
              <w:rPr>
                <w:b w:val="0"/>
                <w:sz w:val="17"/>
              </w:rPr>
              <w:t>13</w:t>
            </w:r>
          </w:p>
        </w:tc>
        <w:tc>
          <w:tcPr>
            <w:tcW w:type="dxa" w:w="1152"/>
            <w:vAlign w:val="center"/>
          </w:tcPr>
          <w:p>
            <w:r/>
            <w:r>
              <w:rPr>
                <w:b w:val="0"/>
                <w:sz w:val="17"/>
              </w:rPr>
              <w:t>11</w:t>
            </w:r>
          </w:p>
        </w:tc>
        <w:tc>
          <w:tcPr>
            <w:tcW w:type="dxa" w:w="4896"/>
            <w:vAlign w:val="center"/>
          </w:tcPr>
          <w:p>
            <w:r/>
            <w:r>
              <w:rPr>
                <w:b w:val="0"/>
                <w:sz w:val="17"/>
              </w:rPr>
              <w:t>Underrated by alliance results</w:t>
            </w:r>
          </w:p>
        </w:tc>
      </w:tr>
      <w:tr>
        <w:trPr>
          <w:cantSplit/>
        </w:trPr>
        <w:tc>
          <w:tcPr>
            <w:tcW w:type="dxa" w:w="1080"/>
            <w:vAlign w:val="center"/>
          </w:tcPr>
          <w:p>
            <w:r/>
            <w:r>
              <w:rPr>
                <w:b w:val="0"/>
                <w:sz w:val="17"/>
              </w:rPr>
              <w:t>T02</w:t>
            </w:r>
          </w:p>
        </w:tc>
        <w:tc>
          <w:tcPr>
            <w:tcW w:type="dxa" w:w="1296"/>
            <w:vAlign w:val="center"/>
          </w:tcPr>
          <w:p>
            <w:r/>
            <w:r>
              <w:rPr>
                <w:b w:val="0"/>
                <w:sz w:val="17"/>
              </w:rPr>
              <w:t>7</w:t>
            </w:r>
          </w:p>
        </w:tc>
        <w:tc>
          <w:tcPr>
            <w:tcW w:type="dxa" w:w="1296"/>
            <w:vAlign w:val="center"/>
          </w:tcPr>
          <w:p>
            <w:r/>
            <w:r>
              <w:rPr>
                <w:b w:val="0"/>
                <w:sz w:val="17"/>
              </w:rPr>
              <w:t>14</w:t>
            </w:r>
          </w:p>
        </w:tc>
        <w:tc>
          <w:tcPr>
            <w:tcW w:type="dxa" w:w="1152"/>
            <w:vAlign w:val="center"/>
          </w:tcPr>
          <w:p>
            <w:r/>
            <w:r>
              <w:rPr>
                <w:b w:val="0"/>
                <w:sz w:val="17"/>
              </w:rPr>
              <w:t>7</w:t>
            </w:r>
          </w:p>
        </w:tc>
        <w:tc>
          <w:tcPr>
            <w:tcW w:type="dxa" w:w="4896"/>
            <w:vAlign w:val="center"/>
          </w:tcPr>
          <w:p>
            <w:r/>
            <w:r>
              <w:rPr>
                <w:b w:val="0"/>
                <w:sz w:val="17"/>
              </w:rPr>
              <w:t>Underrated by alliance results</w:t>
            </w:r>
          </w:p>
        </w:tc>
      </w:tr>
      <w:tr>
        <w:trPr>
          <w:cantSplit/>
        </w:trPr>
        <w:tc>
          <w:tcPr>
            <w:tcW w:type="dxa" w:w="1080"/>
            <w:vAlign w:val="center"/>
          </w:tcPr>
          <w:p>
            <w:r/>
            <w:r>
              <w:rPr>
                <w:b w:val="0"/>
                <w:sz w:val="17"/>
              </w:rPr>
              <w:t>T17</w:t>
            </w:r>
          </w:p>
        </w:tc>
        <w:tc>
          <w:tcPr>
            <w:tcW w:type="dxa" w:w="1296"/>
            <w:vAlign w:val="center"/>
          </w:tcPr>
          <w:p>
            <w:r/>
            <w:r>
              <w:rPr>
                <w:b w:val="0"/>
                <w:sz w:val="17"/>
              </w:rPr>
              <w:t>4</w:t>
            </w:r>
          </w:p>
        </w:tc>
        <w:tc>
          <w:tcPr>
            <w:tcW w:type="dxa" w:w="1296"/>
            <w:vAlign w:val="center"/>
          </w:tcPr>
          <w:p>
            <w:r/>
            <w:r>
              <w:rPr>
                <w:b w:val="0"/>
                <w:sz w:val="17"/>
              </w:rPr>
              <w:t>9</w:t>
            </w:r>
          </w:p>
        </w:tc>
        <w:tc>
          <w:tcPr>
            <w:tcW w:type="dxa" w:w="1152"/>
            <w:vAlign w:val="center"/>
          </w:tcPr>
          <w:p>
            <w:r/>
            <w:r>
              <w:rPr>
                <w:b w:val="0"/>
                <w:sz w:val="17"/>
              </w:rPr>
              <w:t>5</w:t>
            </w:r>
          </w:p>
        </w:tc>
        <w:tc>
          <w:tcPr>
            <w:tcW w:type="dxa" w:w="4896"/>
            <w:vAlign w:val="center"/>
          </w:tcPr>
          <w:p>
            <w:r/>
            <w:r>
              <w:rPr>
                <w:b w:val="0"/>
                <w:sz w:val="17"/>
              </w:rPr>
              <w:t>Underrated by alliance results</w:t>
            </w:r>
          </w:p>
        </w:tc>
      </w:tr>
      <w:tr>
        <w:trPr>
          <w:cantSplit/>
        </w:trPr>
        <w:tc>
          <w:tcPr>
            <w:tcW w:type="dxa" w:w="1080"/>
            <w:vAlign w:val="center"/>
          </w:tcPr>
          <w:p>
            <w:r/>
            <w:r>
              <w:rPr>
                <w:b w:val="0"/>
                <w:sz w:val="17"/>
              </w:rPr>
              <w:t>T13</w:t>
            </w:r>
          </w:p>
        </w:tc>
        <w:tc>
          <w:tcPr>
            <w:tcW w:type="dxa" w:w="1296"/>
            <w:vAlign w:val="center"/>
          </w:tcPr>
          <w:p>
            <w:r/>
            <w:r>
              <w:rPr>
                <w:b w:val="0"/>
                <w:sz w:val="17"/>
              </w:rPr>
              <w:t>14</w:t>
            </w:r>
          </w:p>
        </w:tc>
        <w:tc>
          <w:tcPr>
            <w:tcW w:type="dxa" w:w="1296"/>
            <w:vAlign w:val="center"/>
          </w:tcPr>
          <w:p>
            <w:r/>
            <w:r>
              <w:rPr>
                <w:b w:val="0"/>
                <w:sz w:val="17"/>
              </w:rPr>
              <w:t>18</w:t>
            </w:r>
          </w:p>
        </w:tc>
        <w:tc>
          <w:tcPr>
            <w:tcW w:type="dxa" w:w="1152"/>
            <w:vAlign w:val="center"/>
          </w:tcPr>
          <w:p>
            <w:r/>
            <w:r>
              <w:rPr>
                <w:b w:val="0"/>
                <w:sz w:val="17"/>
              </w:rPr>
              <w:t>4</w:t>
            </w:r>
          </w:p>
        </w:tc>
        <w:tc>
          <w:tcPr>
            <w:tcW w:type="dxa" w:w="4896"/>
            <w:vAlign w:val="center"/>
          </w:tcPr>
          <w:p>
            <w:r/>
            <w:r>
              <w:rPr>
                <w:b w:val="0"/>
                <w:sz w:val="17"/>
              </w:rPr>
              <w:t>Underrated by alliance results</w:t>
            </w:r>
          </w:p>
        </w:tc>
      </w:tr>
      <w:tr>
        <w:trPr>
          <w:cantSplit/>
        </w:trPr>
        <w:tc>
          <w:tcPr>
            <w:tcW w:type="dxa" w:w="1080"/>
            <w:vAlign w:val="center"/>
          </w:tcPr>
          <w:p>
            <w:r/>
            <w:r>
              <w:rPr>
                <w:b w:val="0"/>
                <w:sz w:val="17"/>
              </w:rPr>
              <w:t>T15</w:t>
            </w:r>
          </w:p>
        </w:tc>
        <w:tc>
          <w:tcPr>
            <w:tcW w:type="dxa" w:w="1296"/>
            <w:vAlign w:val="center"/>
          </w:tcPr>
          <w:p>
            <w:r/>
            <w:r>
              <w:rPr>
                <w:b w:val="0"/>
                <w:sz w:val="17"/>
              </w:rPr>
              <w:t>8</w:t>
            </w:r>
          </w:p>
        </w:tc>
        <w:tc>
          <w:tcPr>
            <w:tcW w:type="dxa" w:w="1296"/>
            <w:vAlign w:val="center"/>
          </w:tcPr>
          <w:p>
            <w:r/>
            <w:r>
              <w:rPr>
                <w:b w:val="0"/>
                <w:sz w:val="17"/>
              </w:rPr>
              <w:t>12</w:t>
            </w:r>
          </w:p>
        </w:tc>
        <w:tc>
          <w:tcPr>
            <w:tcW w:type="dxa" w:w="1152"/>
            <w:vAlign w:val="center"/>
          </w:tcPr>
          <w:p>
            <w:r/>
            <w:r>
              <w:rPr>
                <w:b w:val="0"/>
                <w:sz w:val="17"/>
              </w:rPr>
              <w:t>4</w:t>
            </w:r>
          </w:p>
        </w:tc>
        <w:tc>
          <w:tcPr>
            <w:tcW w:type="dxa" w:w="4896"/>
            <w:vAlign w:val="center"/>
          </w:tcPr>
          <w:p>
            <w:r/>
            <w:r>
              <w:rPr>
                <w:b w:val="0"/>
                <w:sz w:val="17"/>
              </w:rPr>
              <w:t>Underrated by alliance results</w:t>
            </w:r>
          </w:p>
        </w:tc>
      </w:tr>
      <w:tr>
        <w:trPr>
          <w:cantSplit/>
        </w:trPr>
        <w:tc>
          <w:tcPr>
            <w:tcW w:type="dxa" w:w="1080"/>
            <w:vAlign w:val="center"/>
          </w:tcPr>
          <w:p>
            <w:r/>
            <w:r>
              <w:rPr>
                <w:b w:val="0"/>
                <w:sz w:val="17"/>
              </w:rPr>
              <w:t>T09</w:t>
            </w:r>
          </w:p>
        </w:tc>
        <w:tc>
          <w:tcPr>
            <w:tcW w:type="dxa" w:w="1296"/>
            <w:vAlign w:val="center"/>
          </w:tcPr>
          <w:p>
            <w:r/>
            <w:r>
              <w:rPr>
                <w:b w:val="0"/>
                <w:sz w:val="17"/>
              </w:rPr>
              <w:t>10</w:t>
            </w:r>
          </w:p>
        </w:tc>
        <w:tc>
          <w:tcPr>
            <w:tcW w:type="dxa" w:w="1296"/>
            <w:vAlign w:val="center"/>
          </w:tcPr>
          <w:p>
            <w:r/>
            <w:r>
              <w:rPr>
                <w:b w:val="0"/>
                <w:sz w:val="17"/>
              </w:rPr>
              <w:t>7</w:t>
            </w:r>
          </w:p>
        </w:tc>
        <w:tc>
          <w:tcPr>
            <w:tcW w:type="dxa" w:w="1152"/>
            <w:vAlign w:val="center"/>
          </w:tcPr>
          <w:p>
            <w:r/>
            <w:r>
              <w:rPr>
                <w:b w:val="0"/>
                <w:sz w:val="17"/>
              </w:rPr>
              <w:t>-3</w:t>
            </w:r>
          </w:p>
        </w:tc>
        <w:tc>
          <w:tcPr>
            <w:tcW w:type="dxa" w:w="4896"/>
            <w:vAlign w:val="center"/>
          </w:tcPr>
          <w:p>
            <w:r/>
            <w:r>
              <w:rPr>
                <w:b w:val="0"/>
                <w:sz w:val="17"/>
              </w:rPr>
              <w:t>Overrated by alliance results</w:t>
            </w:r>
          </w:p>
        </w:tc>
      </w:tr>
      <w:tr>
        <w:trPr>
          <w:cantSplit/>
        </w:trPr>
        <w:tc>
          <w:tcPr>
            <w:tcW w:type="dxa" w:w="1080"/>
            <w:vAlign w:val="center"/>
          </w:tcPr>
          <w:p>
            <w:r/>
            <w:r>
              <w:rPr>
                <w:b w:val="0"/>
                <w:sz w:val="17"/>
              </w:rPr>
              <w:t>T10</w:t>
            </w:r>
          </w:p>
        </w:tc>
        <w:tc>
          <w:tcPr>
            <w:tcW w:type="dxa" w:w="1296"/>
            <w:vAlign w:val="center"/>
          </w:tcPr>
          <w:p>
            <w:r/>
            <w:r>
              <w:rPr>
                <w:b w:val="0"/>
                <w:sz w:val="17"/>
              </w:rPr>
              <w:t>12</w:t>
            </w:r>
          </w:p>
        </w:tc>
        <w:tc>
          <w:tcPr>
            <w:tcW w:type="dxa" w:w="1296"/>
            <w:vAlign w:val="center"/>
          </w:tcPr>
          <w:p>
            <w:r/>
            <w:r>
              <w:rPr>
                <w:b w:val="0"/>
                <w:sz w:val="17"/>
              </w:rPr>
              <w:t>6</w:t>
            </w:r>
          </w:p>
        </w:tc>
        <w:tc>
          <w:tcPr>
            <w:tcW w:type="dxa" w:w="1152"/>
            <w:vAlign w:val="center"/>
          </w:tcPr>
          <w:p>
            <w:r/>
            <w:r>
              <w:rPr>
                <w:b w:val="0"/>
                <w:sz w:val="17"/>
              </w:rPr>
              <w:t>-6</w:t>
            </w:r>
          </w:p>
        </w:tc>
        <w:tc>
          <w:tcPr>
            <w:tcW w:type="dxa" w:w="4896"/>
            <w:vAlign w:val="center"/>
          </w:tcPr>
          <w:p>
            <w:r/>
            <w:r>
              <w:rPr>
                <w:b w:val="0"/>
                <w:sz w:val="17"/>
              </w:rPr>
              <w:t>Overrated by alliance results</w:t>
            </w:r>
          </w:p>
        </w:tc>
      </w:tr>
      <w:tr>
        <w:trPr>
          <w:cantSplit/>
        </w:trPr>
        <w:tc>
          <w:tcPr>
            <w:tcW w:type="dxa" w:w="1080"/>
            <w:vAlign w:val="center"/>
          </w:tcPr>
          <w:p>
            <w:r/>
            <w:r>
              <w:rPr>
                <w:b w:val="0"/>
                <w:sz w:val="17"/>
              </w:rPr>
              <w:t>T06</w:t>
            </w:r>
          </w:p>
        </w:tc>
        <w:tc>
          <w:tcPr>
            <w:tcW w:type="dxa" w:w="1296"/>
            <w:vAlign w:val="center"/>
          </w:tcPr>
          <w:p>
            <w:r/>
            <w:r>
              <w:rPr>
                <w:b w:val="0"/>
                <w:sz w:val="17"/>
              </w:rPr>
              <w:t>9</w:t>
            </w:r>
          </w:p>
        </w:tc>
        <w:tc>
          <w:tcPr>
            <w:tcW w:type="dxa" w:w="1296"/>
            <w:vAlign w:val="center"/>
          </w:tcPr>
          <w:p>
            <w:r/>
            <w:r>
              <w:rPr>
                <w:b w:val="0"/>
                <w:sz w:val="17"/>
              </w:rPr>
              <w:t>2</w:t>
            </w:r>
          </w:p>
        </w:tc>
        <w:tc>
          <w:tcPr>
            <w:tcW w:type="dxa" w:w="1152"/>
            <w:vAlign w:val="center"/>
          </w:tcPr>
          <w:p>
            <w:r/>
            <w:r>
              <w:rPr>
                <w:b w:val="0"/>
                <w:sz w:val="17"/>
              </w:rPr>
              <w:t>-7</w:t>
            </w:r>
          </w:p>
        </w:tc>
        <w:tc>
          <w:tcPr>
            <w:tcW w:type="dxa" w:w="4896"/>
            <w:vAlign w:val="center"/>
          </w:tcPr>
          <w:p>
            <w:r/>
            <w:r>
              <w:rPr>
                <w:b w:val="0"/>
                <w:sz w:val="17"/>
              </w:rPr>
              <w:t>Overrated by alliance results</w:t>
            </w:r>
          </w:p>
        </w:tc>
      </w:tr>
      <w:tr>
        <w:trPr>
          <w:cantSplit/>
        </w:trPr>
        <w:tc>
          <w:tcPr>
            <w:tcW w:type="dxa" w:w="1080"/>
            <w:vAlign w:val="center"/>
          </w:tcPr>
          <w:p>
            <w:r/>
            <w:r>
              <w:rPr>
                <w:b w:val="0"/>
                <w:sz w:val="17"/>
              </w:rPr>
              <w:t>T11</w:t>
            </w:r>
          </w:p>
        </w:tc>
        <w:tc>
          <w:tcPr>
            <w:tcW w:type="dxa" w:w="1296"/>
            <w:vAlign w:val="center"/>
          </w:tcPr>
          <w:p>
            <w:r/>
            <w:r>
              <w:rPr>
                <w:b w:val="0"/>
                <w:sz w:val="17"/>
              </w:rPr>
              <w:t>18</w:t>
            </w:r>
          </w:p>
        </w:tc>
        <w:tc>
          <w:tcPr>
            <w:tcW w:type="dxa" w:w="1296"/>
            <w:vAlign w:val="center"/>
          </w:tcPr>
          <w:p>
            <w:r/>
            <w:r>
              <w:rPr>
                <w:b w:val="0"/>
                <w:sz w:val="17"/>
              </w:rPr>
              <w:t>8</w:t>
            </w:r>
          </w:p>
        </w:tc>
        <w:tc>
          <w:tcPr>
            <w:tcW w:type="dxa" w:w="1152"/>
            <w:vAlign w:val="center"/>
          </w:tcPr>
          <w:p>
            <w:r/>
            <w:r>
              <w:rPr>
                <w:b w:val="0"/>
                <w:sz w:val="17"/>
              </w:rPr>
              <w:t>-10</w:t>
            </w:r>
          </w:p>
        </w:tc>
        <w:tc>
          <w:tcPr>
            <w:tcW w:type="dxa" w:w="4896"/>
            <w:vAlign w:val="center"/>
          </w:tcPr>
          <w:p>
            <w:r/>
            <w:r>
              <w:rPr>
                <w:b w:val="0"/>
                <w:sz w:val="17"/>
              </w:rPr>
              <w:t>Overrated by alliance results</w:t>
            </w:r>
          </w:p>
        </w:tc>
      </w:tr>
    </w:tbl>
    <w:p/>
    <w:p>
      <w:r>
        <w:t>The strongest underrated signal is T14 (#2 robot profile vs #13 result context). T02 and T17 also look better underneath than their match results suggest. T11 is the strongest overrated-by-results signal (#18 robot profile vs #8 result context), followed by T06 and T10.</w:t>
      </w:r>
    </w:p>
    <w:p>
      <w:pPr>
        <w:pStyle w:val="Heading1"/>
      </w:pPr>
      <w:r>
        <w:t>6. Team Archetypes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vAlign w:val="center"/>
            <w:shd w:fill="D9EAF7"/>
          </w:tcPr>
          <w:p>
            <w:r/>
            <w:r>
              <w:rPr>
                <w:b/>
                <w:sz w:val="18"/>
              </w:rPr>
              <w:t>Team</w:t>
            </w:r>
          </w:p>
        </w:tc>
        <w:tc>
          <w:tcPr>
            <w:tcW w:type="dxa" w:w="7920"/>
            <w:vAlign w:val="center"/>
            <w:shd w:fill="D9EAF7"/>
          </w:tcPr>
          <w:p>
            <w:r/>
            <w:r>
              <w:rPr>
                <w:b/>
                <w:sz w:val="18"/>
              </w:rPr>
              <w:t>Archetype</w:t>
            </w:r>
          </w:p>
        </w:tc>
      </w:tr>
      <w:tr>
        <w:trPr>
          <w:cantSplit/>
        </w:trPr>
        <w:tc>
          <w:tcPr>
            <w:tcW w:type="dxa" w:w="1440"/>
            <w:vAlign w:val="center"/>
          </w:tcPr>
          <w:p>
            <w:r/>
            <w:r>
              <w:rPr>
                <w:b w:val="0"/>
                <w:sz w:val="18"/>
              </w:rPr>
              <w:t>T08</w:t>
            </w:r>
          </w:p>
        </w:tc>
        <w:tc>
          <w:tcPr>
            <w:tcW w:type="dxa" w:w="7920"/>
            <w:vAlign w:val="center"/>
          </w:tcPr>
          <w:p>
            <w:r/>
            <w:r>
              <w:rPr>
                <w:b w:val="0"/>
                <w:sz w:val="18"/>
              </w:rPr>
              <w:t>Two-way primary scorer</w:t>
            </w:r>
          </w:p>
        </w:tc>
      </w:tr>
      <w:tr>
        <w:trPr>
          <w:cantSplit/>
        </w:trPr>
        <w:tc>
          <w:tcPr>
            <w:tcW w:type="dxa" w:w="1440"/>
            <w:vAlign w:val="center"/>
          </w:tcPr>
          <w:p>
            <w:r/>
            <w:r>
              <w:rPr>
                <w:b w:val="0"/>
                <w:sz w:val="18"/>
              </w:rPr>
              <w:t>T14</w:t>
            </w:r>
          </w:p>
        </w:tc>
        <w:tc>
          <w:tcPr>
            <w:tcW w:type="dxa" w:w="7920"/>
            <w:vAlign w:val="center"/>
          </w:tcPr>
          <w:p>
            <w:r/>
            <w:r>
              <w:rPr>
                <w:b w:val="0"/>
                <w:sz w:val="18"/>
              </w:rPr>
              <w:t>Efficient primary scorer</w:t>
            </w:r>
          </w:p>
        </w:tc>
      </w:tr>
      <w:tr>
        <w:trPr>
          <w:cantSplit/>
        </w:trPr>
        <w:tc>
          <w:tcPr>
            <w:tcW w:type="dxa" w:w="1440"/>
            <w:vAlign w:val="center"/>
          </w:tcPr>
          <w:p>
            <w:r/>
            <w:r>
              <w:rPr>
                <w:b w:val="0"/>
                <w:sz w:val="18"/>
              </w:rPr>
              <w:t>T05</w:t>
            </w:r>
          </w:p>
        </w:tc>
        <w:tc>
          <w:tcPr>
            <w:tcW w:type="dxa" w:w="7920"/>
            <w:vAlign w:val="center"/>
          </w:tcPr>
          <w:p>
            <w:r/>
            <w:r>
              <w:rPr>
                <w:b w:val="0"/>
                <w:sz w:val="18"/>
              </w:rPr>
              <w:t>Overflow scoring specialist</w:t>
            </w:r>
          </w:p>
        </w:tc>
      </w:tr>
      <w:tr>
        <w:trPr>
          <w:cantSplit/>
        </w:trPr>
        <w:tc>
          <w:tcPr>
            <w:tcW w:type="dxa" w:w="1440"/>
            <w:vAlign w:val="center"/>
          </w:tcPr>
          <w:p>
            <w:r/>
            <w:r>
              <w:rPr>
                <w:b w:val="0"/>
                <w:sz w:val="18"/>
              </w:rPr>
              <w:t>T17</w:t>
            </w:r>
          </w:p>
        </w:tc>
        <w:tc>
          <w:tcPr>
            <w:tcW w:type="dxa" w:w="7920"/>
            <w:vAlign w:val="center"/>
          </w:tcPr>
          <w:p>
            <w:r/>
            <w:r>
              <w:rPr>
                <w:b w:val="0"/>
                <w:sz w:val="18"/>
              </w:rPr>
              <w:t>Driver-led primary scorer</w:t>
            </w:r>
          </w:p>
        </w:tc>
      </w:tr>
      <w:tr>
        <w:trPr>
          <w:cantSplit/>
        </w:trPr>
        <w:tc>
          <w:tcPr>
            <w:tcW w:type="dxa" w:w="1440"/>
            <w:vAlign w:val="center"/>
          </w:tcPr>
          <w:p>
            <w:r/>
            <w:r>
              <w:rPr>
                <w:b w:val="0"/>
                <w:sz w:val="18"/>
              </w:rPr>
              <w:t>T07</w:t>
            </w:r>
          </w:p>
        </w:tc>
        <w:tc>
          <w:tcPr>
            <w:tcW w:type="dxa" w:w="7920"/>
            <w:vAlign w:val="center"/>
          </w:tcPr>
          <w:p>
            <w:r/>
            <w:r>
              <w:rPr>
                <w:b w:val="0"/>
                <w:sz w:val="18"/>
              </w:rPr>
              <w:t>High-risk / high-ceiling scorer</w:t>
            </w:r>
          </w:p>
        </w:tc>
      </w:tr>
      <w:tr>
        <w:trPr>
          <w:cantSplit/>
        </w:trPr>
        <w:tc>
          <w:tcPr>
            <w:tcW w:type="dxa" w:w="1440"/>
            <w:vAlign w:val="center"/>
          </w:tcPr>
          <w:p>
            <w:r/>
            <w:r>
              <w:rPr>
                <w:b w:val="0"/>
                <w:sz w:val="18"/>
              </w:rPr>
              <w:t>3470</w:t>
            </w:r>
          </w:p>
        </w:tc>
        <w:tc>
          <w:tcPr>
            <w:tcW w:type="dxa" w:w="7920"/>
            <w:vAlign w:val="center"/>
          </w:tcPr>
          <w:p>
            <w:r/>
            <w:r>
              <w:rPr>
                <w:b w:val="0"/>
                <w:sz w:val="18"/>
              </w:rPr>
              <w:t>Fast, consistent balanced scorer</w:t>
            </w:r>
          </w:p>
        </w:tc>
      </w:tr>
      <w:tr>
        <w:trPr>
          <w:cantSplit/>
        </w:trPr>
        <w:tc>
          <w:tcPr>
            <w:tcW w:type="dxa" w:w="1440"/>
            <w:vAlign w:val="center"/>
          </w:tcPr>
          <w:p>
            <w:r/>
            <w:r>
              <w:rPr>
                <w:b w:val="0"/>
                <w:sz w:val="18"/>
              </w:rPr>
              <w:t>T02</w:t>
            </w:r>
          </w:p>
        </w:tc>
        <w:tc>
          <w:tcPr>
            <w:tcW w:type="dxa" w:w="7920"/>
            <w:vAlign w:val="center"/>
          </w:tcPr>
          <w:p>
            <w:r/>
            <w:r>
              <w:rPr>
                <w:b w:val="0"/>
                <w:sz w:val="18"/>
              </w:rPr>
              <w:t>Consistent low-risk balanced robot</w:t>
            </w:r>
          </w:p>
        </w:tc>
      </w:tr>
      <w:tr>
        <w:trPr>
          <w:cantSplit/>
        </w:trPr>
        <w:tc>
          <w:tcPr>
            <w:tcW w:type="dxa" w:w="1440"/>
            <w:vAlign w:val="center"/>
          </w:tcPr>
          <w:p>
            <w:r/>
            <w:r>
              <w:rPr>
                <w:b w:val="0"/>
                <w:sz w:val="18"/>
              </w:rPr>
              <w:t>T15</w:t>
            </w:r>
          </w:p>
        </w:tc>
        <w:tc>
          <w:tcPr>
            <w:tcW w:type="dxa" w:w="7920"/>
            <w:vAlign w:val="center"/>
          </w:tcPr>
          <w:p>
            <w:r/>
            <w:r>
              <w:rPr>
                <w:b w:val="0"/>
                <w:sz w:val="18"/>
              </w:rPr>
              <w:t>Consistent secondary scorer</w:t>
            </w:r>
          </w:p>
        </w:tc>
      </w:tr>
      <w:tr>
        <w:trPr>
          <w:cantSplit/>
        </w:trPr>
        <w:tc>
          <w:tcPr>
            <w:tcW w:type="dxa" w:w="1440"/>
            <w:vAlign w:val="center"/>
          </w:tcPr>
          <w:p>
            <w:r/>
            <w:r>
              <w:rPr>
                <w:b w:val="0"/>
                <w:sz w:val="18"/>
              </w:rPr>
              <w:t>T06</w:t>
            </w:r>
          </w:p>
        </w:tc>
        <w:tc>
          <w:tcPr>
            <w:tcW w:type="dxa" w:w="7920"/>
            <w:vAlign w:val="center"/>
          </w:tcPr>
          <w:p>
            <w:r/>
            <w:r>
              <w:rPr>
                <w:b w:val="0"/>
                <w:sz w:val="18"/>
              </w:rPr>
              <w:t>Primary scorer</w:t>
            </w:r>
          </w:p>
        </w:tc>
      </w:tr>
      <w:tr>
        <w:trPr>
          <w:cantSplit/>
        </w:trPr>
        <w:tc>
          <w:tcPr>
            <w:tcW w:type="dxa" w:w="1440"/>
            <w:vAlign w:val="center"/>
          </w:tcPr>
          <w:p>
            <w:r/>
            <w:r>
              <w:rPr>
                <w:b w:val="0"/>
                <w:sz w:val="18"/>
              </w:rPr>
              <w:t>T09</w:t>
            </w:r>
          </w:p>
        </w:tc>
        <w:tc>
          <w:tcPr>
            <w:tcW w:type="dxa" w:w="7920"/>
            <w:vAlign w:val="center"/>
          </w:tcPr>
          <w:p>
            <w:r/>
            <w:r>
              <w:rPr>
                <w:b w:val="0"/>
                <w:sz w:val="18"/>
              </w:rPr>
              <w:t>Defensive support specialist</w:t>
            </w:r>
          </w:p>
        </w:tc>
      </w:tr>
      <w:tr>
        <w:trPr>
          <w:cantSplit/>
        </w:trPr>
        <w:tc>
          <w:tcPr>
            <w:tcW w:type="dxa" w:w="1440"/>
            <w:vAlign w:val="center"/>
          </w:tcPr>
          <w:p>
            <w:r/>
            <w:r>
              <w:rPr>
                <w:b w:val="0"/>
                <w:sz w:val="18"/>
              </w:rPr>
              <w:t>T12</w:t>
            </w:r>
          </w:p>
        </w:tc>
        <w:tc>
          <w:tcPr>
            <w:tcW w:type="dxa" w:w="7920"/>
            <w:vAlign w:val="center"/>
          </w:tcPr>
          <w:p>
            <w:r/>
            <w:r>
              <w:rPr>
                <w:b w:val="0"/>
                <w:sz w:val="18"/>
              </w:rPr>
              <w:t>Fast CL scoring specialist</w:t>
            </w:r>
          </w:p>
        </w:tc>
      </w:tr>
      <w:tr>
        <w:trPr>
          <w:cantSplit/>
        </w:trPr>
        <w:tc>
          <w:tcPr>
            <w:tcW w:type="dxa" w:w="1440"/>
            <w:vAlign w:val="center"/>
          </w:tcPr>
          <w:p>
            <w:r/>
            <w:r>
              <w:rPr>
                <w:b w:val="0"/>
                <w:sz w:val="18"/>
              </w:rPr>
              <w:t>T10</w:t>
            </w:r>
          </w:p>
        </w:tc>
        <w:tc>
          <w:tcPr>
            <w:tcW w:type="dxa" w:w="7920"/>
            <w:vAlign w:val="center"/>
          </w:tcPr>
          <w:p>
            <w:r/>
            <w:r>
              <w:rPr>
                <w:b w:val="0"/>
                <w:sz w:val="18"/>
              </w:rPr>
              <w:t>Defensive support specialist</w:t>
            </w:r>
          </w:p>
        </w:tc>
      </w:tr>
      <w:tr>
        <w:trPr>
          <w:cantSplit/>
        </w:trPr>
        <w:tc>
          <w:tcPr>
            <w:tcW w:type="dxa" w:w="1440"/>
            <w:vAlign w:val="center"/>
          </w:tcPr>
          <w:p>
            <w:r/>
            <w:r>
              <w:rPr>
                <w:b w:val="0"/>
                <w:sz w:val="18"/>
              </w:rPr>
              <w:t>T01</w:t>
            </w:r>
          </w:p>
        </w:tc>
        <w:tc>
          <w:tcPr>
            <w:tcW w:type="dxa" w:w="7920"/>
            <w:vAlign w:val="center"/>
          </w:tcPr>
          <w:p>
            <w:r/>
            <w:r>
              <w:rPr>
                <w:b w:val="0"/>
                <w:sz w:val="18"/>
              </w:rPr>
              <w:t>Support / defensive robot</w:t>
            </w:r>
          </w:p>
        </w:tc>
      </w:tr>
      <w:tr>
        <w:trPr>
          <w:cantSplit/>
        </w:trPr>
        <w:tc>
          <w:tcPr>
            <w:tcW w:type="dxa" w:w="1440"/>
            <w:vAlign w:val="center"/>
          </w:tcPr>
          <w:p>
            <w:r/>
            <w:r>
              <w:rPr>
                <w:b w:val="0"/>
                <w:sz w:val="18"/>
              </w:rPr>
              <w:t>T13</w:t>
            </w:r>
          </w:p>
        </w:tc>
        <w:tc>
          <w:tcPr>
            <w:tcW w:type="dxa" w:w="7920"/>
            <w:vAlign w:val="center"/>
          </w:tcPr>
          <w:p>
            <w:r/>
            <w:r>
              <w:rPr>
                <w:b w:val="0"/>
                <w:sz w:val="18"/>
              </w:rPr>
              <w:t>Defensive support specialist</w:t>
            </w:r>
          </w:p>
        </w:tc>
      </w:tr>
      <w:tr>
        <w:trPr>
          <w:cantSplit/>
        </w:trPr>
        <w:tc>
          <w:tcPr>
            <w:tcW w:type="dxa" w:w="1440"/>
            <w:vAlign w:val="center"/>
          </w:tcPr>
          <w:p>
            <w:r/>
            <w:r>
              <w:rPr>
                <w:b w:val="0"/>
                <w:sz w:val="18"/>
              </w:rPr>
              <w:t>T03</w:t>
            </w:r>
          </w:p>
        </w:tc>
        <w:tc>
          <w:tcPr>
            <w:tcW w:type="dxa" w:w="7920"/>
            <w:vAlign w:val="center"/>
          </w:tcPr>
          <w:p>
            <w:r/>
            <w:r>
              <w:rPr>
                <w:b w:val="0"/>
                <w:sz w:val="18"/>
              </w:rPr>
              <w:t>Overflow scoring specialist</w:t>
            </w:r>
          </w:p>
        </w:tc>
      </w:tr>
      <w:tr>
        <w:trPr>
          <w:cantSplit/>
        </w:trPr>
        <w:tc>
          <w:tcPr>
            <w:tcW w:type="dxa" w:w="1440"/>
            <w:vAlign w:val="center"/>
          </w:tcPr>
          <w:p>
            <w:r/>
            <w:r>
              <w:rPr>
                <w:b w:val="0"/>
                <w:sz w:val="18"/>
              </w:rPr>
              <w:t>T16</w:t>
            </w:r>
          </w:p>
        </w:tc>
        <w:tc>
          <w:tcPr>
            <w:tcW w:type="dxa" w:w="7920"/>
            <w:vAlign w:val="center"/>
          </w:tcPr>
          <w:p>
            <w:r/>
            <w:r>
              <w:rPr>
                <w:b w:val="0"/>
                <w:sz w:val="18"/>
              </w:rPr>
              <w:t>Objective / motif specialist</w:t>
            </w:r>
          </w:p>
        </w:tc>
      </w:tr>
      <w:tr>
        <w:trPr>
          <w:cantSplit/>
        </w:trPr>
        <w:tc>
          <w:tcPr>
            <w:tcW w:type="dxa" w:w="1440"/>
            <w:vAlign w:val="center"/>
          </w:tcPr>
          <w:p>
            <w:r/>
            <w:r>
              <w:rPr>
                <w:b w:val="0"/>
                <w:sz w:val="18"/>
              </w:rPr>
              <w:t>T04</w:t>
            </w:r>
          </w:p>
        </w:tc>
        <w:tc>
          <w:tcPr>
            <w:tcW w:type="dxa" w:w="7920"/>
            <w:vAlign w:val="center"/>
          </w:tcPr>
          <w:p>
            <w:r/>
            <w:r>
              <w:rPr>
                <w:b w:val="0"/>
                <w:sz w:val="18"/>
              </w:rPr>
              <w:t>High-risk low-output robot</w:t>
            </w:r>
          </w:p>
        </w:tc>
      </w:tr>
      <w:tr>
        <w:trPr>
          <w:cantSplit/>
        </w:trPr>
        <w:tc>
          <w:tcPr>
            <w:tcW w:type="dxa" w:w="1440"/>
            <w:vAlign w:val="center"/>
          </w:tcPr>
          <w:p>
            <w:r/>
            <w:r>
              <w:rPr>
                <w:b w:val="0"/>
                <w:sz w:val="18"/>
              </w:rPr>
              <w:t>T11</w:t>
            </w:r>
          </w:p>
        </w:tc>
        <w:tc>
          <w:tcPr>
            <w:tcW w:type="dxa" w:w="7920"/>
            <w:vAlign w:val="center"/>
          </w:tcPr>
          <w:p>
            <w:r/>
            <w:r>
              <w:rPr>
                <w:b w:val="0"/>
                <w:sz w:val="18"/>
              </w:rPr>
              <w:t>High-risk low-output robot</w:t>
            </w:r>
          </w:p>
        </w:tc>
      </w:tr>
    </w:tbl>
    <w:p/>
    <w:p>
      <w:pPr>
        <w:pStyle w:val="Heading1"/>
      </w:pPr>
      <w:r>
        <w:t>7. Team 3470 Performance Analysis</w:t>
      </w:r>
    </w:p>
    <w:p>
      <w:pPr>
        <w:jc w:val="center"/>
      </w:pPr>
      <w:r>
        <w:drawing>
          <wp:inline xmlns:a="http://schemas.openxmlformats.org/drawingml/2006/main" xmlns:pic="http://schemas.openxmlformats.org/drawingml/2006/picture">
            <wp:extent cx="5852160" cy="3304749"/>
            <wp:docPr id="2" name="Picture 2"/>
            <wp:cNvGraphicFramePr>
              <a:graphicFrameLocks noChangeAspect="1"/>
            </wp:cNvGraphicFramePr>
            <a:graphic>
              <a:graphicData uri="http://schemas.openxmlformats.org/drawingml/2006/picture">
                <pic:pic>
                  <pic:nvPicPr>
                    <pic:cNvPr id="0" name="team_3470_profile.png"/>
                    <pic:cNvPicPr/>
                  </pic:nvPicPr>
                  <pic:blipFill>
                    <a:blip r:embed="rId11"/>
                    <a:stretch>
                      <a:fillRect/>
                    </a:stretch>
                  </pic:blipFill>
                  <pic:spPr>
                    <a:xfrm>
                      <a:off x="0" y="0"/>
                      <a:ext cx="5852160" cy="3304749"/>
                    </a:xfrm>
                    <a:prstGeom prst="rect"/>
                  </pic:spPr>
                </pic:pic>
              </a:graphicData>
            </a:graphic>
          </wp:inline>
        </w:drawing>
      </w:r>
    </w:p>
    <w:p>
      <w:pPr>
        <w:jc w:val="center"/>
      </w:pPr>
      <w:r>
        <w:rPr>
          <w:i/>
          <w:sz w:val="18"/>
        </w:rPr>
        <w:t>Figure 2. Team 3470's field-percentile profile.</w:t>
      </w:r>
    </w:p>
    <w:p>
      <w:r>
        <w:t>Team 3470 ranks #6 overall. It averages 10.50 recorded scoring actions and 15.03 s cycle time, with 0% recorded breakdowns, 100% autonomous leave, 50% motif completion, and 4.15/5 driver consistency.</w:t>
      </w:r>
    </w:p>
    <w:p>
      <w:pPr>
        <w:pStyle w:val="ListBullet"/>
      </w:pPr>
      <w:r>
        <w:t>Strongest areas: cycle speed (88th percentile), action consistency/reliability, 6/6 autonomous leave, and zero recorded breakdowns.</w:t>
      </w:r>
    </w:p>
    <w:p>
      <w:pPr>
        <w:pStyle w:val="ListBullet"/>
      </w:pPr>
      <w:r>
        <w:t>Weakest areas: CL production (41st percentile), depot production (35th percentile), defense (41st percentile), and only 50% motif completion.</w:t>
      </w:r>
    </w:p>
    <w:p>
      <w:pPr>
        <w:pStyle w:val="ListBullet"/>
      </w:pPr>
      <w:r>
        <w:t>Most important performance gap: 3470 is fast but only 45th percentile in scoring-volume index. The robot gets around the cycle quickly without converting that speed into top-tier action count.</w:t>
      </w:r>
    </w:p>
    <w:p>
      <w:pPr>
        <w:pStyle w:val="ListBullet"/>
      </w:pPr>
      <w:r>
        <w:t>Late-event trend: cycle time rises and scoring actions drift down across the six matches; the same overflow-slowdown note appears in matches 4-6.</w:t>
      </w:r>
    </w:p>
    <w:p>
      <w:pPr>
        <w:jc w:val="center"/>
      </w:pPr>
      <w:r>
        <w:drawing>
          <wp:inline xmlns:a="http://schemas.openxmlformats.org/drawingml/2006/main" xmlns:pic="http://schemas.openxmlformats.org/drawingml/2006/picture">
            <wp:extent cx="5852160" cy="3304749"/>
            <wp:docPr id="3" name="Picture 3"/>
            <wp:cNvGraphicFramePr>
              <a:graphicFrameLocks noChangeAspect="1"/>
            </wp:cNvGraphicFramePr>
            <a:graphic>
              <a:graphicData uri="http://schemas.openxmlformats.org/drawingml/2006/picture">
                <pic:pic>
                  <pic:nvPicPr>
                    <pic:cNvPr id="0" name="team_3470_cycle_trend.png"/>
                    <pic:cNvPicPr/>
                  </pic:nvPicPr>
                  <pic:blipFill>
                    <a:blip r:embed="rId12"/>
                    <a:stretch>
                      <a:fillRect/>
                    </a:stretch>
                  </pic:blipFill>
                  <pic:spPr>
                    <a:xfrm>
                      <a:off x="0" y="0"/>
                      <a:ext cx="5852160" cy="3304749"/>
                    </a:xfrm>
                    <a:prstGeom prst="rect"/>
                  </pic:spPr>
                </pic:pic>
              </a:graphicData>
            </a:graphic>
          </wp:inline>
        </w:drawing>
      </w:r>
    </w:p>
    <w:p>
      <w:pPr>
        <w:jc w:val="center"/>
      </w:pPr>
      <w:r>
        <w:rPr>
          <w:i/>
          <w:sz w:val="18"/>
        </w:rPr>
        <w:t>Figure 3. Team 3470 cycle time trends slower across the sample.</w:t>
      </w:r>
    </w:p>
    <w:p>
      <w:pPr>
        <w:jc w:val="center"/>
      </w:pPr>
      <w:r>
        <w:drawing>
          <wp:inline xmlns:a="http://schemas.openxmlformats.org/drawingml/2006/main" xmlns:pic="http://schemas.openxmlformats.org/drawingml/2006/picture">
            <wp:extent cx="5852160" cy="3304749"/>
            <wp:docPr id="4" name="Picture 4"/>
            <wp:cNvGraphicFramePr>
              <a:graphicFrameLocks noChangeAspect="1"/>
            </wp:cNvGraphicFramePr>
            <a:graphic>
              <a:graphicData uri="http://schemas.openxmlformats.org/drawingml/2006/picture">
                <pic:pic>
                  <pic:nvPicPr>
                    <pic:cNvPr id="0" name="team_3470_actions_trend.png"/>
                    <pic:cNvPicPr/>
                  </pic:nvPicPr>
                  <pic:blipFill>
                    <a:blip r:embed="rId13"/>
                    <a:stretch>
                      <a:fillRect/>
                    </a:stretch>
                  </pic:blipFill>
                  <pic:spPr>
                    <a:xfrm>
                      <a:off x="0" y="0"/>
                      <a:ext cx="5852160" cy="3304749"/>
                    </a:xfrm>
                    <a:prstGeom prst="rect"/>
                  </pic:spPr>
                </pic:pic>
              </a:graphicData>
            </a:graphic>
          </wp:inline>
        </w:drawing>
      </w:r>
    </w:p>
    <w:p>
      <w:pPr>
        <w:jc w:val="center"/>
      </w:pPr>
      <w:r>
        <w:rPr>
          <w:i/>
          <w:sz w:val="18"/>
        </w:rPr>
        <w:t>Figure 4. Team 3470 recorded scoring actions drift down late in the sample.</w:t>
      </w:r>
    </w:p>
    <w:p>
      <w:pPr>
        <w:pStyle w:val="Heading1"/>
      </w:pPr>
      <w:r>
        <w:t>8. Prioritized Team 3470 Recommendations</w:t>
      </w:r>
    </w:p>
    <w:p>
      <w:pPr>
        <w:pStyle w:val="Heading2"/>
      </w:pPr>
      <w:r>
        <w:t>Priority 1: Late-event cycle slowdown around the overflow mechanism/intake path</w:t>
      </w:r>
    </w:p>
    <w:p>
      <w:pPr>
        <w:pStyle w:val="ListBullet"/>
      </w:pPr>
      <w:r>
        <w:t>Evidence: Cycle time rose from 12.40s over matches 1-2 to 17.55s over matches 5-6 (+41.5%); the note 'overflow mechanism slows late event' appears 3/6 times.</w:t>
      </w:r>
    </w:p>
    <w:p>
      <w:pPr>
        <w:pStyle w:val="ListBullet"/>
      </w:pPr>
      <w:r>
        <w:t>Expected impact: Higher late-match throughput and less performance fade while preserving 3470's strong early speed.</w:t>
      </w:r>
    </w:p>
    <w:p>
      <w:pPr>
        <w:pStyle w:val="ListBullet"/>
      </w:pPr>
      <w:r>
        <w:t>Action: Stress-test the overflow/intake/transfer path under full-match conditions; log jam/retry causes; simplify or reinforce the mechanism; add driver recovery practice.</w:t>
      </w:r>
    </w:p>
    <w:p>
      <w:pPr>
        <w:pStyle w:val="ListBullet"/>
      </w:pPr>
      <w:r>
        <w:t>Confidence: High</w:t>
      </w:r>
    </w:p>
    <w:p>
      <w:pPr>
        <w:pStyle w:val="Heading2"/>
      </w:pPr>
      <w:r>
        <w:t>Priority 2: Fast cycles are not translating into top-tier total scoring volume</w:t>
      </w:r>
    </w:p>
    <w:p>
      <w:pPr>
        <w:pStyle w:val="ListBullet"/>
      </w:pPr>
      <w:r>
        <w:t>Evidence: 3470's cycle-speed index is 88th percentile, but scoring-volume index is only 45th percentile; CL is 41st percentile and depot is 35th percentile.</w:t>
      </w:r>
    </w:p>
    <w:p>
      <w:pPr>
        <w:pStyle w:val="ListBullet"/>
      </w:pPr>
      <w:r>
        <w:t>Expected impact: More scoring actions per match without needing a faster drivetrain or riskier strategy.</w:t>
      </w:r>
    </w:p>
    <w:p>
      <w:pPr>
        <w:pStyle w:val="ListBullet"/>
      </w:pPr>
      <w:r>
        <w:t>Action: Run timed intake-to-score conversion drills, standardize driver routes, reduce dead travel/aim time, and prioritize CL/depot throughput where 3470 trails the field.</w:t>
      </w:r>
    </w:p>
    <w:p>
      <w:pPr>
        <w:pStyle w:val="ListBullet"/>
      </w:pPr>
      <w:r>
        <w:t>Confidence: Medium</w:t>
      </w:r>
    </w:p>
    <w:p>
      <w:pPr>
        <w:pStyle w:val="Heading2"/>
      </w:pPr>
      <w:r>
        <w:t>Priority 3: Motif completion is only 50% despite perfect autonomous leave</w:t>
      </w:r>
    </w:p>
    <w:p>
      <w:pPr>
        <w:pStyle w:val="ListBullet"/>
      </w:pPr>
      <w:r>
        <w:t>Evidence: Auto leave succeeded in 6/6 observations, while motif completion succeeded in 3/6.</w:t>
      </w:r>
    </w:p>
    <w:p>
      <w:pPr>
        <w:pStyle w:val="ListBullet"/>
      </w:pPr>
      <w:r>
        <w:t>Expected impact: Raises objective reliability while keeping the already-stable autonomous foundation.</w:t>
      </w:r>
    </w:p>
    <w:p>
      <w:pPr>
        <w:pStyle w:val="ListBullet"/>
      </w:pPr>
      <w:r>
        <w:t>Action: Add pre-match sensor/pose checks, deterministic autonomous state handling, and repeated motif-specific validation under different starting conditions.</w:t>
      </w:r>
    </w:p>
    <w:p>
      <w:pPr>
        <w:pStyle w:val="ListBullet"/>
      </w:pPr>
      <w:r>
        <w:t>Confidence: High</w:t>
      </w:r>
    </w:p>
    <w:p>
      <w:pPr>
        <w:pStyle w:val="Heading2"/>
      </w:pPr>
      <w:r>
        <w:t>Priority 4: Penalty spikes can erase gains in close matches</w:t>
      </w:r>
    </w:p>
    <w:p>
      <w:pPr>
        <w:pStyle w:val="ListBullet"/>
      </w:pPr>
      <w:r>
        <w:t>Evidence: 3470 averaged 4.0 penalty points with a maximum of 9; two observations were 6+ points.</w:t>
      </w:r>
    </w:p>
    <w:p>
      <w:pPr>
        <w:pStyle w:val="ListBullet"/>
      </w:pPr>
      <w:r>
        <w:t>Expected impact: Improves floor in close matches and reduces avoidable score swings.</w:t>
      </w:r>
    </w:p>
    <w:p>
      <w:pPr>
        <w:pStyle w:val="ListBullet"/>
      </w:pPr>
      <w:r>
        <w:t>Action: Review the high-penalty matches with the drive team, identify repeatable causes, and add rule-boundary drills to practice sessions.</w:t>
      </w:r>
    </w:p>
    <w:p>
      <w:pPr>
        <w:pStyle w:val="ListBullet"/>
      </w:pPr>
      <w:r>
        <w:t>Confidence: Medium</w:t>
      </w:r>
    </w:p>
    <w:p>
      <w:pPr>
        <w:pStyle w:val="Heading1"/>
      </w:pPr>
      <w:r>
        <w:t>9. 3470 Alliance Compatibility Ranking and Picklist</w:t>
      </w:r>
    </w:p>
    <w:p>
      <w:pPr>
        <w:jc w:val="center"/>
      </w:pPr>
      <w:r>
        <w:drawing>
          <wp:inline xmlns:a="http://schemas.openxmlformats.org/drawingml/2006/main" xmlns:pic="http://schemas.openxmlformats.org/drawingml/2006/picture">
            <wp:extent cx="5852160" cy="4475181"/>
            <wp:docPr id="5" name="Picture 5"/>
            <wp:cNvGraphicFramePr>
              <a:graphicFrameLocks noChangeAspect="1"/>
            </wp:cNvGraphicFramePr>
            <a:graphic>
              <a:graphicData uri="http://schemas.openxmlformats.org/drawingml/2006/picture">
                <pic:pic>
                  <pic:nvPicPr>
                    <pic:cNvPr id="0" name="compatibility_ranking.png"/>
                    <pic:cNvPicPr/>
                  </pic:nvPicPr>
                  <pic:blipFill>
                    <a:blip r:embed="rId14"/>
                    <a:stretch>
                      <a:fillRect/>
                    </a:stretch>
                  </pic:blipFill>
                  <pic:spPr>
                    <a:xfrm>
                      <a:off x="0" y="0"/>
                      <a:ext cx="5852160" cy="4475181"/>
                    </a:xfrm>
                    <a:prstGeom prst="rect"/>
                  </pic:spPr>
                </pic:pic>
              </a:graphicData>
            </a:graphic>
          </wp:inline>
        </w:drawing>
      </w:r>
    </w:p>
    <w:p>
      <w:pPr>
        <w:jc w:val="center"/>
      </w:pPr>
      <w:r>
        <w:rPr>
          <w:i/>
          <w:sz w:val="18"/>
        </w:rPr>
        <w:t>Figure 5. Highest-fit alliance partners for Team 3470.</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648"/>
            <w:vAlign w:val="center"/>
            <w:shd w:fill="D9EAF7"/>
          </w:tcPr>
          <w:p>
            <w:r/>
            <w:r>
              <w:rPr>
                <w:b/>
                <w:sz w:val="14"/>
              </w:rPr>
              <w:t>Pick</w:t>
            </w:r>
          </w:p>
        </w:tc>
        <w:tc>
          <w:tcPr>
            <w:tcW w:type="dxa" w:w="792"/>
            <w:vAlign w:val="center"/>
            <w:shd w:fill="D9EAF7"/>
          </w:tcPr>
          <w:p>
            <w:r/>
            <w:r>
              <w:rPr>
                <w:b/>
                <w:sz w:val="14"/>
              </w:rPr>
              <w:t>Team</w:t>
            </w:r>
          </w:p>
        </w:tc>
        <w:tc>
          <w:tcPr>
            <w:tcW w:type="dxa" w:w="936"/>
            <w:vAlign w:val="center"/>
            <w:shd w:fill="D9EAF7"/>
          </w:tcPr>
          <w:p>
            <w:r/>
            <w:r>
              <w:rPr>
                <w:b/>
                <w:sz w:val="14"/>
              </w:rPr>
              <w:t>Fit score</w:t>
            </w:r>
          </w:p>
        </w:tc>
        <w:tc>
          <w:tcPr>
            <w:tcW w:type="dxa" w:w="792"/>
            <w:vAlign w:val="center"/>
            <w:shd w:fill="D9EAF7"/>
          </w:tcPr>
          <w:p>
            <w:r/>
            <w:r>
              <w:rPr>
                <w:b/>
                <w:sz w:val="14"/>
              </w:rPr>
              <w:t>Overall</w:t>
            </w:r>
          </w:p>
        </w:tc>
        <w:tc>
          <w:tcPr>
            <w:tcW w:type="dxa" w:w="2880"/>
            <w:vAlign w:val="center"/>
            <w:shd w:fill="D9EAF7"/>
          </w:tcPr>
          <w:p>
            <w:r/>
            <w:r>
              <w:rPr>
                <w:b/>
                <w:sz w:val="14"/>
              </w:rPr>
              <w:t>Why it fits</w:t>
            </w:r>
          </w:p>
        </w:tc>
        <w:tc>
          <w:tcPr>
            <w:tcW w:type="dxa" w:w="2376"/>
            <w:vAlign w:val="center"/>
            <w:shd w:fill="D9EAF7"/>
          </w:tcPr>
          <w:p>
            <w:r/>
            <w:r>
              <w:rPr>
                <w:b/>
                <w:sz w:val="14"/>
              </w:rPr>
              <w:t>Risk</w:t>
            </w:r>
          </w:p>
        </w:tc>
        <w:tc>
          <w:tcPr>
            <w:tcW w:type="dxa" w:w="792"/>
            <w:vAlign w:val="center"/>
            <w:shd w:fill="D9EAF7"/>
          </w:tcPr>
          <w:p>
            <w:r/>
            <w:r>
              <w:rPr>
                <w:b/>
                <w:sz w:val="14"/>
              </w:rPr>
              <w:t>Conf.</w:t>
            </w:r>
          </w:p>
        </w:tc>
      </w:tr>
      <w:tr>
        <w:trPr>
          <w:cantSplit/>
        </w:trPr>
        <w:tc>
          <w:tcPr>
            <w:tcW w:type="dxa" w:w="648"/>
            <w:vAlign w:val="center"/>
          </w:tcPr>
          <w:p>
            <w:r/>
            <w:r>
              <w:rPr>
                <w:b w:val="0"/>
                <w:sz w:val="14"/>
              </w:rPr>
              <w:t>1</w:t>
            </w:r>
          </w:p>
        </w:tc>
        <w:tc>
          <w:tcPr>
            <w:tcW w:type="dxa" w:w="792"/>
            <w:vAlign w:val="center"/>
          </w:tcPr>
          <w:p>
            <w:r/>
            <w:r>
              <w:rPr>
                <w:b w:val="0"/>
                <w:sz w:val="14"/>
              </w:rPr>
              <w:t>T08</w:t>
            </w:r>
          </w:p>
        </w:tc>
        <w:tc>
          <w:tcPr>
            <w:tcW w:type="dxa" w:w="936"/>
            <w:vAlign w:val="center"/>
          </w:tcPr>
          <w:p>
            <w:r/>
            <w:r>
              <w:rPr>
                <w:b w:val="0"/>
                <w:sz w:val="14"/>
              </w:rPr>
              <w:t>72.4</w:t>
            </w:r>
          </w:p>
        </w:tc>
        <w:tc>
          <w:tcPr>
            <w:tcW w:type="dxa" w:w="792"/>
            <w:vAlign w:val="center"/>
          </w:tcPr>
          <w:p>
            <w:r/>
            <w:r>
              <w:rPr>
                <w:b w:val="0"/>
                <w:sz w:val="14"/>
              </w:rPr>
              <w:t>1</w:t>
            </w:r>
          </w:p>
        </w:tc>
        <w:tc>
          <w:tcPr>
            <w:tcW w:type="dxa" w:w="2880"/>
            <w:vAlign w:val="center"/>
          </w:tcPr>
          <w:p>
            <w:r/>
            <w:r>
              <w:rPr>
                <w:b w:val="0"/>
                <w:sz w:val="14"/>
              </w:rPr>
              <w:t>Best fit areas: defense and CL scoring.</w:t>
            </w:r>
          </w:p>
        </w:tc>
        <w:tc>
          <w:tcPr>
            <w:tcW w:type="dxa" w:w="2376"/>
            <w:vAlign w:val="center"/>
          </w:tcPr>
          <w:p>
            <w:r/>
            <w:r>
              <w:rPr>
                <w:b w:val="0"/>
                <w:sz w:val="14"/>
              </w:rPr>
              <w:t>2.2/5 driver consistency</w:t>
            </w:r>
          </w:p>
        </w:tc>
        <w:tc>
          <w:tcPr>
            <w:tcW w:type="dxa" w:w="792"/>
            <w:vAlign w:val="center"/>
          </w:tcPr>
          <w:p>
            <w:r/>
            <w:r>
              <w:rPr>
                <w:b w:val="0"/>
                <w:sz w:val="14"/>
              </w:rPr>
              <w:t>High</w:t>
            </w:r>
          </w:p>
        </w:tc>
      </w:tr>
      <w:tr>
        <w:trPr>
          <w:cantSplit/>
        </w:trPr>
        <w:tc>
          <w:tcPr>
            <w:tcW w:type="dxa" w:w="648"/>
            <w:vAlign w:val="center"/>
          </w:tcPr>
          <w:p>
            <w:r/>
            <w:r>
              <w:rPr>
                <w:b w:val="0"/>
                <w:sz w:val="14"/>
              </w:rPr>
              <w:t>2</w:t>
            </w:r>
          </w:p>
        </w:tc>
        <w:tc>
          <w:tcPr>
            <w:tcW w:type="dxa" w:w="792"/>
            <w:vAlign w:val="center"/>
          </w:tcPr>
          <w:p>
            <w:r/>
            <w:r>
              <w:rPr>
                <w:b w:val="0"/>
                <w:sz w:val="14"/>
              </w:rPr>
              <w:t>T14</w:t>
            </w:r>
          </w:p>
        </w:tc>
        <w:tc>
          <w:tcPr>
            <w:tcW w:type="dxa" w:w="936"/>
            <w:vAlign w:val="center"/>
          </w:tcPr>
          <w:p>
            <w:r/>
            <w:r>
              <w:rPr>
                <w:b w:val="0"/>
                <w:sz w:val="14"/>
              </w:rPr>
              <w:t>63.0</w:t>
            </w:r>
          </w:p>
        </w:tc>
        <w:tc>
          <w:tcPr>
            <w:tcW w:type="dxa" w:w="792"/>
            <w:vAlign w:val="center"/>
          </w:tcPr>
          <w:p>
            <w:r/>
            <w:r>
              <w:rPr>
                <w:b w:val="0"/>
                <w:sz w:val="14"/>
              </w:rPr>
              <w:t>2</w:t>
            </w:r>
          </w:p>
        </w:tc>
        <w:tc>
          <w:tcPr>
            <w:tcW w:type="dxa" w:w="2880"/>
            <w:vAlign w:val="center"/>
          </w:tcPr>
          <w:p>
            <w:r/>
            <w:r>
              <w:rPr>
                <w:b w:val="0"/>
                <w:sz w:val="14"/>
              </w:rPr>
              <w:t>Best fit areas: depot scoring and CL scoring.</w:t>
            </w:r>
          </w:p>
        </w:tc>
        <w:tc>
          <w:tcPr>
            <w:tcW w:type="dxa" w:w="2376"/>
            <w:vAlign w:val="center"/>
          </w:tcPr>
          <w:p>
            <w:r/>
            <w:r>
              <w:rPr>
                <w:b w:val="0"/>
                <w:sz w:val="14"/>
              </w:rPr>
              <w:t>2.9/5 driver consistency</w:t>
            </w:r>
          </w:p>
        </w:tc>
        <w:tc>
          <w:tcPr>
            <w:tcW w:type="dxa" w:w="792"/>
            <w:vAlign w:val="center"/>
          </w:tcPr>
          <w:p>
            <w:r/>
            <w:r>
              <w:rPr>
                <w:b w:val="0"/>
                <w:sz w:val="14"/>
              </w:rPr>
              <w:t>Medium</w:t>
            </w:r>
          </w:p>
        </w:tc>
      </w:tr>
      <w:tr>
        <w:trPr>
          <w:cantSplit/>
        </w:trPr>
        <w:tc>
          <w:tcPr>
            <w:tcW w:type="dxa" w:w="648"/>
            <w:vAlign w:val="center"/>
          </w:tcPr>
          <w:p>
            <w:r/>
            <w:r>
              <w:rPr>
                <w:b w:val="0"/>
                <w:sz w:val="14"/>
              </w:rPr>
              <w:t>3</w:t>
            </w:r>
          </w:p>
        </w:tc>
        <w:tc>
          <w:tcPr>
            <w:tcW w:type="dxa" w:w="792"/>
            <w:vAlign w:val="center"/>
          </w:tcPr>
          <w:p>
            <w:r/>
            <w:r>
              <w:rPr>
                <w:b w:val="0"/>
                <w:sz w:val="14"/>
              </w:rPr>
              <w:t>T17</w:t>
            </w:r>
          </w:p>
        </w:tc>
        <w:tc>
          <w:tcPr>
            <w:tcW w:type="dxa" w:w="936"/>
            <w:vAlign w:val="center"/>
          </w:tcPr>
          <w:p>
            <w:r/>
            <w:r>
              <w:rPr>
                <w:b w:val="0"/>
                <w:sz w:val="14"/>
              </w:rPr>
              <w:t>62.3</w:t>
            </w:r>
          </w:p>
        </w:tc>
        <w:tc>
          <w:tcPr>
            <w:tcW w:type="dxa" w:w="792"/>
            <w:vAlign w:val="center"/>
          </w:tcPr>
          <w:p>
            <w:r/>
            <w:r>
              <w:rPr>
                <w:b w:val="0"/>
                <w:sz w:val="14"/>
              </w:rPr>
              <w:t>4</w:t>
            </w:r>
          </w:p>
        </w:tc>
        <w:tc>
          <w:tcPr>
            <w:tcW w:type="dxa" w:w="2880"/>
            <w:vAlign w:val="center"/>
          </w:tcPr>
          <w:p>
            <w:r/>
            <w:r>
              <w:rPr>
                <w:b w:val="0"/>
                <w:sz w:val="14"/>
              </w:rPr>
              <w:t>Best fit areas: depot scoring and motif completion.</w:t>
            </w:r>
          </w:p>
        </w:tc>
        <w:tc>
          <w:tcPr>
            <w:tcW w:type="dxa" w:w="2376"/>
            <w:vAlign w:val="center"/>
          </w:tcPr>
          <w:p>
            <w:r/>
            <w:r>
              <w:rPr>
                <w:b w:val="0"/>
                <w:sz w:val="14"/>
              </w:rPr>
              <w:t>6.0 avg penalty points</w:t>
            </w:r>
          </w:p>
        </w:tc>
        <w:tc>
          <w:tcPr>
            <w:tcW w:type="dxa" w:w="792"/>
            <w:vAlign w:val="center"/>
          </w:tcPr>
          <w:p>
            <w:r/>
            <w:r>
              <w:rPr>
                <w:b w:val="0"/>
                <w:sz w:val="14"/>
              </w:rPr>
              <w:t>Medium</w:t>
            </w:r>
          </w:p>
        </w:tc>
      </w:tr>
      <w:tr>
        <w:trPr>
          <w:cantSplit/>
        </w:trPr>
        <w:tc>
          <w:tcPr>
            <w:tcW w:type="dxa" w:w="648"/>
            <w:vAlign w:val="center"/>
          </w:tcPr>
          <w:p>
            <w:r/>
            <w:r>
              <w:rPr>
                <w:b w:val="0"/>
                <w:sz w:val="14"/>
              </w:rPr>
              <w:t>4</w:t>
            </w:r>
          </w:p>
        </w:tc>
        <w:tc>
          <w:tcPr>
            <w:tcW w:type="dxa" w:w="792"/>
            <w:vAlign w:val="center"/>
          </w:tcPr>
          <w:p>
            <w:r/>
            <w:r>
              <w:rPr>
                <w:b w:val="0"/>
                <w:sz w:val="14"/>
              </w:rPr>
              <w:t>T02</w:t>
            </w:r>
          </w:p>
        </w:tc>
        <w:tc>
          <w:tcPr>
            <w:tcW w:type="dxa" w:w="936"/>
            <w:vAlign w:val="center"/>
          </w:tcPr>
          <w:p>
            <w:r/>
            <w:r>
              <w:rPr>
                <w:b w:val="0"/>
                <w:sz w:val="14"/>
              </w:rPr>
              <w:t>59.0</w:t>
            </w:r>
          </w:p>
        </w:tc>
        <w:tc>
          <w:tcPr>
            <w:tcW w:type="dxa" w:w="792"/>
            <w:vAlign w:val="center"/>
          </w:tcPr>
          <w:p>
            <w:r/>
            <w:r>
              <w:rPr>
                <w:b w:val="0"/>
                <w:sz w:val="14"/>
              </w:rPr>
              <w:t>7</w:t>
            </w:r>
          </w:p>
        </w:tc>
        <w:tc>
          <w:tcPr>
            <w:tcW w:type="dxa" w:w="2880"/>
            <w:vAlign w:val="center"/>
          </w:tcPr>
          <w:p>
            <w:r/>
            <w:r>
              <w:rPr>
                <w:b w:val="0"/>
                <w:sz w:val="14"/>
              </w:rPr>
              <w:t>Best fit areas: reliability and defense.</w:t>
            </w:r>
          </w:p>
        </w:tc>
        <w:tc>
          <w:tcPr>
            <w:tcW w:type="dxa" w:w="2376"/>
            <w:vAlign w:val="center"/>
          </w:tcPr>
          <w:p>
            <w:r/>
            <w:r>
              <w:rPr>
                <w:b w:val="0"/>
                <w:sz w:val="14"/>
              </w:rPr>
              <w:t>no major measured risk</w:t>
            </w:r>
          </w:p>
        </w:tc>
        <w:tc>
          <w:tcPr>
            <w:tcW w:type="dxa" w:w="792"/>
            <w:vAlign w:val="center"/>
          </w:tcPr>
          <w:p>
            <w:r/>
            <w:r>
              <w:rPr>
                <w:b w:val="0"/>
                <w:sz w:val="14"/>
              </w:rPr>
              <w:t>Medium</w:t>
            </w:r>
          </w:p>
        </w:tc>
      </w:tr>
      <w:tr>
        <w:trPr>
          <w:cantSplit/>
        </w:trPr>
        <w:tc>
          <w:tcPr>
            <w:tcW w:type="dxa" w:w="648"/>
            <w:vAlign w:val="center"/>
          </w:tcPr>
          <w:p>
            <w:r/>
            <w:r>
              <w:rPr>
                <w:b w:val="0"/>
                <w:sz w:val="14"/>
              </w:rPr>
              <w:t>5</w:t>
            </w:r>
          </w:p>
        </w:tc>
        <w:tc>
          <w:tcPr>
            <w:tcW w:type="dxa" w:w="792"/>
            <w:vAlign w:val="center"/>
          </w:tcPr>
          <w:p>
            <w:r/>
            <w:r>
              <w:rPr>
                <w:b w:val="0"/>
                <w:sz w:val="14"/>
              </w:rPr>
              <w:t>T06</w:t>
            </w:r>
          </w:p>
        </w:tc>
        <w:tc>
          <w:tcPr>
            <w:tcW w:type="dxa" w:w="936"/>
            <w:vAlign w:val="center"/>
          </w:tcPr>
          <w:p>
            <w:r/>
            <w:r>
              <w:rPr>
                <w:b w:val="0"/>
                <w:sz w:val="14"/>
              </w:rPr>
              <w:t>57.8</w:t>
            </w:r>
          </w:p>
        </w:tc>
        <w:tc>
          <w:tcPr>
            <w:tcW w:type="dxa" w:w="792"/>
            <w:vAlign w:val="center"/>
          </w:tcPr>
          <w:p>
            <w:r/>
            <w:r>
              <w:rPr>
                <w:b w:val="0"/>
                <w:sz w:val="14"/>
              </w:rPr>
              <w:t>9</w:t>
            </w:r>
          </w:p>
        </w:tc>
        <w:tc>
          <w:tcPr>
            <w:tcW w:type="dxa" w:w="2880"/>
            <w:vAlign w:val="center"/>
          </w:tcPr>
          <w:p>
            <w:r/>
            <w:r>
              <w:rPr>
                <w:b w:val="0"/>
                <w:sz w:val="14"/>
              </w:rPr>
              <w:t>Best fit areas: depot scoring and motif completion.</w:t>
            </w:r>
          </w:p>
        </w:tc>
        <w:tc>
          <w:tcPr>
            <w:tcW w:type="dxa" w:w="2376"/>
            <w:vAlign w:val="center"/>
          </w:tcPr>
          <w:p>
            <w:r/>
            <w:r>
              <w:rPr>
                <w:b w:val="0"/>
                <w:sz w:val="14"/>
              </w:rPr>
              <w:t>no major measured risk</w:t>
            </w:r>
          </w:p>
        </w:tc>
        <w:tc>
          <w:tcPr>
            <w:tcW w:type="dxa" w:w="792"/>
            <w:vAlign w:val="center"/>
          </w:tcPr>
          <w:p>
            <w:r/>
            <w:r>
              <w:rPr>
                <w:b w:val="0"/>
                <w:sz w:val="14"/>
              </w:rPr>
              <w:t>Medium</w:t>
            </w:r>
          </w:p>
        </w:tc>
      </w:tr>
      <w:tr>
        <w:trPr>
          <w:cantSplit/>
        </w:trPr>
        <w:tc>
          <w:tcPr>
            <w:tcW w:type="dxa" w:w="648"/>
            <w:vAlign w:val="center"/>
          </w:tcPr>
          <w:p>
            <w:r/>
            <w:r>
              <w:rPr>
                <w:b w:val="0"/>
                <w:sz w:val="14"/>
              </w:rPr>
              <w:t>6</w:t>
            </w:r>
          </w:p>
        </w:tc>
        <w:tc>
          <w:tcPr>
            <w:tcW w:type="dxa" w:w="792"/>
            <w:vAlign w:val="center"/>
          </w:tcPr>
          <w:p>
            <w:r/>
            <w:r>
              <w:rPr>
                <w:b w:val="0"/>
                <w:sz w:val="14"/>
              </w:rPr>
              <w:t>T05</w:t>
            </w:r>
          </w:p>
        </w:tc>
        <w:tc>
          <w:tcPr>
            <w:tcW w:type="dxa" w:w="936"/>
            <w:vAlign w:val="center"/>
          </w:tcPr>
          <w:p>
            <w:r/>
            <w:r>
              <w:rPr>
                <w:b w:val="0"/>
                <w:sz w:val="14"/>
              </w:rPr>
              <w:t>57.7</w:t>
            </w:r>
          </w:p>
        </w:tc>
        <w:tc>
          <w:tcPr>
            <w:tcW w:type="dxa" w:w="792"/>
            <w:vAlign w:val="center"/>
          </w:tcPr>
          <w:p>
            <w:r/>
            <w:r>
              <w:rPr>
                <w:b w:val="0"/>
                <w:sz w:val="14"/>
              </w:rPr>
              <w:t>3</w:t>
            </w:r>
          </w:p>
        </w:tc>
        <w:tc>
          <w:tcPr>
            <w:tcW w:type="dxa" w:w="2880"/>
            <w:vAlign w:val="center"/>
          </w:tcPr>
          <w:p>
            <w:r/>
            <w:r>
              <w:rPr>
                <w:b w:val="0"/>
                <w:sz w:val="14"/>
              </w:rPr>
              <w:t>Best fit areas: CL scoring and reliability.</w:t>
            </w:r>
          </w:p>
        </w:tc>
        <w:tc>
          <w:tcPr>
            <w:tcW w:type="dxa" w:w="2376"/>
            <w:vAlign w:val="center"/>
          </w:tcPr>
          <w:p>
            <w:r/>
            <w:r>
              <w:rPr>
                <w:b w:val="0"/>
                <w:sz w:val="14"/>
              </w:rPr>
              <w:t>6.5 avg penalty points; 2.2/5 driver consistency; data-quality uncertainty</w:t>
            </w:r>
          </w:p>
        </w:tc>
        <w:tc>
          <w:tcPr>
            <w:tcW w:type="dxa" w:w="792"/>
            <w:vAlign w:val="center"/>
          </w:tcPr>
          <w:p>
            <w:r/>
            <w:r>
              <w:rPr>
                <w:b w:val="0"/>
                <w:sz w:val="14"/>
              </w:rPr>
              <w:t>Medium</w:t>
            </w:r>
          </w:p>
        </w:tc>
      </w:tr>
      <w:tr>
        <w:trPr>
          <w:cantSplit/>
        </w:trPr>
        <w:tc>
          <w:tcPr>
            <w:tcW w:type="dxa" w:w="648"/>
            <w:vAlign w:val="center"/>
          </w:tcPr>
          <w:p>
            <w:r/>
            <w:r>
              <w:rPr>
                <w:b w:val="0"/>
                <w:sz w:val="14"/>
              </w:rPr>
              <w:t>7</w:t>
            </w:r>
          </w:p>
        </w:tc>
        <w:tc>
          <w:tcPr>
            <w:tcW w:type="dxa" w:w="792"/>
            <w:vAlign w:val="center"/>
          </w:tcPr>
          <w:p>
            <w:r/>
            <w:r>
              <w:rPr>
                <w:b w:val="0"/>
                <w:sz w:val="14"/>
              </w:rPr>
              <w:t>T15</w:t>
            </w:r>
          </w:p>
        </w:tc>
        <w:tc>
          <w:tcPr>
            <w:tcW w:type="dxa" w:w="936"/>
            <w:vAlign w:val="center"/>
          </w:tcPr>
          <w:p>
            <w:r/>
            <w:r>
              <w:rPr>
                <w:b w:val="0"/>
                <w:sz w:val="14"/>
              </w:rPr>
              <w:t>55.2</w:t>
            </w:r>
          </w:p>
        </w:tc>
        <w:tc>
          <w:tcPr>
            <w:tcW w:type="dxa" w:w="792"/>
            <w:vAlign w:val="center"/>
          </w:tcPr>
          <w:p>
            <w:r/>
            <w:r>
              <w:rPr>
                <w:b w:val="0"/>
                <w:sz w:val="14"/>
              </w:rPr>
              <w:t>8</w:t>
            </w:r>
          </w:p>
        </w:tc>
        <w:tc>
          <w:tcPr>
            <w:tcW w:type="dxa" w:w="2880"/>
            <w:vAlign w:val="center"/>
          </w:tcPr>
          <w:p>
            <w:r/>
            <w:r>
              <w:rPr>
                <w:b w:val="0"/>
                <w:sz w:val="14"/>
              </w:rPr>
              <w:t>Best fit areas: depot scoring and reliability.</w:t>
            </w:r>
          </w:p>
        </w:tc>
        <w:tc>
          <w:tcPr>
            <w:tcW w:type="dxa" w:w="2376"/>
            <w:vAlign w:val="center"/>
          </w:tcPr>
          <w:p>
            <w:r/>
            <w:r>
              <w:rPr>
                <w:b w:val="0"/>
                <w:sz w:val="14"/>
              </w:rPr>
              <w:t>6.2 avg penalty points; 2.9/5 driver consistency</w:t>
            </w:r>
          </w:p>
        </w:tc>
        <w:tc>
          <w:tcPr>
            <w:tcW w:type="dxa" w:w="792"/>
            <w:vAlign w:val="center"/>
          </w:tcPr>
          <w:p>
            <w:r/>
            <w:r>
              <w:rPr>
                <w:b w:val="0"/>
                <w:sz w:val="14"/>
              </w:rPr>
              <w:t>High</w:t>
            </w:r>
          </w:p>
        </w:tc>
      </w:tr>
      <w:tr>
        <w:trPr>
          <w:cantSplit/>
        </w:trPr>
        <w:tc>
          <w:tcPr>
            <w:tcW w:type="dxa" w:w="648"/>
            <w:vAlign w:val="center"/>
          </w:tcPr>
          <w:p>
            <w:r/>
            <w:r>
              <w:rPr>
                <w:b w:val="0"/>
                <w:sz w:val="14"/>
              </w:rPr>
              <w:t>8</w:t>
            </w:r>
          </w:p>
        </w:tc>
        <w:tc>
          <w:tcPr>
            <w:tcW w:type="dxa" w:w="792"/>
            <w:vAlign w:val="center"/>
          </w:tcPr>
          <w:p>
            <w:r/>
            <w:r>
              <w:rPr>
                <w:b w:val="0"/>
                <w:sz w:val="14"/>
              </w:rPr>
              <w:t>T07</w:t>
            </w:r>
          </w:p>
        </w:tc>
        <w:tc>
          <w:tcPr>
            <w:tcW w:type="dxa" w:w="936"/>
            <w:vAlign w:val="center"/>
          </w:tcPr>
          <w:p>
            <w:r/>
            <w:r>
              <w:rPr>
                <w:b w:val="0"/>
                <w:sz w:val="14"/>
              </w:rPr>
              <w:t>54.3</w:t>
            </w:r>
          </w:p>
        </w:tc>
        <w:tc>
          <w:tcPr>
            <w:tcW w:type="dxa" w:w="792"/>
            <w:vAlign w:val="center"/>
          </w:tcPr>
          <w:p>
            <w:r/>
            <w:r>
              <w:rPr>
                <w:b w:val="0"/>
                <w:sz w:val="14"/>
              </w:rPr>
              <w:t>5</w:t>
            </w:r>
          </w:p>
        </w:tc>
        <w:tc>
          <w:tcPr>
            <w:tcW w:type="dxa" w:w="2880"/>
            <w:vAlign w:val="center"/>
          </w:tcPr>
          <w:p>
            <w:r/>
            <w:r>
              <w:rPr>
                <w:b w:val="0"/>
                <w:sz w:val="14"/>
              </w:rPr>
              <w:t>Best fit areas: depot scoring and motif completion.</w:t>
            </w:r>
          </w:p>
        </w:tc>
        <w:tc>
          <w:tcPr>
            <w:tcW w:type="dxa" w:w="2376"/>
            <w:vAlign w:val="center"/>
          </w:tcPr>
          <w:p>
            <w:r/>
            <w:r>
              <w:rPr>
                <w:b w:val="0"/>
                <w:sz w:val="14"/>
              </w:rPr>
              <w:t>50% breakdown rate</w:t>
            </w:r>
          </w:p>
        </w:tc>
        <w:tc>
          <w:tcPr>
            <w:tcW w:type="dxa" w:w="792"/>
            <w:vAlign w:val="center"/>
          </w:tcPr>
          <w:p>
            <w:r/>
            <w:r>
              <w:rPr>
                <w:b w:val="0"/>
                <w:sz w:val="14"/>
              </w:rPr>
              <w:t>Medium</w:t>
            </w:r>
          </w:p>
        </w:tc>
      </w:tr>
      <w:tr>
        <w:trPr>
          <w:cantSplit/>
        </w:trPr>
        <w:tc>
          <w:tcPr>
            <w:tcW w:type="dxa" w:w="648"/>
            <w:vAlign w:val="center"/>
          </w:tcPr>
          <w:p>
            <w:r/>
            <w:r>
              <w:rPr>
                <w:b w:val="0"/>
                <w:sz w:val="14"/>
              </w:rPr>
              <w:t>9</w:t>
            </w:r>
          </w:p>
        </w:tc>
        <w:tc>
          <w:tcPr>
            <w:tcW w:type="dxa" w:w="792"/>
            <w:vAlign w:val="center"/>
          </w:tcPr>
          <w:p>
            <w:r/>
            <w:r>
              <w:rPr>
                <w:b w:val="0"/>
                <w:sz w:val="14"/>
              </w:rPr>
              <w:t>T12</w:t>
            </w:r>
          </w:p>
        </w:tc>
        <w:tc>
          <w:tcPr>
            <w:tcW w:type="dxa" w:w="936"/>
            <w:vAlign w:val="center"/>
          </w:tcPr>
          <w:p>
            <w:r/>
            <w:r>
              <w:rPr>
                <w:b w:val="0"/>
                <w:sz w:val="14"/>
              </w:rPr>
              <w:t>49.4</w:t>
            </w:r>
          </w:p>
        </w:tc>
        <w:tc>
          <w:tcPr>
            <w:tcW w:type="dxa" w:w="792"/>
            <w:vAlign w:val="center"/>
          </w:tcPr>
          <w:p>
            <w:r/>
            <w:r>
              <w:rPr>
                <w:b w:val="0"/>
                <w:sz w:val="14"/>
              </w:rPr>
              <w:t>11</w:t>
            </w:r>
          </w:p>
        </w:tc>
        <w:tc>
          <w:tcPr>
            <w:tcW w:type="dxa" w:w="2880"/>
            <w:vAlign w:val="center"/>
          </w:tcPr>
          <w:p>
            <w:r/>
            <w:r>
              <w:rPr>
                <w:b w:val="0"/>
                <w:sz w:val="14"/>
              </w:rPr>
              <w:t>Best fit areas: CL scoring and reliability.</w:t>
            </w:r>
          </w:p>
        </w:tc>
        <w:tc>
          <w:tcPr>
            <w:tcW w:type="dxa" w:w="2376"/>
            <w:vAlign w:val="center"/>
          </w:tcPr>
          <w:p>
            <w:r/>
            <w:r>
              <w:rPr>
                <w:b w:val="0"/>
                <w:sz w:val="14"/>
              </w:rPr>
              <w:t>data-quality uncertainty</w:t>
            </w:r>
          </w:p>
        </w:tc>
        <w:tc>
          <w:tcPr>
            <w:tcW w:type="dxa" w:w="792"/>
            <w:vAlign w:val="center"/>
          </w:tcPr>
          <w:p>
            <w:r/>
            <w:r>
              <w:rPr>
                <w:b w:val="0"/>
                <w:sz w:val="14"/>
              </w:rPr>
              <w:t>Low</w:t>
            </w:r>
          </w:p>
        </w:tc>
      </w:tr>
      <w:tr>
        <w:trPr>
          <w:cantSplit/>
        </w:trPr>
        <w:tc>
          <w:tcPr>
            <w:tcW w:type="dxa" w:w="648"/>
            <w:vAlign w:val="center"/>
          </w:tcPr>
          <w:p>
            <w:r/>
            <w:r>
              <w:rPr>
                <w:b w:val="0"/>
                <w:sz w:val="14"/>
              </w:rPr>
              <w:t>10</w:t>
            </w:r>
          </w:p>
        </w:tc>
        <w:tc>
          <w:tcPr>
            <w:tcW w:type="dxa" w:w="792"/>
            <w:vAlign w:val="center"/>
          </w:tcPr>
          <w:p>
            <w:r/>
            <w:r>
              <w:rPr>
                <w:b w:val="0"/>
                <w:sz w:val="14"/>
              </w:rPr>
              <w:t>T09</w:t>
            </w:r>
          </w:p>
        </w:tc>
        <w:tc>
          <w:tcPr>
            <w:tcW w:type="dxa" w:w="936"/>
            <w:vAlign w:val="center"/>
          </w:tcPr>
          <w:p>
            <w:r/>
            <w:r>
              <w:rPr>
                <w:b w:val="0"/>
                <w:sz w:val="14"/>
              </w:rPr>
              <w:t>49.4</w:t>
            </w:r>
          </w:p>
        </w:tc>
        <w:tc>
          <w:tcPr>
            <w:tcW w:type="dxa" w:w="792"/>
            <w:vAlign w:val="center"/>
          </w:tcPr>
          <w:p>
            <w:r/>
            <w:r>
              <w:rPr>
                <w:b w:val="0"/>
                <w:sz w:val="14"/>
              </w:rPr>
              <w:t>10</w:t>
            </w:r>
          </w:p>
        </w:tc>
        <w:tc>
          <w:tcPr>
            <w:tcW w:type="dxa" w:w="2880"/>
            <w:vAlign w:val="center"/>
          </w:tcPr>
          <w:p>
            <w:r/>
            <w:r>
              <w:rPr>
                <w:b w:val="0"/>
                <w:sz w:val="14"/>
              </w:rPr>
              <w:t>Best fit areas: defense and motif completion.</w:t>
            </w:r>
          </w:p>
        </w:tc>
        <w:tc>
          <w:tcPr>
            <w:tcW w:type="dxa" w:w="2376"/>
            <w:vAlign w:val="center"/>
          </w:tcPr>
          <w:p>
            <w:r/>
            <w:r>
              <w:rPr>
                <w:b w:val="0"/>
                <w:sz w:val="14"/>
              </w:rPr>
              <w:t>33% breakdown rate</w:t>
            </w:r>
          </w:p>
        </w:tc>
        <w:tc>
          <w:tcPr>
            <w:tcW w:type="dxa" w:w="792"/>
            <w:vAlign w:val="center"/>
          </w:tcPr>
          <w:p>
            <w:r/>
            <w:r>
              <w:rPr>
                <w:b w:val="0"/>
                <w:sz w:val="14"/>
              </w:rPr>
              <w:t>Medium</w:t>
            </w:r>
          </w:p>
        </w:tc>
      </w:tr>
      <w:tr>
        <w:trPr>
          <w:cantSplit/>
        </w:trPr>
        <w:tc>
          <w:tcPr>
            <w:tcW w:type="dxa" w:w="648"/>
            <w:vAlign w:val="center"/>
          </w:tcPr>
          <w:p>
            <w:r/>
            <w:r>
              <w:rPr>
                <w:b w:val="0"/>
                <w:sz w:val="14"/>
              </w:rPr>
              <w:t>11</w:t>
            </w:r>
          </w:p>
        </w:tc>
        <w:tc>
          <w:tcPr>
            <w:tcW w:type="dxa" w:w="792"/>
            <w:vAlign w:val="center"/>
          </w:tcPr>
          <w:p>
            <w:r/>
            <w:r>
              <w:rPr>
                <w:b w:val="0"/>
                <w:sz w:val="14"/>
              </w:rPr>
              <w:t>T10</w:t>
            </w:r>
          </w:p>
        </w:tc>
        <w:tc>
          <w:tcPr>
            <w:tcW w:type="dxa" w:w="936"/>
            <w:vAlign w:val="center"/>
          </w:tcPr>
          <w:p>
            <w:r/>
            <w:r>
              <w:rPr>
                <w:b w:val="0"/>
                <w:sz w:val="14"/>
              </w:rPr>
              <w:t>46.6</w:t>
            </w:r>
          </w:p>
        </w:tc>
        <w:tc>
          <w:tcPr>
            <w:tcW w:type="dxa" w:w="792"/>
            <w:vAlign w:val="center"/>
          </w:tcPr>
          <w:p>
            <w:r/>
            <w:r>
              <w:rPr>
                <w:b w:val="0"/>
                <w:sz w:val="14"/>
              </w:rPr>
              <w:t>12</w:t>
            </w:r>
          </w:p>
        </w:tc>
        <w:tc>
          <w:tcPr>
            <w:tcW w:type="dxa" w:w="2880"/>
            <w:vAlign w:val="center"/>
          </w:tcPr>
          <w:p>
            <w:r/>
            <w:r>
              <w:rPr>
                <w:b w:val="0"/>
                <w:sz w:val="14"/>
              </w:rPr>
              <w:t>Best fit areas: motif completion and defense.</w:t>
            </w:r>
          </w:p>
        </w:tc>
        <w:tc>
          <w:tcPr>
            <w:tcW w:type="dxa" w:w="2376"/>
            <w:vAlign w:val="center"/>
          </w:tcPr>
          <w:p>
            <w:r/>
            <w:r>
              <w:rPr>
                <w:b w:val="0"/>
                <w:sz w:val="14"/>
              </w:rPr>
              <w:t>6.5 avg penalty points; 2.9/5 driver consistency</w:t>
            </w:r>
          </w:p>
        </w:tc>
        <w:tc>
          <w:tcPr>
            <w:tcW w:type="dxa" w:w="792"/>
            <w:vAlign w:val="center"/>
          </w:tcPr>
          <w:p>
            <w:r/>
            <w:r>
              <w:rPr>
                <w:b w:val="0"/>
                <w:sz w:val="14"/>
              </w:rPr>
              <w:t>High</w:t>
            </w:r>
          </w:p>
        </w:tc>
      </w:tr>
      <w:tr>
        <w:trPr>
          <w:cantSplit/>
        </w:trPr>
        <w:tc>
          <w:tcPr>
            <w:tcW w:type="dxa" w:w="648"/>
            <w:vAlign w:val="center"/>
          </w:tcPr>
          <w:p>
            <w:r/>
            <w:r>
              <w:rPr>
                <w:b w:val="0"/>
                <w:sz w:val="14"/>
              </w:rPr>
              <w:t>12</w:t>
            </w:r>
          </w:p>
        </w:tc>
        <w:tc>
          <w:tcPr>
            <w:tcW w:type="dxa" w:w="792"/>
            <w:vAlign w:val="center"/>
          </w:tcPr>
          <w:p>
            <w:r/>
            <w:r>
              <w:rPr>
                <w:b w:val="0"/>
                <w:sz w:val="14"/>
              </w:rPr>
              <w:t>T01</w:t>
            </w:r>
          </w:p>
        </w:tc>
        <w:tc>
          <w:tcPr>
            <w:tcW w:type="dxa" w:w="936"/>
            <w:vAlign w:val="center"/>
          </w:tcPr>
          <w:p>
            <w:r/>
            <w:r>
              <w:rPr>
                <w:b w:val="0"/>
                <w:sz w:val="14"/>
              </w:rPr>
              <w:t>45.4</w:t>
            </w:r>
          </w:p>
        </w:tc>
        <w:tc>
          <w:tcPr>
            <w:tcW w:type="dxa" w:w="792"/>
            <w:vAlign w:val="center"/>
          </w:tcPr>
          <w:p>
            <w:r/>
            <w:r>
              <w:rPr>
                <w:b w:val="0"/>
                <w:sz w:val="14"/>
              </w:rPr>
              <w:t>13</w:t>
            </w:r>
          </w:p>
        </w:tc>
        <w:tc>
          <w:tcPr>
            <w:tcW w:type="dxa" w:w="2880"/>
            <w:vAlign w:val="center"/>
          </w:tcPr>
          <w:p>
            <w:r/>
            <w:r>
              <w:rPr>
                <w:b w:val="0"/>
                <w:sz w:val="14"/>
              </w:rPr>
              <w:t>Best fit areas: defense and CL scoring.</w:t>
            </w:r>
          </w:p>
        </w:tc>
        <w:tc>
          <w:tcPr>
            <w:tcW w:type="dxa" w:w="2376"/>
            <w:vAlign w:val="center"/>
          </w:tcPr>
          <w:p>
            <w:r/>
            <w:r>
              <w:rPr>
                <w:b w:val="0"/>
                <w:sz w:val="14"/>
              </w:rPr>
              <w:t>no major measured risk</w:t>
            </w:r>
          </w:p>
        </w:tc>
        <w:tc>
          <w:tcPr>
            <w:tcW w:type="dxa" w:w="792"/>
            <w:vAlign w:val="center"/>
          </w:tcPr>
          <w:p>
            <w:r/>
            <w:r>
              <w:rPr>
                <w:b w:val="0"/>
                <w:sz w:val="14"/>
              </w:rPr>
              <w:t>Medium</w:t>
            </w:r>
          </w:p>
        </w:tc>
      </w:tr>
      <w:tr>
        <w:trPr>
          <w:cantSplit/>
        </w:trPr>
        <w:tc>
          <w:tcPr>
            <w:tcW w:type="dxa" w:w="648"/>
            <w:vAlign w:val="center"/>
          </w:tcPr>
          <w:p>
            <w:r/>
            <w:r>
              <w:rPr>
                <w:b w:val="0"/>
                <w:sz w:val="14"/>
              </w:rPr>
              <w:t>13</w:t>
            </w:r>
          </w:p>
        </w:tc>
        <w:tc>
          <w:tcPr>
            <w:tcW w:type="dxa" w:w="792"/>
            <w:vAlign w:val="center"/>
          </w:tcPr>
          <w:p>
            <w:r/>
            <w:r>
              <w:rPr>
                <w:b w:val="0"/>
                <w:sz w:val="14"/>
              </w:rPr>
              <w:t>T03</w:t>
            </w:r>
          </w:p>
        </w:tc>
        <w:tc>
          <w:tcPr>
            <w:tcW w:type="dxa" w:w="936"/>
            <w:vAlign w:val="center"/>
          </w:tcPr>
          <w:p>
            <w:r/>
            <w:r>
              <w:rPr>
                <w:b w:val="0"/>
                <w:sz w:val="14"/>
              </w:rPr>
              <w:t>43.4</w:t>
            </w:r>
          </w:p>
        </w:tc>
        <w:tc>
          <w:tcPr>
            <w:tcW w:type="dxa" w:w="792"/>
            <w:vAlign w:val="center"/>
          </w:tcPr>
          <w:p>
            <w:r/>
            <w:r>
              <w:rPr>
                <w:b w:val="0"/>
                <w:sz w:val="14"/>
              </w:rPr>
              <w:t>15</w:t>
            </w:r>
          </w:p>
        </w:tc>
        <w:tc>
          <w:tcPr>
            <w:tcW w:type="dxa" w:w="2880"/>
            <w:vAlign w:val="center"/>
          </w:tcPr>
          <w:p>
            <w:r/>
            <w:r>
              <w:rPr>
                <w:b w:val="0"/>
                <w:sz w:val="14"/>
              </w:rPr>
              <w:t>Best fit areas: reliability and defense.</w:t>
            </w:r>
          </w:p>
        </w:tc>
        <w:tc>
          <w:tcPr>
            <w:tcW w:type="dxa" w:w="2376"/>
            <w:vAlign w:val="center"/>
          </w:tcPr>
          <w:p>
            <w:r/>
            <w:r>
              <w:rPr>
                <w:b w:val="0"/>
                <w:sz w:val="14"/>
              </w:rPr>
              <w:t>no major measured risk</w:t>
            </w:r>
          </w:p>
        </w:tc>
        <w:tc>
          <w:tcPr>
            <w:tcW w:type="dxa" w:w="792"/>
            <w:vAlign w:val="center"/>
          </w:tcPr>
          <w:p>
            <w:r/>
            <w:r>
              <w:rPr>
                <w:b w:val="0"/>
                <w:sz w:val="14"/>
              </w:rPr>
              <w:t>Low</w:t>
            </w:r>
          </w:p>
        </w:tc>
      </w:tr>
      <w:tr>
        <w:trPr>
          <w:cantSplit/>
        </w:trPr>
        <w:tc>
          <w:tcPr>
            <w:tcW w:type="dxa" w:w="648"/>
            <w:vAlign w:val="center"/>
          </w:tcPr>
          <w:p>
            <w:r/>
            <w:r>
              <w:rPr>
                <w:b w:val="0"/>
                <w:sz w:val="14"/>
              </w:rPr>
              <w:t>14</w:t>
            </w:r>
          </w:p>
        </w:tc>
        <w:tc>
          <w:tcPr>
            <w:tcW w:type="dxa" w:w="792"/>
            <w:vAlign w:val="center"/>
          </w:tcPr>
          <w:p>
            <w:r/>
            <w:r>
              <w:rPr>
                <w:b w:val="0"/>
                <w:sz w:val="14"/>
              </w:rPr>
              <w:t>T16</w:t>
            </w:r>
          </w:p>
        </w:tc>
        <w:tc>
          <w:tcPr>
            <w:tcW w:type="dxa" w:w="936"/>
            <w:vAlign w:val="center"/>
          </w:tcPr>
          <w:p>
            <w:r/>
            <w:r>
              <w:rPr>
                <w:b w:val="0"/>
                <w:sz w:val="14"/>
              </w:rPr>
              <w:t>41.8</w:t>
            </w:r>
          </w:p>
        </w:tc>
        <w:tc>
          <w:tcPr>
            <w:tcW w:type="dxa" w:w="792"/>
            <w:vAlign w:val="center"/>
          </w:tcPr>
          <w:p>
            <w:r/>
            <w:r>
              <w:rPr>
                <w:b w:val="0"/>
                <w:sz w:val="14"/>
              </w:rPr>
              <w:t>16</w:t>
            </w:r>
          </w:p>
        </w:tc>
        <w:tc>
          <w:tcPr>
            <w:tcW w:type="dxa" w:w="2880"/>
            <w:vAlign w:val="center"/>
          </w:tcPr>
          <w:p>
            <w:r/>
            <w:r>
              <w:rPr>
                <w:b w:val="0"/>
                <w:sz w:val="14"/>
              </w:rPr>
              <w:t>Best fit areas: motif completion and depot scoring.</w:t>
            </w:r>
          </w:p>
        </w:tc>
        <w:tc>
          <w:tcPr>
            <w:tcW w:type="dxa" w:w="2376"/>
            <w:vAlign w:val="center"/>
          </w:tcPr>
          <w:p>
            <w:r/>
            <w:r>
              <w:rPr>
                <w:b w:val="0"/>
                <w:sz w:val="14"/>
              </w:rPr>
              <w:t>7.0 avg penalty points</w:t>
            </w:r>
          </w:p>
        </w:tc>
        <w:tc>
          <w:tcPr>
            <w:tcW w:type="dxa" w:w="792"/>
            <w:vAlign w:val="center"/>
          </w:tcPr>
          <w:p>
            <w:r/>
            <w:r>
              <w:rPr>
                <w:b w:val="0"/>
                <w:sz w:val="14"/>
              </w:rPr>
              <w:t>Medium</w:t>
            </w:r>
          </w:p>
        </w:tc>
      </w:tr>
      <w:tr>
        <w:trPr>
          <w:cantSplit/>
        </w:trPr>
        <w:tc>
          <w:tcPr>
            <w:tcW w:type="dxa" w:w="648"/>
            <w:vAlign w:val="center"/>
          </w:tcPr>
          <w:p>
            <w:r/>
            <w:r>
              <w:rPr>
                <w:b w:val="0"/>
                <w:sz w:val="14"/>
              </w:rPr>
              <w:t>15</w:t>
            </w:r>
          </w:p>
        </w:tc>
        <w:tc>
          <w:tcPr>
            <w:tcW w:type="dxa" w:w="792"/>
            <w:vAlign w:val="center"/>
          </w:tcPr>
          <w:p>
            <w:r/>
            <w:r>
              <w:rPr>
                <w:b w:val="0"/>
                <w:sz w:val="14"/>
              </w:rPr>
              <w:t>T13</w:t>
            </w:r>
          </w:p>
        </w:tc>
        <w:tc>
          <w:tcPr>
            <w:tcW w:type="dxa" w:w="936"/>
            <w:vAlign w:val="center"/>
          </w:tcPr>
          <w:p>
            <w:r/>
            <w:r>
              <w:rPr>
                <w:b w:val="0"/>
                <w:sz w:val="14"/>
              </w:rPr>
              <w:t>35.1</w:t>
            </w:r>
          </w:p>
        </w:tc>
        <w:tc>
          <w:tcPr>
            <w:tcW w:type="dxa" w:w="792"/>
            <w:vAlign w:val="center"/>
          </w:tcPr>
          <w:p>
            <w:r/>
            <w:r>
              <w:rPr>
                <w:b w:val="0"/>
                <w:sz w:val="14"/>
              </w:rPr>
              <w:t>14</w:t>
            </w:r>
          </w:p>
        </w:tc>
        <w:tc>
          <w:tcPr>
            <w:tcW w:type="dxa" w:w="2880"/>
            <w:vAlign w:val="center"/>
          </w:tcPr>
          <w:p>
            <w:r/>
            <w:r>
              <w:rPr>
                <w:b w:val="0"/>
                <w:sz w:val="14"/>
              </w:rPr>
              <w:t>Best fit areas: defense and reliability.</w:t>
            </w:r>
          </w:p>
        </w:tc>
        <w:tc>
          <w:tcPr>
            <w:tcW w:type="dxa" w:w="2376"/>
            <w:vAlign w:val="center"/>
          </w:tcPr>
          <w:p>
            <w:r/>
            <w:r>
              <w:rPr>
                <w:b w:val="0"/>
                <w:sz w:val="14"/>
              </w:rPr>
              <w:t>no major measured risk</w:t>
            </w:r>
          </w:p>
        </w:tc>
        <w:tc>
          <w:tcPr>
            <w:tcW w:type="dxa" w:w="792"/>
            <w:vAlign w:val="center"/>
          </w:tcPr>
          <w:p>
            <w:r/>
            <w:r>
              <w:rPr>
                <w:b w:val="0"/>
                <w:sz w:val="14"/>
              </w:rPr>
              <w:t>High</w:t>
            </w:r>
          </w:p>
        </w:tc>
      </w:tr>
      <w:tr>
        <w:trPr>
          <w:cantSplit/>
        </w:trPr>
        <w:tc>
          <w:tcPr>
            <w:tcW w:type="dxa" w:w="648"/>
            <w:vAlign w:val="center"/>
          </w:tcPr>
          <w:p>
            <w:r/>
            <w:r>
              <w:rPr>
                <w:b w:val="0"/>
                <w:sz w:val="14"/>
              </w:rPr>
              <w:t>16</w:t>
            </w:r>
          </w:p>
        </w:tc>
        <w:tc>
          <w:tcPr>
            <w:tcW w:type="dxa" w:w="792"/>
            <w:vAlign w:val="center"/>
          </w:tcPr>
          <w:p>
            <w:r/>
            <w:r>
              <w:rPr>
                <w:b w:val="0"/>
                <w:sz w:val="14"/>
              </w:rPr>
              <w:t>T04</w:t>
            </w:r>
          </w:p>
        </w:tc>
        <w:tc>
          <w:tcPr>
            <w:tcW w:type="dxa" w:w="936"/>
            <w:vAlign w:val="center"/>
          </w:tcPr>
          <w:p>
            <w:r/>
            <w:r>
              <w:rPr>
                <w:b w:val="0"/>
                <w:sz w:val="14"/>
              </w:rPr>
              <w:t>30.5</w:t>
            </w:r>
          </w:p>
        </w:tc>
        <w:tc>
          <w:tcPr>
            <w:tcW w:type="dxa" w:w="792"/>
            <w:vAlign w:val="center"/>
          </w:tcPr>
          <w:p>
            <w:r/>
            <w:r>
              <w:rPr>
                <w:b w:val="0"/>
                <w:sz w:val="14"/>
              </w:rPr>
              <w:t>17</w:t>
            </w:r>
          </w:p>
        </w:tc>
        <w:tc>
          <w:tcPr>
            <w:tcW w:type="dxa" w:w="2880"/>
            <w:vAlign w:val="center"/>
          </w:tcPr>
          <w:p>
            <w:r/>
            <w:r>
              <w:rPr>
                <w:b w:val="0"/>
                <w:sz w:val="14"/>
              </w:rPr>
              <w:t>Best fit areas: depot scoring and motif completion.</w:t>
            </w:r>
          </w:p>
        </w:tc>
        <w:tc>
          <w:tcPr>
            <w:tcW w:type="dxa" w:w="2376"/>
            <w:vAlign w:val="center"/>
          </w:tcPr>
          <w:p>
            <w:r/>
            <w:r>
              <w:rPr>
                <w:b w:val="0"/>
                <w:sz w:val="14"/>
              </w:rPr>
              <w:t>33% breakdown rate; 8.5 avg penalty points; 2.8/5 driver consistency</w:t>
            </w:r>
          </w:p>
        </w:tc>
        <w:tc>
          <w:tcPr>
            <w:tcW w:type="dxa" w:w="792"/>
            <w:vAlign w:val="center"/>
          </w:tcPr>
          <w:p>
            <w:r/>
            <w:r>
              <w:rPr>
                <w:b w:val="0"/>
                <w:sz w:val="14"/>
              </w:rPr>
              <w:t>High</w:t>
            </w:r>
          </w:p>
        </w:tc>
      </w:tr>
      <w:tr>
        <w:trPr>
          <w:cantSplit/>
        </w:trPr>
        <w:tc>
          <w:tcPr>
            <w:tcW w:type="dxa" w:w="648"/>
            <w:vAlign w:val="center"/>
          </w:tcPr>
          <w:p>
            <w:r/>
            <w:r>
              <w:rPr>
                <w:b w:val="0"/>
                <w:sz w:val="14"/>
              </w:rPr>
              <w:t>17</w:t>
            </w:r>
          </w:p>
        </w:tc>
        <w:tc>
          <w:tcPr>
            <w:tcW w:type="dxa" w:w="792"/>
            <w:vAlign w:val="center"/>
          </w:tcPr>
          <w:p>
            <w:r/>
            <w:r>
              <w:rPr>
                <w:b w:val="0"/>
                <w:sz w:val="14"/>
              </w:rPr>
              <w:t>T11</w:t>
            </w:r>
          </w:p>
        </w:tc>
        <w:tc>
          <w:tcPr>
            <w:tcW w:type="dxa" w:w="936"/>
            <w:vAlign w:val="center"/>
          </w:tcPr>
          <w:p>
            <w:r/>
            <w:r>
              <w:rPr>
                <w:b w:val="0"/>
                <w:sz w:val="14"/>
              </w:rPr>
              <w:t>23.8</w:t>
            </w:r>
          </w:p>
        </w:tc>
        <w:tc>
          <w:tcPr>
            <w:tcW w:type="dxa" w:w="792"/>
            <w:vAlign w:val="center"/>
          </w:tcPr>
          <w:p>
            <w:r/>
            <w:r>
              <w:rPr>
                <w:b w:val="0"/>
                <w:sz w:val="14"/>
              </w:rPr>
              <w:t>18</w:t>
            </w:r>
          </w:p>
        </w:tc>
        <w:tc>
          <w:tcPr>
            <w:tcW w:type="dxa" w:w="2880"/>
            <w:vAlign w:val="center"/>
          </w:tcPr>
          <w:p>
            <w:r/>
            <w:r>
              <w:rPr>
                <w:b w:val="0"/>
                <w:sz w:val="14"/>
              </w:rPr>
              <w:t>Best fit areas: reliability and CL scoring.</w:t>
            </w:r>
          </w:p>
        </w:tc>
        <w:tc>
          <w:tcPr>
            <w:tcW w:type="dxa" w:w="2376"/>
            <w:vAlign w:val="center"/>
          </w:tcPr>
          <w:p>
            <w:r/>
            <w:r>
              <w:rPr>
                <w:b w:val="0"/>
                <w:sz w:val="14"/>
              </w:rPr>
              <w:t>50% breakdown rate</w:t>
            </w:r>
          </w:p>
        </w:tc>
        <w:tc>
          <w:tcPr>
            <w:tcW w:type="dxa" w:w="792"/>
            <w:vAlign w:val="center"/>
          </w:tcPr>
          <w:p>
            <w:r/>
            <w:r>
              <w:rPr>
                <w:b w:val="0"/>
                <w:sz w:val="14"/>
              </w:rPr>
              <w:t>High</w:t>
            </w:r>
          </w:p>
        </w:tc>
      </w:tr>
    </w:tbl>
    <w:p/>
    <w:p>
      <w:r>
        <w:t>T08 is both the #1 overall robot and the #1 partner for 3470. That is not automatic: the partner model is separate and specifically rewards filling 3470's weaker CL/depot/defense areas. T08's high defense and scoring volume create the strongest complement, while T14 is a safer fast/low-penalty alternative and T17 brings elite driver consistency.</w:t>
      </w:r>
    </w:p>
    <w:p>
      <w:pPr>
        <w:pStyle w:val="ListBullet"/>
      </w:pPr>
      <w:r>
        <w:t>Top tier: T08, T14, T17, T02.</w:t>
      </w:r>
    </w:p>
    <w:p>
      <w:pPr>
        <w:pStyle w:val="ListBullet"/>
      </w:pPr>
      <w:r>
        <w:t>Strong second tier: T06, T05, T15, T07. T05 and T07 have more obvious risk; T06 is slower but high-volume; T15 is stable but penalty-prone.</w:t>
      </w:r>
    </w:p>
    <w:p>
      <w:pPr>
        <w:pStyle w:val="ListBullet"/>
      </w:pPr>
      <w:r>
        <w:t>Avoid if better options remain: T13, T04, T11. T13 is useful defensively but low-volume; T04 combines low output, breakdowns, and penalties; T11 is last in overall strength and has a 50% breakdown rate.</w:t>
      </w:r>
    </w:p>
    <w:p>
      <w:pPr>
        <w:pStyle w:val="Heading1"/>
      </w:pPr>
      <w:r>
        <w:t>10. Match Strategy Examples</w:t>
      </w:r>
    </w:p>
    <w:p>
      <w:pPr>
        <w:pStyle w:val="Heading2"/>
      </w:pPr>
      <w:r>
        <w:t>Matchup 1: 3470 + T08 vs T07 + T06</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b/>
                <w:sz w:val="16"/>
              </w:rPr>
              <w:t>Item</w:t>
            </w:r>
          </w:p>
        </w:tc>
        <w:tc>
          <w:tcPr>
            <w:tcW w:type="dxa" w:w="8136"/>
            <w:vAlign w:val="center"/>
            <w:shd w:fill="D9EAF7"/>
          </w:tcPr>
          <w:p>
            <w:r/>
            <w:r>
              <w:rPr>
                <w:b/>
                <w:sz w:val="16"/>
              </w:rPr>
              <w:t>Drive-team brief</w:t>
            </w:r>
          </w:p>
        </w:tc>
      </w:tr>
      <w:tr>
        <w:trPr>
          <w:cantSplit/>
        </w:trPr>
        <w:tc>
          <w:tcPr>
            <w:tcW w:type="dxa" w:w="1872"/>
            <w:vAlign w:val="center"/>
          </w:tcPr>
          <w:p>
            <w:r/>
            <w:r>
              <w:rPr>
                <w:b w:val="0"/>
                <w:sz w:val="16"/>
              </w:rPr>
              <w:t>Primary win condition</w:t>
            </w:r>
          </w:p>
        </w:tc>
        <w:tc>
          <w:tcPr>
            <w:tcW w:type="dxa" w:w="8136"/>
            <w:vAlign w:val="center"/>
          </w:tcPr>
          <w:p>
            <w:r/>
            <w:r>
              <w:rPr>
                <w:b w:val="0"/>
                <w:sz w:val="16"/>
              </w:rPr>
              <w:t>Use 3470's speed/consistency plus T08's high-volume two-way play to match the opponents' scoring ceiling without giving away penalties.</w:t>
            </w:r>
          </w:p>
        </w:tc>
      </w:tr>
      <w:tr>
        <w:trPr>
          <w:cantSplit/>
        </w:trPr>
        <w:tc>
          <w:tcPr>
            <w:tcW w:type="dxa" w:w="1872"/>
            <w:vAlign w:val="center"/>
          </w:tcPr>
          <w:p>
            <w:r/>
            <w:r>
              <w:rPr>
                <w:b w:val="0"/>
                <w:sz w:val="16"/>
              </w:rPr>
              <w:t>Roles</w:t>
            </w:r>
          </w:p>
        </w:tc>
        <w:tc>
          <w:tcPr>
            <w:tcW w:type="dxa" w:w="8136"/>
            <w:vAlign w:val="center"/>
          </w:tcPr>
          <w:p>
            <w:r/>
            <w:r>
              <w:rPr>
                <w:b w:val="0"/>
                <w:sz w:val="16"/>
              </w:rPr>
              <w:t>3470: fast repeatable scorer and stable objective execution. T08: primary volume scorer and defensive pressure when safe.</w:t>
            </w:r>
          </w:p>
        </w:tc>
      </w:tr>
      <w:tr>
        <w:trPr>
          <w:cantSplit/>
        </w:trPr>
        <w:tc>
          <w:tcPr>
            <w:tcW w:type="dxa" w:w="1872"/>
            <w:vAlign w:val="center"/>
          </w:tcPr>
          <w:p>
            <w:r/>
            <w:r>
              <w:rPr>
                <w:b w:val="0"/>
                <w:sz w:val="16"/>
              </w:rPr>
              <w:t>Biggest threat</w:t>
            </w:r>
          </w:p>
        </w:tc>
        <w:tc>
          <w:tcPr>
            <w:tcW w:type="dxa" w:w="8136"/>
            <w:vAlign w:val="center"/>
          </w:tcPr>
          <w:p>
            <w:r/>
            <w:r>
              <w:rPr>
                <w:b w:val="0"/>
                <w:sz w:val="16"/>
              </w:rPr>
              <w:t>T07/T06 combine very high scoring volume; T07 also has a 17-action ceiling.</w:t>
            </w:r>
          </w:p>
        </w:tc>
      </w:tr>
      <w:tr>
        <w:trPr>
          <w:cantSplit/>
        </w:trPr>
        <w:tc>
          <w:tcPr>
            <w:tcW w:type="dxa" w:w="1872"/>
            <w:vAlign w:val="center"/>
          </w:tcPr>
          <w:p>
            <w:r/>
            <w:r>
              <w:rPr>
                <w:b w:val="0"/>
                <w:sz w:val="16"/>
              </w:rPr>
              <w:t>Priority</w:t>
            </w:r>
          </w:p>
        </w:tc>
        <w:tc>
          <w:tcPr>
            <w:tcW w:type="dxa" w:w="8136"/>
            <w:vAlign w:val="center"/>
          </w:tcPr>
          <w:p>
            <w:r/>
            <w:r>
              <w:rPr>
                <w:b w:val="0"/>
                <w:sz w:val="16"/>
              </w:rPr>
              <w:t>Build an early clean lead, avoid traffic, and force the opponent's higher-risk robots to beat a stable score.</w:t>
            </w:r>
          </w:p>
        </w:tc>
      </w:tr>
      <w:tr>
        <w:trPr>
          <w:cantSplit/>
        </w:trPr>
        <w:tc>
          <w:tcPr>
            <w:tcW w:type="dxa" w:w="1872"/>
            <w:vAlign w:val="center"/>
          </w:tcPr>
          <w:p>
            <w:r/>
            <w:r>
              <w:rPr>
                <w:b w:val="0"/>
                <w:sz w:val="16"/>
              </w:rPr>
              <w:t>Major risk</w:t>
            </w:r>
          </w:p>
        </w:tc>
        <w:tc>
          <w:tcPr>
            <w:tcW w:type="dxa" w:w="8136"/>
            <w:vAlign w:val="center"/>
          </w:tcPr>
          <w:p>
            <w:r/>
            <w:r>
              <w:rPr>
                <w:b w:val="0"/>
                <w:sz w:val="16"/>
              </w:rPr>
              <w:t>T08's driver consistency/penalties and 3470's late-cycle slowdown.</w:t>
            </w:r>
          </w:p>
        </w:tc>
      </w:tr>
      <w:tr>
        <w:trPr>
          <w:cantSplit/>
        </w:trPr>
        <w:tc>
          <w:tcPr>
            <w:tcW w:type="dxa" w:w="1872"/>
            <w:vAlign w:val="center"/>
          </w:tcPr>
          <w:p>
            <w:r/>
            <w:r>
              <w:rPr>
                <w:b w:val="0"/>
                <w:sz w:val="16"/>
              </w:rPr>
              <w:t>Backup plan</w:t>
            </w:r>
          </w:p>
        </w:tc>
        <w:tc>
          <w:tcPr>
            <w:tcW w:type="dxa" w:w="8136"/>
            <w:vAlign w:val="center"/>
          </w:tcPr>
          <w:p>
            <w:r/>
            <w:r>
              <w:rPr>
                <w:b w:val="0"/>
                <w:sz w:val="16"/>
              </w:rPr>
              <w:t>If T08 execution drops, keep 3470 on offense and reduce risky defense; shift to reliable scoring rather than chase ceiling plays.</w:t>
            </w:r>
          </w:p>
        </w:tc>
      </w:tr>
      <w:tr>
        <w:trPr>
          <w:cantSplit/>
        </w:trPr>
        <w:tc>
          <w:tcPr>
            <w:tcW w:type="dxa" w:w="1872"/>
            <w:vAlign w:val="center"/>
          </w:tcPr>
          <w:p>
            <w:r/>
            <w:r>
              <w:rPr>
                <w:b w:val="0"/>
                <w:sz w:val="16"/>
              </w:rPr>
              <w:t>Confidence</w:t>
            </w:r>
          </w:p>
        </w:tc>
        <w:tc>
          <w:tcPr>
            <w:tcW w:type="dxa" w:w="8136"/>
            <w:vAlign w:val="center"/>
          </w:tcPr>
          <w:p>
            <w:r/>
            <w:r>
              <w:rPr>
                <w:b w:val="0"/>
                <w:sz w:val="16"/>
              </w:rPr>
              <w:t>Medium</w:t>
            </w:r>
          </w:p>
        </w:tc>
      </w:tr>
    </w:tbl>
    <w:p/>
    <w:p>
      <w:pPr>
        <w:pStyle w:val="Heading2"/>
      </w:pPr>
      <w:r>
        <w:t>Matchup 2: 3470 + T14 vs T17 + T02</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b/>
                <w:sz w:val="16"/>
              </w:rPr>
              <w:t>Item</w:t>
            </w:r>
          </w:p>
        </w:tc>
        <w:tc>
          <w:tcPr>
            <w:tcW w:type="dxa" w:w="8136"/>
            <w:vAlign w:val="center"/>
            <w:shd w:fill="D9EAF7"/>
          </w:tcPr>
          <w:p>
            <w:r/>
            <w:r>
              <w:rPr>
                <w:b/>
                <w:sz w:val="16"/>
              </w:rPr>
              <w:t>Drive-team brief</w:t>
            </w:r>
          </w:p>
        </w:tc>
      </w:tr>
      <w:tr>
        <w:trPr>
          <w:cantSplit/>
        </w:trPr>
        <w:tc>
          <w:tcPr>
            <w:tcW w:type="dxa" w:w="1872"/>
            <w:vAlign w:val="center"/>
          </w:tcPr>
          <w:p>
            <w:r/>
            <w:r>
              <w:rPr>
                <w:b w:val="0"/>
                <w:sz w:val="16"/>
              </w:rPr>
              <w:t>Primary win condition</w:t>
            </w:r>
          </w:p>
        </w:tc>
        <w:tc>
          <w:tcPr>
            <w:tcW w:type="dxa" w:w="8136"/>
            <w:vAlign w:val="center"/>
          </w:tcPr>
          <w:p>
            <w:r/>
            <w:r>
              <w:rPr>
                <w:b w:val="0"/>
                <w:sz w:val="16"/>
              </w:rPr>
              <w:t>Win on speed and complementary CL/depot production while keeping the match low-penalty.</w:t>
            </w:r>
          </w:p>
        </w:tc>
      </w:tr>
      <w:tr>
        <w:trPr>
          <w:cantSplit/>
        </w:trPr>
        <w:tc>
          <w:tcPr>
            <w:tcW w:type="dxa" w:w="1872"/>
            <w:vAlign w:val="center"/>
          </w:tcPr>
          <w:p>
            <w:r/>
            <w:r>
              <w:rPr>
                <w:b w:val="0"/>
                <w:sz w:val="16"/>
              </w:rPr>
              <w:t>Roles</w:t>
            </w:r>
          </w:p>
        </w:tc>
        <w:tc>
          <w:tcPr>
            <w:tcW w:type="dxa" w:w="8136"/>
            <w:vAlign w:val="center"/>
          </w:tcPr>
          <w:p>
            <w:r/>
            <w:r>
              <w:rPr>
                <w:b w:val="0"/>
                <w:sz w:val="16"/>
              </w:rPr>
              <w:t>3470: fast cycling/overflow support. T14: efficient primary CL/depot scorer with secondary defense.</w:t>
            </w:r>
          </w:p>
        </w:tc>
      </w:tr>
      <w:tr>
        <w:trPr>
          <w:cantSplit/>
        </w:trPr>
        <w:tc>
          <w:tcPr>
            <w:tcW w:type="dxa" w:w="1872"/>
            <w:vAlign w:val="center"/>
          </w:tcPr>
          <w:p>
            <w:r/>
            <w:r>
              <w:rPr>
                <w:b w:val="0"/>
                <w:sz w:val="16"/>
              </w:rPr>
              <w:t>Biggest threat</w:t>
            </w:r>
          </w:p>
        </w:tc>
        <w:tc>
          <w:tcPr>
            <w:tcW w:type="dxa" w:w="8136"/>
            <w:vAlign w:val="center"/>
          </w:tcPr>
          <w:p>
            <w:r/>
            <w:r>
              <w:rPr>
                <w:b w:val="0"/>
                <w:sz w:val="16"/>
              </w:rPr>
              <w:t>T17's strong driver-led scoring paired with T02's top reliability.</w:t>
            </w:r>
          </w:p>
        </w:tc>
      </w:tr>
      <w:tr>
        <w:trPr>
          <w:cantSplit/>
        </w:trPr>
        <w:tc>
          <w:tcPr>
            <w:tcW w:type="dxa" w:w="1872"/>
            <w:vAlign w:val="center"/>
          </w:tcPr>
          <w:p>
            <w:r/>
            <w:r>
              <w:rPr>
                <w:b w:val="0"/>
                <w:sz w:val="16"/>
              </w:rPr>
              <w:t>Priority</w:t>
            </w:r>
          </w:p>
        </w:tc>
        <w:tc>
          <w:tcPr>
            <w:tcW w:type="dxa" w:w="8136"/>
            <w:vAlign w:val="center"/>
          </w:tcPr>
          <w:p>
            <w:r/>
            <w:r>
              <w:rPr>
                <w:b w:val="0"/>
                <w:sz w:val="16"/>
              </w:rPr>
              <w:t>Protect clean lanes and make T17/T02 spend time reacting rather than running their consistent plan.</w:t>
            </w:r>
          </w:p>
        </w:tc>
      </w:tr>
      <w:tr>
        <w:trPr>
          <w:cantSplit/>
        </w:trPr>
        <w:tc>
          <w:tcPr>
            <w:tcW w:type="dxa" w:w="1872"/>
            <w:vAlign w:val="center"/>
          </w:tcPr>
          <w:p>
            <w:r/>
            <w:r>
              <w:rPr>
                <w:b w:val="0"/>
                <w:sz w:val="16"/>
              </w:rPr>
              <w:t>Major risk</w:t>
            </w:r>
          </w:p>
        </w:tc>
        <w:tc>
          <w:tcPr>
            <w:tcW w:type="dxa" w:w="8136"/>
            <w:vAlign w:val="center"/>
          </w:tcPr>
          <w:p>
            <w:r/>
            <w:r>
              <w:rPr>
                <w:b w:val="0"/>
                <w:sz w:val="16"/>
              </w:rPr>
              <w:t>T14's rank is weight-sensitive and 3470 can fade late.</w:t>
            </w:r>
          </w:p>
        </w:tc>
      </w:tr>
      <w:tr>
        <w:trPr>
          <w:cantSplit/>
        </w:trPr>
        <w:tc>
          <w:tcPr>
            <w:tcW w:type="dxa" w:w="1872"/>
            <w:vAlign w:val="center"/>
          </w:tcPr>
          <w:p>
            <w:r/>
            <w:r>
              <w:rPr>
                <w:b w:val="0"/>
                <w:sz w:val="16"/>
              </w:rPr>
              <w:t>Backup plan</w:t>
            </w:r>
          </w:p>
        </w:tc>
        <w:tc>
          <w:tcPr>
            <w:tcW w:type="dxa" w:w="8136"/>
            <w:vAlign w:val="center"/>
          </w:tcPr>
          <w:p>
            <w:r/>
            <w:r>
              <w:rPr>
                <w:b w:val="0"/>
                <w:sz w:val="16"/>
              </w:rPr>
              <w:t>If scoring lanes clog, use T14's stronger defense while 3470 stays on the shortest repeatable scoring route.</w:t>
            </w:r>
          </w:p>
        </w:tc>
      </w:tr>
      <w:tr>
        <w:trPr>
          <w:cantSplit/>
        </w:trPr>
        <w:tc>
          <w:tcPr>
            <w:tcW w:type="dxa" w:w="1872"/>
            <w:vAlign w:val="center"/>
          </w:tcPr>
          <w:p>
            <w:r/>
            <w:r>
              <w:rPr>
                <w:b w:val="0"/>
                <w:sz w:val="16"/>
              </w:rPr>
              <w:t>Confidence</w:t>
            </w:r>
          </w:p>
        </w:tc>
        <w:tc>
          <w:tcPr>
            <w:tcW w:type="dxa" w:w="8136"/>
            <w:vAlign w:val="center"/>
          </w:tcPr>
          <w:p>
            <w:r/>
            <w:r>
              <w:rPr>
                <w:b w:val="0"/>
                <w:sz w:val="16"/>
              </w:rPr>
              <w:t>Medium</w:t>
            </w:r>
          </w:p>
        </w:tc>
      </w:tr>
    </w:tbl>
    <w:p/>
    <w:p>
      <w:pPr>
        <w:pStyle w:val="Heading2"/>
      </w:pPr>
      <w:r>
        <w:t>Matchup 3: 3470 + T02 vs T08 + T05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b/>
                <w:sz w:val="16"/>
              </w:rPr>
              <w:t>Item</w:t>
            </w:r>
          </w:p>
        </w:tc>
        <w:tc>
          <w:tcPr>
            <w:tcW w:type="dxa" w:w="8136"/>
            <w:vAlign w:val="center"/>
            <w:shd w:fill="D9EAF7"/>
          </w:tcPr>
          <w:p>
            <w:r/>
            <w:r>
              <w:rPr>
                <w:b/>
                <w:sz w:val="16"/>
              </w:rPr>
              <w:t>Drive-team brief</w:t>
            </w:r>
          </w:p>
        </w:tc>
      </w:tr>
      <w:tr>
        <w:trPr>
          <w:cantSplit/>
        </w:trPr>
        <w:tc>
          <w:tcPr>
            <w:tcW w:type="dxa" w:w="1872"/>
            <w:vAlign w:val="center"/>
          </w:tcPr>
          <w:p>
            <w:r/>
            <w:r>
              <w:rPr>
                <w:b w:val="0"/>
                <w:sz w:val="16"/>
              </w:rPr>
              <w:t>Primary win condition</w:t>
            </w:r>
          </w:p>
        </w:tc>
        <w:tc>
          <w:tcPr>
            <w:tcW w:type="dxa" w:w="8136"/>
            <w:vAlign w:val="center"/>
          </w:tcPr>
          <w:p>
            <w:r/>
            <w:r>
              <w:rPr>
                <w:b w:val="0"/>
                <w:sz w:val="16"/>
              </w:rPr>
              <w:t>Turn the match into a reliability contest: clean execution, controlled defense, and no penalty spikes.</w:t>
            </w:r>
          </w:p>
        </w:tc>
      </w:tr>
      <w:tr>
        <w:trPr>
          <w:cantSplit/>
        </w:trPr>
        <w:tc>
          <w:tcPr>
            <w:tcW w:type="dxa" w:w="1872"/>
            <w:vAlign w:val="center"/>
          </w:tcPr>
          <w:p>
            <w:r/>
            <w:r>
              <w:rPr>
                <w:b w:val="0"/>
                <w:sz w:val="16"/>
              </w:rPr>
              <w:t>Roles</w:t>
            </w:r>
          </w:p>
        </w:tc>
        <w:tc>
          <w:tcPr>
            <w:tcW w:type="dxa" w:w="8136"/>
            <w:vAlign w:val="center"/>
          </w:tcPr>
          <w:p>
            <w:r/>
            <w:r>
              <w:rPr>
                <w:b w:val="0"/>
                <w:sz w:val="16"/>
              </w:rPr>
              <w:t>3470: primary pace setter and scorer. T02: reliable balanced support/defense and motif coverage.</w:t>
            </w:r>
          </w:p>
        </w:tc>
      </w:tr>
      <w:tr>
        <w:trPr>
          <w:cantSplit/>
        </w:trPr>
        <w:tc>
          <w:tcPr>
            <w:tcW w:type="dxa" w:w="1872"/>
            <w:vAlign w:val="center"/>
          </w:tcPr>
          <w:p>
            <w:r/>
            <w:r>
              <w:rPr>
                <w:b w:val="0"/>
                <w:sz w:val="16"/>
              </w:rPr>
              <w:t>Biggest threat</w:t>
            </w:r>
          </w:p>
        </w:tc>
        <w:tc>
          <w:tcPr>
            <w:tcW w:type="dxa" w:w="8136"/>
            <w:vAlign w:val="center"/>
          </w:tcPr>
          <w:p>
            <w:r/>
            <w:r>
              <w:rPr>
                <w:b w:val="0"/>
                <w:sz w:val="16"/>
              </w:rPr>
              <w:t>T08 is the strongest overall robot and T05 adds high scoring volume.</w:t>
            </w:r>
          </w:p>
        </w:tc>
      </w:tr>
      <w:tr>
        <w:trPr>
          <w:cantSplit/>
        </w:trPr>
        <w:tc>
          <w:tcPr>
            <w:tcW w:type="dxa" w:w="1872"/>
            <w:vAlign w:val="center"/>
          </w:tcPr>
          <w:p>
            <w:r/>
            <w:r>
              <w:rPr>
                <w:b w:val="0"/>
                <w:sz w:val="16"/>
              </w:rPr>
              <w:t>Priority</w:t>
            </w:r>
          </w:p>
        </w:tc>
        <w:tc>
          <w:tcPr>
            <w:tcW w:type="dxa" w:w="8136"/>
            <w:vAlign w:val="center"/>
          </w:tcPr>
          <w:p>
            <w:r/>
            <w:r>
              <w:rPr>
                <w:b w:val="0"/>
                <w:sz w:val="16"/>
              </w:rPr>
              <w:t>Disrupt T08's two-way impact without sacrificing 3470's cycles; exploit T05's lower driver consistency and penalty risk.</w:t>
            </w:r>
          </w:p>
        </w:tc>
      </w:tr>
      <w:tr>
        <w:trPr>
          <w:cantSplit/>
        </w:trPr>
        <w:tc>
          <w:tcPr>
            <w:tcW w:type="dxa" w:w="1872"/>
            <w:vAlign w:val="center"/>
          </w:tcPr>
          <w:p>
            <w:r/>
            <w:r>
              <w:rPr>
                <w:b w:val="0"/>
                <w:sz w:val="16"/>
              </w:rPr>
              <w:t>Major risk</w:t>
            </w:r>
          </w:p>
        </w:tc>
        <w:tc>
          <w:tcPr>
            <w:tcW w:type="dxa" w:w="8136"/>
            <w:vAlign w:val="center"/>
          </w:tcPr>
          <w:p>
            <w:r/>
            <w:r>
              <w:rPr>
                <w:b w:val="0"/>
                <w:sz w:val="16"/>
              </w:rPr>
              <w:t>Our alliance has less raw scoring ceiling than T08 + T05.</w:t>
            </w:r>
          </w:p>
        </w:tc>
      </w:tr>
      <w:tr>
        <w:trPr>
          <w:cantSplit/>
        </w:trPr>
        <w:tc>
          <w:tcPr>
            <w:tcW w:type="dxa" w:w="1872"/>
            <w:vAlign w:val="center"/>
          </w:tcPr>
          <w:p>
            <w:r/>
            <w:r>
              <w:rPr>
                <w:b w:val="0"/>
                <w:sz w:val="16"/>
              </w:rPr>
              <w:t>Backup plan</w:t>
            </w:r>
          </w:p>
        </w:tc>
        <w:tc>
          <w:tcPr>
            <w:tcW w:type="dxa" w:w="8136"/>
            <w:vAlign w:val="center"/>
          </w:tcPr>
          <w:p>
            <w:r/>
            <w:r>
              <w:rPr>
                <w:b w:val="0"/>
                <w:sz w:val="16"/>
              </w:rPr>
              <w:t>Prioritize objectives and safe high-floor scoring; avoid a chaotic shootout if the early margin is close.</w:t>
            </w:r>
          </w:p>
        </w:tc>
      </w:tr>
      <w:tr>
        <w:trPr>
          <w:cantSplit/>
        </w:trPr>
        <w:tc>
          <w:tcPr>
            <w:tcW w:type="dxa" w:w="1872"/>
            <w:vAlign w:val="center"/>
          </w:tcPr>
          <w:p>
            <w:r/>
            <w:r>
              <w:rPr>
                <w:b w:val="0"/>
                <w:sz w:val="16"/>
              </w:rPr>
              <w:t>Confidence</w:t>
            </w:r>
          </w:p>
        </w:tc>
        <w:tc>
          <w:tcPr>
            <w:tcW w:type="dxa" w:w="8136"/>
            <w:vAlign w:val="center"/>
          </w:tcPr>
          <w:p>
            <w:r/>
            <w:r>
              <w:rPr>
                <w:b w:val="0"/>
                <w:sz w:val="16"/>
              </w:rPr>
              <w:t>Medium-Low</w:t>
            </w:r>
          </w:p>
        </w:tc>
      </w:tr>
    </w:tbl>
    <w:p/>
    <w:p>
      <w:pPr>
        <w:pStyle w:val="Heading1"/>
      </w:pPr>
      <w:r>
        <w:t>11. Ambiguity and Uncertainty</w:t>
      </w:r>
    </w:p>
    <w:p>
      <w:pPr>
        <w:pStyle w:val="Heading2"/>
      </w:pPr>
      <w:r>
        <w:t>Uncertainty 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center"/>
            <w:shd w:fill="D9EAF7"/>
          </w:tcPr>
          <w:p>
            <w:r/>
            <w:r>
              <w:rPr>
                <w:b/>
                <w:sz w:val="17"/>
              </w:rPr>
              <w:t>Field</w:t>
            </w:r>
          </w:p>
        </w:tc>
        <w:tc>
          <w:tcPr>
            <w:tcW w:type="dxa" w:w="7920"/>
            <w:vAlign w:val="center"/>
            <w:shd w:fill="D9EAF7"/>
          </w:tcPr>
          <w:p>
            <w:r/>
            <w:r>
              <w:rPr>
                <w:b/>
                <w:sz w:val="17"/>
              </w:rPr>
              <w:t>Assessment</w:t>
            </w:r>
          </w:p>
        </w:tc>
      </w:tr>
      <w:tr>
        <w:trPr>
          <w:cantSplit/>
        </w:trPr>
        <w:tc>
          <w:tcPr>
            <w:tcW w:type="dxa" w:w="2088"/>
            <w:vAlign w:val="center"/>
          </w:tcPr>
          <w:p>
            <w:r/>
            <w:r>
              <w:rPr>
                <w:b w:val="0"/>
                <w:sz w:val="17"/>
              </w:rPr>
              <w:t>Claim</w:t>
            </w:r>
          </w:p>
        </w:tc>
        <w:tc>
          <w:tcPr>
            <w:tcW w:type="dxa" w:w="7920"/>
            <w:vAlign w:val="center"/>
          </w:tcPr>
          <w:p>
            <w:r/>
            <w:r>
              <w:rPr>
                <w:b w:val="0"/>
                <w:sz w:val="17"/>
              </w:rPr>
              <w:t>The M## prefix is a unique official event match identifier, making alliance scorelines independently verifiable.</w:t>
            </w:r>
          </w:p>
        </w:tc>
      </w:tr>
      <w:tr>
        <w:trPr>
          <w:cantSplit/>
        </w:trPr>
        <w:tc>
          <w:tcPr>
            <w:tcW w:type="dxa" w:w="2088"/>
            <w:vAlign w:val="center"/>
          </w:tcPr>
          <w:p>
            <w:r/>
            <w:r>
              <w:rPr>
                <w:b w:val="0"/>
                <w:sz w:val="17"/>
              </w:rPr>
              <w:t>Confidence</w:t>
            </w:r>
          </w:p>
        </w:tc>
        <w:tc>
          <w:tcPr>
            <w:tcW w:type="dxa" w:w="7920"/>
            <w:vAlign w:val="center"/>
          </w:tcPr>
          <w:p>
            <w:r/>
            <w:r>
              <w:rPr>
                <w:b w:val="0"/>
                <w:sz w:val="17"/>
              </w:rPr>
              <w:t>Low</w:t>
            </w:r>
          </w:p>
        </w:tc>
      </w:tr>
      <w:tr>
        <w:trPr>
          <w:cantSplit/>
        </w:trPr>
        <w:tc>
          <w:tcPr>
            <w:tcW w:type="dxa" w:w="2088"/>
            <w:vAlign w:val="center"/>
          </w:tcPr>
          <w:p>
            <w:r/>
            <w:r>
              <w:rPr>
                <w:b w:val="0"/>
                <w:sz w:val="17"/>
              </w:rPr>
              <w:t>Competing explanation</w:t>
            </w:r>
          </w:p>
        </w:tc>
        <w:tc>
          <w:tcPr>
            <w:tcW w:type="dxa" w:w="7920"/>
            <w:vAlign w:val="center"/>
          </w:tcPr>
          <w:p>
            <w:r/>
            <w:r>
              <w:rPr>
                <w:b w:val="0"/>
                <w:sz w:val="17"/>
              </w:rPr>
              <w:t>All 36 repeated prefixes have conflicting scores for the same alliance color; prefixes could be reused labels rather than event match IDs, or match context may be misrecorded.</w:t>
            </w:r>
          </w:p>
        </w:tc>
      </w:tr>
      <w:tr>
        <w:trPr>
          <w:cantSplit/>
        </w:trPr>
        <w:tc>
          <w:tcPr>
            <w:tcW w:type="dxa" w:w="2088"/>
            <w:vAlign w:val="center"/>
          </w:tcPr>
          <w:p>
            <w:r/>
            <w:r>
              <w:rPr>
                <w:b w:val="0"/>
                <w:sz w:val="17"/>
              </w:rPr>
              <w:t>Missing information</w:t>
            </w:r>
          </w:p>
        </w:tc>
        <w:tc>
          <w:tcPr>
            <w:tcW w:type="dxa" w:w="7920"/>
            <w:vAlign w:val="center"/>
          </w:tcPr>
          <w:p>
            <w:r/>
            <w:r>
              <w:rPr>
                <w:b w:val="0"/>
                <w:sz w:val="17"/>
              </w:rPr>
              <w:t>An official match schedule, stable match ID definitions, and verified per-match alliance scores and partners.</w:t>
            </w:r>
          </w:p>
        </w:tc>
      </w:tr>
      <w:tr>
        <w:trPr>
          <w:cantSplit/>
        </w:trPr>
        <w:tc>
          <w:tcPr>
            <w:tcW w:type="dxa" w:w="2088"/>
            <w:vAlign w:val="center"/>
          </w:tcPr>
          <w:p>
            <w:r/>
            <w:r>
              <w:rPr>
                <w:b w:val="0"/>
                <w:sz w:val="17"/>
              </w:rPr>
              <w:t>Decision</w:t>
            </w:r>
          </w:p>
        </w:tc>
        <w:tc>
          <w:tcPr>
            <w:tcW w:type="dxa" w:w="7920"/>
            <w:vAlign w:val="center"/>
          </w:tcPr>
          <w:p>
            <w:r/>
            <w:r>
              <w:rPr>
                <w:b w:val="0"/>
                <w:sz w:val="17"/>
              </w:rPr>
              <w:t>Do not join rows by M## or make definitive claims from result-context rankings. Keep per-robot metrics and regard overrated/underrated as provisional.</w:t>
            </w:r>
          </w:p>
        </w:tc>
      </w:tr>
    </w:tbl>
    <w:p/>
    <w:p>
      <w:pPr>
        <w:pStyle w:val="Heading2"/>
      </w:pPr>
      <w:r>
        <w:t>Uncertainty 2</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center"/>
            <w:shd w:fill="D9EAF7"/>
          </w:tcPr>
          <w:p>
            <w:r/>
            <w:r>
              <w:rPr>
                <w:b/>
                <w:sz w:val="17"/>
              </w:rPr>
              <w:t>Field</w:t>
            </w:r>
          </w:p>
        </w:tc>
        <w:tc>
          <w:tcPr>
            <w:tcW w:type="dxa" w:w="7920"/>
            <w:vAlign w:val="center"/>
            <w:shd w:fill="D9EAF7"/>
          </w:tcPr>
          <w:p>
            <w:r/>
            <w:r>
              <w:rPr>
                <w:b/>
                <w:sz w:val="17"/>
              </w:rPr>
              <w:t>Assessment</w:t>
            </w:r>
          </w:p>
        </w:tc>
      </w:tr>
      <w:tr>
        <w:trPr>
          <w:cantSplit/>
        </w:trPr>
        <w:tc>
          <w:tcPr>
            <w:tcW w:type="dxa" w:w="2088"/>
            <w:vAlign w:val="center"/>
          </w:tcPr>
          <w:p>
            <w:r/>
            <w:r>
              <w:rPr>
                <w:b w:val="0"/>
                <w:sz w:val="17"/>
              </w:rPr>
              <w:t>Claim</w:t>
            </w:r>
          </w:p>
        </w:tc>
        <w:tc>
          <w:tcPr>
            <w:tcW w:type="dxa" w:w="7920"/>
            <w:vAlign w:val="center"/>
          </w:tcPr>
          <w:p>
            <w:r/>
            <w:r>
              <w:rPr>
                <w:b w:val="0"/>
                <w:sz w:val="17"/>
              </w:rPr>
              <w:t>T05 is a top-3 robot in the balanced overall ranking.</w:t>
            </w:r>
          </w:p>
        </w:tc>
      </w:tr>
      <w:tr>
        <w:trPr>
          <w:cantSplit/>
        </w:trPr>
        <w:tc>
          <w:tcPr>
            <w:tcW w:type="dxa" w:w="2088"/>
            <w:vAlign w:val="center"/>
          </w:tcPr>
          <w:p>
            <w:r/>
            <w:r>
              <w:rPr>
                <w:b w:val="0"/>
                <w:sz w:val="17"/>
              </w:rPr>
              <w:t>Confidence</w:t>
            </w:r>
          </w:p>
        </w:tc>
        <w:tc>
          <w:tcPr>
            <w:tcW w:type="dxa" w:w="7920"/>
            <w:vAlign w:val="center"/>
          </w:tcPr>
          <w:p>
            <w:r/>
            <w:r>
              <w:rPr>
                <w:b w:val="0"/>
                <w:sz w:val="17"/>
              </w:rPr>
              <w:t>Medium</w:t>
            </w:r>
          </w:p>
        </w:tc>
      </w:tr>
      <w:tr>
        <w:trPr>
          <w:cantSplit/>
        </w:trPr>
        <w:tc>
          <w:tcPr>
            <w:tcW w:type="dxa" w:w="2088"/>
            <w:vAlign w:val="center"/>
          </w:tcPr>
          <w:p>
            <w:r/>
            <w:r>
              <w:rPr>
                <w:b w:val="0"/>
                <w:sz w:val="17"/>
              </w:rPr>
              <w:t>Competing explanation</w:t>
            </w:r>
          </w:p>
        </w:tc>
        <w:tc>
          <w:tcPr>
            <w:tcW w:type="dxa" w:w="7920"/>
            <w:vAlign w:val="center"/>
          </w:tcPr>
          <w:p>
            <w:r/>
            <w:r>
              <w:rPr>
                <w:b w:val="0"/>
                <w:sz w:val="17"/>
              </w:rPr>
              <w:t>One CL value of 28 may be a logging error rather than a true performance spike; scout confidence on that row is 2/5.</w:t>
            </w:r>
          </w:p>
        </w:tc>
      </w:tr>
      <w:tr>
        <w:trPr>
          <w:cantSplit/>
        </w:trPr>
        <w:tc>
          <w:tcPr>
            <w:tcW w:type="dxa" w:w="2088"/>
            <w:vAlign w:val="center"/>
          </w:tcPr>
          <w:p>
            <w:r/>
            <w:r>
              <w:rPr>
                <w:b w:val="0"/>
                <w:sz w:val="17"/>
              </w:rPr>
              <w:t>Missing information</w:t>
            </w:r>
          </w:p>
        </w:tc>
        <w:tc>
          <w:tcPr>
            <w:tcW w:type="dxa" w:w="7920"/>
            <w:vAlign w:val="center"/>
          </w:tcPr>
          <w:p>
            <w:r/>
            <w:r>
              <w:rPr>
                <w:b w:val="0"/>
                <w:sz w:val="17"/>
              </w:rPr>
              <w:t>Video or a second scout record for M14-T05-3; official per-match scoring breakdown.</w:t>
            </w:r>
          </w:p>
        </w:tc>
      </w:tr>
      <w:tr>
        <w:trPr>
          <w:cantSplit/>
        </w:trPr>
        <w:tc>
          <w:tcPr>
            <w:tcW w:type="dxa" w:w="2088"/>
            <w:vAlign w:val="center"/>
          </w:tcPr>
          <w:p>
            <w:r/>
            <w:r>
              <w:rPr>
                <w:b w:val="0"/>
                <w:sz w:val="17"/>
              </w:rPr>
              <w:t>Decision</w:t>
            </w:r>
          </w:p>
        </w:tc>
        <w:tc>
          <w:tcPr>
            <w:tcW w:type="dxa" w:w="7920"/>
            <w:vAlign w:val="center"/>
          </w:tcPr>
          <w:p>
            <w:r/>
            <w:r>
              <w:rPr>
                <w:b w:val="0"/>
                <w:sz w:val="17"/>
              </w:rPr>
              <w:t>Act on T05 as a strong option, but do not let the 28-CL row drive the picklist. The composite excludes that CL value.</w:t>
            </w:r>
          </w:p>
        </w:tc>
      </w:tr>
    </w:tbl>
    <w:p/>
    <w:p>
      <w:pPr>
        <w:pStyle w:val="Heading2"/>
      </w:pPr>
      <w:r>
        <w:t>Uncertainty 3</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center"/>
            <w:shd w:fill="D9EAF7"/>
          </w:tcPr>
          <w:p>
            <w:r/>
            <w:r>
              <w:rPr>
                <w:b/>
                <w:sz w:val="17"/>
              </w:rPr>
              <w:t>Field</w:t>
            </w:r>
          </w:p>
        </w:tc>
        <w:tc>
          <w:tcPr>
            <w:tcW w:type="dxa" w:w="7920"/>
            <w:vAlign w:val="center"/>
            <w:shd w:fill="D9EAF7"/>
          </w:tcPr>
          <w:p>
            <w:r/>
            <w:r>
              <w:rPr>
                <w:b/>
                <w:sz w:val="17"/>
              </w:rPr>
              <w:t>Assessment</w:t>
            </w:r>
          </w:p>
        </w:tc>
      </w:tr>
      <w:tr>
        <w:trPr>
          <w:cantSplit/>
        </w:trPr>
        <w:tc>
          <w:tcPr>
            <w:tcW w:type="dxa" w:w="2088"/>
            <w:vAlign w:val="center"/>
          </w:tcPr>
          <w:p>
            <w:r/>
            <w:r>
              <w:rPr>
                <w:b w:val="0"/>
                <w:sz w:val="17"/>
              </w:rPr>
              <w:t>Claim</w:t>
            </w:r>
          </w:p>
        </w:tc>
        <w:tc>
          <w:tcPr>
            <w:tcW w:type="dxa" w:w="7920"/>
            <w:vAlign w:val="center"/>
          </w:tcPr>
          <w:p>
            <w:r/>
            <w:r>
              <w:rPr>
                <w:b w:val="0"/>
                <w:sz w:val="17"/>
              </w:rPr>
              <w:t>T12 is one of the fastest robots in the field.</w:t>
            </w:r>
          </w:p>
        </w:tc>
      </w:tr>
      <w:tr>
        <w:trPr>
          <w:cantSplit/>
        </w:trPr>
        <w:tc>
          <w:tcPr>
            <w:tcW w:type="dxa" w:w="2088"/>
            <w:vAlign w:val="center"/>
          </w:tcPr>
          <w:p>
            <w:r/>
            <w:r>
              <w:rPr>
                <w:b w:val="0"/>
                <w:sz w:val="17"/>
              </w:rPr>
              <w:t>Confidence</w:t>
            </w:r>
          </w:p>
        </w:tc>
        <w:tc>
          <w:tcPr>
            <w:tcW w:type="dxa" w:w="7920"/>
            <w:vAlign w:val="center"/>
          </w:tcPr>
          <w:p>
            <w:r/>
            <w:r>
              <w:rPr>
                <w:b w:val="0"/>
                <w:sz w:val="17"/>
              </w:rPr>
              <w:t>Low</w:t>
            </w:r>
          </w:p>
        </w:tc>
      </w:tr>
      <w:tr>
        <w:trPr>
          <w:cantSplit/>
        </w:trPr>
        <w:tc>
          <w:tcPr>
            <w:tcW w:type="dxa" w:w="2088"/>
            <w:vAlign w:val="center"/>
          </w:tcPr>
          <w:p>
            <w:r/>
            <w:r>
              <w:rPr>
                <w:b w:val="0"/>
                <w:sz w:val="17"/>
              </w:rPr>
              <w:t>Competing explanation</w:t>
            </w:r>
          </w:p>
        </w:tc>
        <w:tc>
          <w:tcPr>
            <w:tcW w:type="dxa" w:w="7920"/>
            <w:vAlign w:val="center"/>
          </w:tcPr>
          <w:p>
            <w:r/>
            <w:r>
              <w:rPr>
                <w:b w:val="0"/>
                <w:sz w:val="17"/>
              </w:rPr>
              <w:t>Two of six cycle times are missing and one recorded cycle is an extreme 7.5 s outlier.</w:t>
            </w:r>
          </w:p>
        </w:tc>
      </w:tr>
      <w:tr>
        <w:trPr>
          <w:cantSplit/>
        </w:trPr>
        <w:tc>
          <w:tcPr>
            <w:tcW w:type="dxa" w:w="2088"/>
            <w:vAlign w:val="center"/>
          </w:tcPr>
          <w:p>
            <w:r/>
            <w:r>
              <w:rPr>
                <w:b w:val="0"/>
                <w:sz w:val="17"/>
              </w:rPr>
              <w:t>Missing information</w:t>
            </w:r>
          </w:p>
        </w:tc>
        <w:tc>
          <w:tcPr>
            <w:tcW w:type="dxa" w:w="7920"/>
            <w:vAlign w:val="center"/>
          </w:tcPr>
          <w:p>
            <w:r/>
            <w:r>
              <w:rPr>
                <w:b w:val="0"/>
                <w:sz w:val="17"/>
              </w:rPr>
              <w:t>Complete cycle timestamps or video-based timing for all six matches.</w:t>
            </w:r>
          </w:p>
        </w:tc>
      </w:tr>
      <w:tr>
        <w:trPr>
          <w:cantSplit/>
        </w:trPr>
        <w:tc>
          <w:tcPr>
            <w:tcW w:type="dxa" w:w="2088"/>
            <w:vAlign w:val="center"/>
          </w:tcPr>
          <w:p>
            <w:r/>
            <w:r>
              <w:rPr>
                <w:b w:val="0"/>
                <w:sz w:val="17"/>
              </w:rPr>
              <w:t>Decision</w:t>
            </w:r>
          </w:p>
        </w:tc>
        <w:tc>
          <w:tcPr>
            <w:tcW w:type="dxa" w:w="7920"/>
            <w:vAlign w:val="center"/>
          </w:tcPr>
          <w:p>
            <w:r/>
            <w:r>
              <w:rPr>
                <w:b w:val="0"/>
                <w:sz w:val="17"/>
              </w:rPr>
              <w:t>Treat T12 speed as promising but unconfirmed; do not select them primarily for speed.</w:t>
            </w:r>
          </w:p>
        </w:tc>
      </w:tr>
    </w:tbl>
    <w:p/>
    <w:p>
      <w:pPr>
        <w:pStyle w:val="Heading2"/>
      </w:pPr>
      <w:r>
        <w:t>Uncertainty 4</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center"/>
            <w:shd w:fill="D9EAF7"/>
          </w:tcPr>
          <w:p>
            <w:r/>
            <w:r>
              <w:rPr>
                <w:b/>
                <w:sz w:val="17"/>
              </w:rPr>
              <w:t>Field</w:t>
            </w:r>
          </w:p>
        </w:tc>
        <w:tc>
          <w:tcPr>
            <w:tcW w:type="dxa" w:w="7920"/>
            <w:vAlign w:val="center"/>
            <w:shd w:fill="D9EAF7"/>
          </w:tcPr>
          <w:p>
            <w:r/>
            <w:r>
              <w:rPr>
                <w:b/>
                <w:sz w:val="17"/>
              </w:rPr>
              <w:t>Assessment</w:t>
            </w:r>
          </w:p>
        </w:tc>
      </w:tr>
      <w:tr>
        <w:trPr>
          <w:cantSplit/>
        </w:trPr>
        <w:tc>
          <w:tcPr>
            <w:tcW w:type="dxa" w:w="2088"/>
            <w:vAlign w:val="center"/>
          </w:tcPr>
          <w:p>
            <w:r/>
            <w:r>
              <w:rPr>
                <w:b w:val="0"/>
                <w:sz w:val="17"/>
              </w:rPr>
              <w:t>Claim</w:t>
            </w:r>
          </w:p>
        </w:tc>
        <w:tc>
          <w:tcPr>
            <w:tcW w:type="dxa" w:w="7920"/>
            <w:vAlign w:val="center"/>
          </w:tcPr>
          <w:p>
            <w:r/>
            <w:r>
              <w:rPr>
                <w:b w:val="0"/>
                <w:sz w:val="17"/>
              </w:rPr>
              <w:t>Alliance win rate is a good proxy for individual robot strength.</w:t>
            </w:r>
          </w:p>
        </w:tc>
      </w:tr>
      <w:tr>
        <w:trPr>
          <w:cantSplit/>
        </w:trPr>
        <w:tc>
          <w:tcPr>
            <w:tcW w:type="dxa" w:w="2088"/>
            <w:vAlign w:val="center"/>
          </w:tcPr>
          <w:p>
            <w:r/>
            <w:r>
              <w:rPr>
                <w:b w:val="0"/>
                <w:sz w:val="17"/>
              </w:rPr>
              <w:t>Confidence</w:t>
            </w:r>
          </w:p>
        </w:tc>
        <w:tc>
          <w:tcPr>
            <w:tcW w:type="dxa" w:w="7920"/>
            <w:vAlign w:val="center"/>
          </w:tcPr>
          <w:p>
            <w:r/>
            <w:r>
              <w:rPr>
                <w:b w:val="0"/>
                <w:sz w:val="17"/>
              </w:rPr>
              <w:t>Low</w:t>
            </w:r>
          </w:p>
        </w:tc>
      </w:tr>
      <w:tr>
        <w:trPr>
          <w:cantSplit/>
        </w:trPr>
        <w:tc>
          <w:tcPr>
            <w:tcW w:type="dxa" w:w="2088"/>
            <w:vAlign w:val="center"/>
          </w:tcPr>
          <w:p>
            <w:r/>
            <w:r>
              <w:rPr>
                <w:b w:val="0"/>
                <w:sz w:val="17"/>
              </w:rPr>
              <w:t>Competing explanation</w:t>
            </w:r>
          </w:p>
        </w:tc>
        <w:tc>
          <w:tcPr>
            <w:tcW w:type="dxa" w:w="7920"/>
            <w:vAlign w:val="center"/>
          </w:tcPr>
          <w:p>
            <w:r/>
            <w:r>
              <w:rPr>
                <w:b w:val="0"/>
                <w:sz w:val="17"/>
              </w:rPr>
              <w:t>Alliance scores include partner performance and opponent strength; T11 has good result context but ranks last on underlying robot metrics.</w:t>
            </w:r>
          </w:p>
        </w:tc>
      </w:tr>
      <w:tr>
        <w:trPr>
          <w:cantSplit/>
        </w:trPr>
        <w:tc>
          <w:tcPr>
            <w:tcW w:type="dxa" w:w="2088"/>
            <w:vAlign w:val="center"/>
          </w:tcPr>
          <w:p>
            <w:r/>
            <w:r>
              <w:rPr>
                <w:b w:val="0"/>
                <w:sz w:val="17"/>
              </w:rPr>
              <w:t>Missing information</w:t>
            </w:r>
          </w:p>
        </w:tc>
        <w:tc>
          <w:tcPr>
            <w:tcW w:type="dxa" w:w="7920"/>
            <w:vAlign w:val="center"/>
          </w:tcPr>
          <w:p>
            <w:r/>
            <w:r>
              <w:rPr>
                <w:b w:val="0"/>
                <w:sz w:val="17"/>
              </w:rPr>
              <w:t>Alliance partner identities, opponent strength, individual contribution, and schedule strength.</w:t>
            </w:r>
          </w:p>
        </w:tc>
      </w:tr>
      <w:tr>
        <w:trPr>
          <w:cantSplit/>
        </w:trPr>
        <w:tc>
          <w:tcPr>
            <w:tcW w:type="dxa" w:w="2088"/>
            <w:vAlign w:val="center"/>
          </w:tcPr>
          <w:p>
            <w:r/>
            <w:r>
              <w:rPr>
                <w:b w:val="0"/>
                <w:sz w:val="17"/>
              </w:rPr>
              <w:t>Decision</w:t>
            </w:r>
          </w:p>
        </w:tc>
        <w:tc>
          <w:tcPr>
            <w:tcW w:type="dxa" w:w="7920"/>
            <w:vAlign w:val="center"/>
          </w:tcPr>
          <w:p>
            <w:r/>
            <w:r>
              <w:rPr>
                <w:b w:val="0"/>
                <w:sz w:val="17"/>
              </w:rPr>
              <w:t>Do not use wins/alliance score inside the robot-strength composite; use them only as context.</w:t>
            </w:r>
          </w:p>
        </w:tc>
      </w:tr>
    </w:tbl>
    <w:p/>
    <w:p>
      <w:pPr>
        <w:pStyle w:val="Heading2"/>
      </w:pPr>
      <w:r>
        <w:t>Uncertainty 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center"/>
            <w:shd w:fill="D9EAF7"/>
          </w:tcPr>
          <w:p>
            <w:r/>
            <w:r>
              <w:rPr>
                <w:b/>
                <w:sz w:val="17"/>
              </w:rPr>
              <w:t>Field</w:t>
            </w:r>
          </w:p>
        </w:tc>
        <w:tc>
          <w:tcPr>
            <w:tcW w:type="dxa" w:w="7920"/>
            <w:vAlign w:val="center"/>
            <w:shd w:fill="D9EAF7"/>
          </w:tcPr>
          <w:p>
            <w:r/>
            <w:r>
              <w:rPr>
                <w:b/>
                <w:sz w:val="17"/>
              </w:rPr>
              <w:t>Assessment</w:t>
            </w:r>
          </w:p>
        </w:tc>
      </w:tr>
      <w:tr>
        <w:trPr>
          <w:cantSplit/>
        </w:trPr>
        <w:tc>
          <w:tcPr>
            <w:tcW w:type="dxa" w:w="2088"/>
            <w:vAlign w:val="center"/>
          </w:tcPr>
          <w:p>
            <w:r/>
            <w:r>
              <w:rPr>
                <w:b w:val="0"/>
                <w:sz w:val="17"/>
              </w:rPr>
              <w:t>Claim</w:t>
            </w:r>
          </w:p>
        </w:tc>
        <w:tc>
          <w:tcPr>
            <w:tcW w:type="dxa" w:w="7920"/>
            <w:vAlign w:val="center"/>
          </w:tcPr>
          <w:p>
            <w:r/>
            <w:r>
              <w:rPr>
                <w:b w:val="0"/>
                <w:sz w:val="17"/>
              </w:rPr>
              <w:t>Defense ratings are directly comparable across scouts.</w:t>
            </w:r>
          </w:p>
        </w:tc>
      </w:tr>
      <w:tr>
        <w:trPr>
          <w:cantSplit/>
        </w:trPr>
        <w:tc>
          <w:tcPr>
            <w:tcW w:type="dxa" w:w="2088"/>
            <w:vAlign w:val="center"/>
          </w:tcPr>
          <w:p>
            <w:r/>
            <w:r>
              <w:rPr>
                <w:b w:val="0"/>
                <w:sz w:val="17"/>
              </w:rPr>
              <w:t>Confidence</w:t>
            </w:r>
          </w:p>
        </w:tc>
        <w:tc>
          <w:tcPr>
            <w:tcW w:type="dxa" w:w="7920"/>
            <w:vAlign w:val="center"/>
          </w:tcPr>
          <w:p>
            <w:r/>
            <w:r>
              <w:rPr>
                <w:b w:val="0"/>
                <w:sz w:val="17"/>
              </w:rPr>
              <w:t>Medium</w:t>
            </w:r>
          </w:p>
        </w:tc>
      </w:tr>
      <w:tr>
        <w:trPr>
          <w:cantSplit/>
        </w:trPr>
        <w:tc>
          <w:tcPr>
            <w:tcW w:type="dxa" w:w="2088"/>
            <w:vAlign w:val="center"/>
          </w:tcPr>
          <w:p>
            <w:r/>
            <w:r>
              <w:rPr>
                <w:b w:val="0"/>
                <w:sz w:val="17"/>
              </w:rPr>
              <w:t>Competing explanation</w:t>
            </w:r>
          </w:p>
        </w:tc>
        <w:tc>
          <w:tcPr>
            <w:tcW w:type="dxa" w:w="7920"/>
            <w:vAlign w:val="center"/>
          </w:tcPr>
          <w:p>
            <w:r/>
            <w:r>
              <w:rPr>
                <w:b w:val="0"/>
                <w:sz w:val="17"/>
              </w:rPr>
              <w:t>Scout mean defense ratings vary by about half a rating point, which may reflect rater calibration rather than robot ability.</w:t>
            </w:r>
          </w:p>
        </w:tc>
      </w:tr>
      <w:tr>
        <w:trPr>
          <w:cantSplit/>
        </w:trPr>
        <w:tc>
          <w:tcPr>
            <w:tcW w:type="dxa" w:w="2088"/>
            <w:vAlign w:val="center"/>
          </w:tcPr>
          <w:p>
            <w:r/>
            <w:r>
              <w:rPr>
                <w:b w:val="0"/>
                <w:sz w:val="17"/>
              </w:rPr>
              <w:t>Missing information</w:t>
            </w:r>
          </w:p>
        </w:tc>
        <w:tc>
          <w:tcPr>
            <w:tcW w:type="dxa" w:w="7920"/>
            <w:vAlign w:val="center"/>
          </w:tcPr>
          <w:p>
            <w:r/>
            <w:r>
              <w:rPr>
                <w:b w:val="0"/>
                <w:sz w:val="17"/>
              </w:rPr>
              <w:t>Multiple scouts on the same matches or a calibrated defense-rating rubric.</w:t>
            </w:r>
          </w:p>
        </w:tc>
      </w:tr>
      <w:tr>
        <w:trPr>
          <w:cantSplit/>
        </w:trPr>
        <w:tc>
          <w:tcPr>
            <w:tcW w:type="dxa" w:w="2088"/>
            <w:vAlign w:val="center"/>
          </w:tcPr>
          <w:p>
            <w:r/>
            <w:r>
              <w:rPr>
                <w:b w:val="0"/>
                <w:sz w:val="17"/>
              </w:rPr>
              <w:t>Decision</w:t>
            </w:r>
          </w:p>
        </w:tc>
        <w:tc>
          <w:tcPr>
            <w:tcW w:type="dxa" w:w="7920"/>
            <w:vAlign w:val="center"/>
          </w:tcPr>
          <w:p>
            <w:r/>
            <w:r>
              <w:rPr>
                <w:b w:val="0"/>
                <w:sz w:val="17"/>
              </w:rPr>
              <w:t>Use defense as a supporting signal, not a precise standalone ranking metric.</w:t>
            </w:r>
          </w:p>
        </w:tc>
      </w:tr>
    </w:tbl>
    <w:p/>
    <w:p>
      <w:pPr>
        <w:pStyle w:val="Heading2"/>
      </w:pPr>
      <w:r>
        <w:t>Uncertainty 6</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center"/>
            <w:shd w:fill="D9EAF7"/>
          </w:tcPr>
          <w:p>
            <w:r/>
            <w:r>
              <w:rPr>
                <w:b/>
                <w:sz w:val="17"/>
              </w:rPr>
              <w:t>Field</w:t>
            </w:r>
          </w:p>
        </w:tc>
        <w:tc>
          <w:tcPr>
            <w:tcW w:type="dxa" w:w="7920"/>
            <w:vAlign w:val="center"/>
            <w:shd w:fill="D9EAF7"/>
          </w:tcPr>
          <w:p>
            <w:r/>
            <w:r>
              <w:rPr>
                <w:b/>
                <w:sz w:val="17"/>
              </w:rPr>
              <w:t>Assessment</w:t>
            </w:r>
          </w:p>
        </w:tc>
      </w:tr>
      <w:tr>
        <w:trPr>
          <w:cantSplit/>
        </w:trPr>
        <w:tc>
          <w:tcPr>
            <w:tcW w:type="dxa" w:w="2088"/>
            <w:vAlign w:val="center"/>
          </w:tcPr>
          <w:p>
            <w:r/>
            <w:r>
              <w:rPr>
                <w:b w:val="0"/>
                <w:sz w:val="17"/>
              </w:rPr>
              <w:t>Claim</w:t>
            </w:r>
          </w:p>
        </w:tc>
        <w:tc>
          <w:tcPr>
            <w:tcW w:type="dxa" w:w="7920"/>
            <w:vAlign w:val="center"/>
          </w:tcPr>
          <w:p>
            <w:r/>
            <w:r>
              <w:rPr>
                <w:b w:val="0"/>
                <w:sz w:val="17"/>
              </w:rPr>
              <w:t>3470's late slowdown is caused by the overflow mechanism.</w:t>
            </w:r>
          </w:p>
        </w:tc>
      </w:tr>
      <w:tr>
        <w:trPr>
          <w:cantSplit/>
        </w:trPr>
        <w:tc>
          <w:tcPr>
            <w:tcW w:type="dxa" w:w="2088"/>
            <w:vAlign w:val="center"/>
          </w:tcPr>
          <w:p>
            <w:r/>
            <w:r>
              <w:rPr>
                <w:b w:val="0"/>
                <w:sz w:val="17"/>
              </w:rPr>
              <w:t>Confidence</w:t>
            </w:r>
          </w:p>
        </w:tc>
        <w:tc>
          <w:tcPr>
            <w:tcW w:type="dxa" w:w="7920"/>
            <w:vAlign w:val="center"/>
          </w:tcPr>
          <w:p>
            <w:r/>
            <w:r>
              <w:rPr>
                <w:b w:val="0"/>
                <w:sz w:val="17"/>
              </w:rPr>
              <w:t>Medium</w:t>
            </w:r>
          </w:p>
        </w:tc>
      </w:tr>
      <w:tr>
        <w:trPr>
          <w:cantSplit/>
        </w:trPr>
        <w:tc>
          <w:tcPr>
            <w:tcW w:type="dxa" w:w="2088"/>
            <w:vAlign w:val="center"/>
          </w:tcPr>
          <w:p>
            <w:r/>
            <w:r>
              <w:rPr>
                <w:b w:val="0"/>
                <w:sz w:val="17"/>
              </w:rPr>
              <w:t>Competing explanation</w:t>
            </w:r>
          </w:p>
        </w:tc>
        <w:tc>
          <w:tcPr>
            <w:tcW w:type="dxa" w:w="7920"/>
            <w:vAlign w:val="center"/>
          </w:tcPr>
          <w:p>
            <w:r/>
            <w:r>
              <w:rPr>
                <w:b w:val="0"/>
                <w:sz w:val="17"/>
              </w:rPr>
              <w:t>The repeated note supports the hypothesis, but defense, battery state, traffic, or match strategy could also slow cycles.</w:t>
            </w:r>
          </w:p>
        </w:tc>
      </w:tr>
      <w:tr>
        <w:trPr>
          <w:cantSplit/>
        </w:trPr>
        <w:tc>
          <w:tcPr>
            <w:tcW w:type="dxa" w:w="2088"/>
            <w:vAlign w:val="center"/>
          </w:tcPr>
          <w:p>
            <w:r/>
            <w:r>
              <w:rPr>
                <w:b w:val="0"/>
                <w:sz w:val="17"/>
              </w:rPr>
              <w:t>Missing information</w:t>
            </w:r>
          </w:p>
        </w:tc>
        <w:tc>
          <w:tcPr>
            <w:tcW w:type="dxa" w:w="7920"/>
            <w:vAlign w:val="center"/>
          </w:tcPr>
          <w:p>
            <w:r/>
            <w:r>
              <w:rPr>
                <w:b w:val="0"/>
                <w:sz w:val="17"/>
              </w:rPr>
              <w:t>Subsystem telemetry, match video, battery voltage, and timestamps of retries/jams.</w:t>
            </w:r>
          </w:p>
        </w:tc>
      </w:tr>
      <w:tr>
        <w:trPr>
          <w:cantSplit/>
        </w:trPr>
        <w:tc>
          <w:tcPr>
            <w:tcW w:type="dxa" w:w="2088"/>
            <w:vAlign w:val="center"/>
          </w:tcPr>
          <w:p>
            <w:r/>
            <w:r>
              <w:rPr>
                <w:b w:val="0"/>
                <w:sz w:val="17"/>
              </w:rPr>
              <w:t>Decision</w:t>
            </w:r>
          </w:p>
        </w:tc>
        <w:tc>
          <w:tcPr>
            <w:tcW w:type="dxa" w:w="7920"/>
            <w:vAlign w:val="center"/>
          </w:tcPr>
          <w:p>
            <w:r/>
            <w:r>
              <w:rPr>
                <w:b w:val="0"/>
                <w:sz w:val="17"/>
              </w:rPr>
              <w:t>Prioritize testing the overflow path because it is the best-supported actionable hypothesis, but validate before redesigning.</w:t>
            </w:r>
          </w:p>
        </w:tc>
      </w:tr>
    </w:tbl>
    <w:p/>
    <w:p>
      <w:pPr>
        <w:pStyle w:val="Heading1"/>
      </w:pPr>
      <w:r>
        <w:t>12. Additional Data Needed</w:t>
      </w:r>
    </w:p>
    <w:p>
      <w:pPr>
        <w:pStyle w:val="ListBullet"/>
      </w:pPr>
      <w:r>
        <w:t>Official point values or scoring-value mapping for each action type, if the goal is to estimate point contribution rather than action volume.</w:t>
      </w:r>
    </w:p>
    <w:p>
      <w:pPr>
        <w:pStyle w:val="ListBullet"/>
      </w:pPr>
      <w:r>
        <w:t>Alliance partner identities and opponent strength for every match so alliance scores/wins can be adjusted for schedule context.</w:t>
      </w:r>
    </w:p>
    <w:p>
      <w:pPr>
        <w:pStyle w:val="ListBullet"/>
      </w:pPr>
      <w:r>
        <w:t>Official global match IDs and score sheets to resolve the repeated M## prefix and same-alliance scoreline conflicts.</w:t>
      </w:r>
    </w:p>
    <w:p>
      <w:pPr>
        <w:pStyle w:val="ListBullet"/>
      </w:pPr>
      <w:r>
        <w:t>Complete per-cycle timestamps and subsystem-failure timestamps, especially for T12 and Team 3470.</w:t>
      </w:r>
    </w:p>
    <w:p>
      <w:pPr>
        <w:pStyle w:val="ListBullet"/>
      </w:pPr>
      <w:r>
        <w:t>Multiple scout observations of the same matches or a calibrated scoring rubric for defense and driver ratings.</w:t>
      </w:r>
    </w:p>
    <w:p>
      <w:pPr>
        <w:pStyle w:val="ListBullet"/>
      </w:pPr>
      <w:r>
        <w:t>Match video for the T05 28-CL observation and Team 3470's repeated late-overflow slowdown.</w:t>
      </w:r>
    </w:p>
    <w:p>
      <w:pPr>
        <w:pStyle w:val="ListBullet"/>
      </w:pPr>
      <w:r>
        <w:t>Phase-specific data (autonomous, teleop, endgame), defense faced, battery state, and jam/retry counts for stronger causal conclusions.</w:t>
      </w:r>
    </w:p>
    <w:p>
      <w:pPr>
        <w:pStyle w:val="Heading1"/>
      </w:pPr>
      <w:r>
        <w:t>13. Final Decision Summary</w:t>
      </w:r>
    </w:p>
    <w:p>
      <w:pPr>
        <w:pStyle w:val="ListBullet"/>
      </w:pPr>
      <w:r>
        <w:t>Strongest overall: T08 (High confidence within this dataset).</w:t>
      </w:r>
    </w:p>
    <w:p>
      <w:pPr>
        <w:pStyle w:val="ListBullet"/>
      </w:pPr>
      <w:r>
        <w:t>Best alliance partner for 3470: T08; safest close alternatives are T14 and T02, while T17 adds high driver execution.</w:t>
      </w:r>
    </w:p>
    <w:p>
      <w:pPr>
        <w:pStyle w:val="ListBullet"/>
      </w:pPr>
      <w:r>
        <w:t>3470's competitive identity: fast and mechanically reliable, but not yet translating its speed into top-tier scoring volume.</w:t>
      </w:r>
    </w:p>
    <w:p>
      <w:pPr>
        <w:pStyle w:val="ListBullet"/>
      </w:pPr>
      <w:r>
        <w:t>Highest-priority fix: late-event overflow/intake throughput. Then improve CL/depot conversion and motif reliability.</w:t>
      </w:r>
    </w:p>
    <w:p>
      <w:pPr>
        <w:pStyle w:val="ListBullet"/>
      </w:pPr>
      <w:r>
        <w:t>Use the picklist as a living decision aid, not a fixed truth. Six matches per team and subjective scouting ratings mean pre-match verification still matters.</w:t>
      </w:r>
    </w:p>
    <w:p>
      <w:pPr>
        <w:pStyle w:val="Heading1"/>
      </w:pPr>
      <w:r>
        <w:t>Appendix A. AI Use and Explainability</w:t>
      </w:r>
    </w:p>
    <w:p>
      <w:r>
        <w:t>AI-assisted development was used for code scaffolding, analysis-method brainstorming, debugging, report drafting, and formatting. The final method is intentionally simple enough to audit: cleaning rules, percentile conversion, explicit weights, and rule-based confidence/archetype logic. Before submitting, the candidate should rerun the pipeline and complete the verification checklist in INTERVIEW_PREP.md so any first-person AI disclosure is accurate.</w:t>
      </w:r>
    </w:p>
    <w:p>
      <w:r>
        <w:t>Where this system could be wrong: the supplied dataset does not include official point weights, alliance partner identities, schedule strength, full cycle timing, or duplicate independent scout observations. The analysis also finds conflicting scorelines among records sharing M## prefixes; their meaning requires official verification. The analysis therefore avoids precise point forecasts and labels uncertain conclusions instead of forcing them.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DECODE Competition Intelligence Project | Team 3470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