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0F6659"/>
          <w:sz w:val="28"/>
          <w:szCs w:val="28"/>
        </w:rPr>
        <w:t xml:space="preserve">SECURITY &amp; COMPLIANCE DOCUMENT</w:t>
      </w:r>
    </w:p>
    <w:p>
      <w:pPr>
        <w:spacing w:before="300"/>
        <w:jc w:val="center"/>
      </w:pPr>
      <w:r>
        <w:rPr>
          <w:b/>
          <w:bCs/>
          <w:color w:val="1F2937"/>
          <w:sz w:val="60"/>
          <w:szCs w:val="60"/>
        </w:rPr>
        <w:t xml:space="preserve">ClinicOS</w:t>
      </w:r>
    </w:p>
    <w:p>
      <w:pPr>
        <w:spacing w:before="150"/>
        <w:jc w:val="center"/>
      </w:pPr>
      <w:r>
        <w:rPr>
          <w:i/>
          <w:iCs/>
          <w:color w:val="6B7280"/>
          <w:sz w:val="24"/>
          <w:szCs w:val="24"/>
        </w:rPr>
        <w:t xml:space="preserve">Threat Model, Data Protection, Licensing Enforcement &amp; Launch Checklist</w:t>
      </w:r>
    </w:p>
    <w:p>
      <w:pPr>
        <w:spacing w:before="900"/>
        <w:jc w:val="center"/>
      </w:pPr>
      <w:r>
        <w:rPr>
          <w:color w:val="6B7280"/>
          <w:sz w:val="22"/>
          <w:szCs w:val="22"/>
        </w:rPr>
        <w:t xml:space="preserve">Companion document to the ClinicOS PRD</w:t>
      </w:r>
    </w:p>
    <w:p>
      <w:pPr>
        <w:spacing w:before="1600"/>
        <w:jc w:val="center"/>
      </w:pPr>
      <w:r>
        <w:rPr>
          <w:b/>
          <w:bCs/>
          <w:sz w:val="22"/>
          <w:szCs w:val="22"/>
        </w:rPr>
        <w:t xml:space="preserve">Prepared by: Nikunj</w:t>
      </w:r>
    </w:p>
    <w:p>
      <w:pPr>
        <w:spacing w:before="80"/>
        <w:jc w:val="center"/>
      </w:pPr>
      <w:r>
        <w:rPr>
          <w:color w:val="6B7280"/>
          <w:sz w:val="20"/>
          <w:szCs w:val="20"/>
        </w:rPr>
        <w:t xml:space="preserve">Version 1.0  |  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Why This Matters More Than Usual Here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11111"/>
          <w:sz w:val="22"/>
          <w:szCs w:val="22"/>
        </w:rPr>
        <w:t xml:space="preserve">ClinicOS carries three kinds of risk stacked on top of each other: it holds patient health data (highly sensitive, regulated), it's multi-tenant (a bug can leak one clinic's data to another), and it's a paid product enforcing a licensing wall (a bypass directly costs revenue, not just a security embarrassment). Each section below maps to one of these three risk categories.</w:t>
      </w:r>
    </w:p>
    <w:p>
      <w:pPr>
        <w:pStyle w:val="Heading1"/>
        <w:spacing w:after="200" w:before="400"/>
      </w:pPr>
      <w:r>
        <w:t xml:space="preserve">2. Threat Model — What Could Actually Go Wrong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Tenant data leakage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query missing a tenant_id filter returns Clinic A's patients to Clinic B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Feature-gate bypass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Free-tier clinic calls the pharmacy API directly, skipping the UI lock, and gets Pro features for free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 data exposure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Health records (diagnosis, prescriptions) accessed by an unauthorized staff role or leaked via a misconfigured storage bucket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Account takeover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Weak password policy or missing rate-limiting on login lets an attacker brute-force a receptionist or doctor account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Payment/subscription fraud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clinic manipulates the client to report a paid plan without an actual successful payment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Insider misuse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staff member at one clinic views patient records outside their role scope with no audit trail to catch it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Dependency vulnerabilities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An outdated npm package with a known CVE ships to production unnoticed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200" w:before="400"/>
      </w:pPr>
      <w:r>
        <w:t xml:space="preserve">3. Authentication &amp;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Password handling: </w:t>
      </w:r>
      <w:r>
        <w:rPr>
          <w:sz w:val="22"/>
          <w:szCs w:val="22"/>
        </w:rPr>
        <w:t xml:space="preserve">Hash with bcrypt (cost factor ≥ 12) or argon2 — never store plaintext or reversible-encrypted passwords, matching what's already done in your backend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JWT strategy: </w:t>
      </w:r>
      <w:r>
        <w:rPr>
          <w:sz w:val="22"/>
          <w:szCs w:val="22"/>
        </w:rPr>
        <w:t xml:space="preserve">Short-lived access tokens (e.g. 15 min) + longer-lived refresh tokens stored in httpOnly, secure, sameSite cookies — never in localStorage, which is readable by any injected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Rate limiting on auth endpoints: </w:t>
      </w:r>
      <w:r>
        <w:rPr>
          <w:sz w:val="22"/>
          <w:szCs w:val="22"/>
        </w:rPr>
        <w:t xml:space="preserve">Limit login/OTP attempts per IP and per account to block brute-force and OTP-spam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Role-based access control (RBAC): </w:t>
      </w:r>
      <w:r>
        <w:rPr>
          <w:sz w:val="22"/>
          <w:szCs w:val="22"/>
        </w:rPr>
        <w:t xml:space="preserve">Every API route checks both "is this user authenticated" and "does this user's role permit this action" — Receptionist should get a 403 on doctor-only routes even with a valid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Tenant-scoped sessions: </w:t>
      </w:r>
      <w:r>
        <w:rPr>
          <w:sz w:val="22"/>
          <w:szCs w:val="22"/>
        </w:rPr>
        <w:t xml:space="preserve">A logged-in user's token includes their tenant_id; every downstream query is filtered by it — this is the single most important control in the whole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Super Admin isolation: </w:t>
      </w:r>
      <w:r>
        <w:rPr>
          <w:sz w:val="22"/>
          <w:szCs w:val="22"/>
        </w:rPr>
        <w:t xml:space="preserve">The platform Super Admin panel uses entirely separate credentials and, ideally, a separate subdomain/deployment from clinic-facing apps, so a clinic-side compromise can't reach it</w:t>
      </w:r>
    </w:p>
    <w:p>
      <w:pPr>
        <w:pStyle w:val="Heading1"/>
        <w:spacing w:after="200" w:before="400"/>
      </w:pPr>
      <w:r>
        <w:t xml:space="preserve">4.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Encryption in transit: </w:t>
      </w:r>
      <w:r>
        <w:rPr>
          <w:sz w:val="22"/>
          <w:szCs w:val="22"/>
        </w:rPr>
        <w:t xml:space="preserve">TLS everywhere (HTTPS only, HTTP redirects to HTTPS) — non-negotiable given health data is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Encryption at rest: </w:t>
      </w:r>
      <w:r>
        <w:rPr>
          <w:sz w:val="22"/>
          <w:szCs w:val="22"/>
        </w:rPr>
        <w:t xml:space="preserve">Database-level encryption for the underlying storage volume, plus field-level encryption for the most sensitive fields (diagnosis notes, prescriptions) if the hosting provider doesn't already cover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Tenant isolation enforcement: </w:t>
      </w:r>
      <w:r>
        <w:rPr>
          <w:sz w:val="22"/>
          <w:szCs w:val="22"/>
        </w:rPr>
        <w:t xml:space="preserve">Prefer PostgreSQL Row-Level Security (RLS) policies keyed on tenant_id as a database-level backstop, in addition to application-level filtering — defense in depth, so an application bug alone can't leak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File storage access control: </w:t>
      </w:r>
      <w:r>
        <w:rPr>
          <w:sz w:val="22"/>
          <w:szCs w:val="22"/>
        </w:rPr>
        <w:t xml:space="preserve">Prescriptions, lab reports, and KYC documents in S3 (or equivalent) use signed, time-limited URLs — never public buckets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Backups: </w:t>
      </w:r>
      <w:r>
        <w:rPr>
          <w:sz w:val="22"/>
          <w:szCs w:val="22"/>
        </w:rPr>
        <w:t xml:space="preserve">Automated daily database backups, encrypted, with periodic restore drills — untested backups are not a real recovery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 minimization: </w:t>
      </w:r>
      <w:r>
        <w:rPr>
          <w:sz w:val="22"/>
          <w:szCs w:val="22"/>
        </w:rPr>
        <w:t xml:space="preserve">Collect only what each module actually needs; don't ask for or store data "in case it's useful later"</w:t>
      </w:r>
    </w:p>
    <w:p>
      <w:pPr>
        <w:pStyle w:val="Heading1"/>
        <w:spacing w:after="200" w:before="400"/>
      </w:pPr>
      <w:r>
        <w:t xml:space="preserve">5. API &amp; Application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Input validation: </w:t>
      </w:r>
      <w:r>
        <w:rPr>
          <w:sz w:val="22"/>
          <w:szCs w:val="22"/>
        </w:rPr>
        <w:t xml:space="preserve">Validate and sanitize every write path (already a stated requirement in your original backend assignment) — reject malformed emails, missing fields, and unexpected types before they reach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SQL injection protection: </w:t>
      </w:r>
      <w:r>
        <w:rPr>
          <w:sz w:val="22"/>
          <w:szCs w:val="22"/>
        </w:rPr>
        <w:t xml:space="preserve">Use parameterized queries via the ORM (Sequelize/Prisma) exclusively — never string-concatenate raw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License/feature-gate enforcement at the API layer: </w:t>
      </w:r>
      <w:r>
        <w:rPr>
          <w:sz w:val="22"/>
          <w:szCs w:val="22"/>
        </w:rPr>
        <w:t xml:space="preserve">This is ClinicOS's specific must-have: every module route (pharmacy, reports, multi-branch, etc.) independently checks the tenant's active plan server-side before returning data — the frontend lock is UX only, never the real boundary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CORS policy: </w:t>
      </w:r>
      <w:r>
        <w:rPr>
          <w:sz w:val="22"/>
          <w:szCs w:val="22"/>
        </w:rPr>
        <w:t xml:space="preserve">Restrict allowed origins to your own frontend domains — don't leave CORS wide open ("*") on any endpoint that returns tenant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CSRF protection: </w:t>
      </w:r>
      <w:r>
        <w:rPr>
          <w:sz w:val="22"/>
          <w:szCs w:val="22"/>
        </w:rPr>
        <w:t xml:space="preserve">Required if using cookie-based auth — use CSRF tokens or sameSite cookie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Dependency hygiene: </w:t>
      </w:r>
      <w:r>
        <w:rPr>
          <w:sz w:val="22"/>
          <w:szCs w:val="22"/>
        </w:rPr>
        <w:t xml:space="preserve">Run `npm audit` (or equivalent) in CI, and set up Dependabot/Renovate so known-vulnerable packages get flagged automatically rather than discovered manually</w:t>
      </w:r>
    </w:p>
    <w:p>
      <w:pPr>
        <w:pStyle w:val="Heading1"/>
        <w:spacing w:after="200" w:before="400"/>
      </w:pPr>
      <w:r>
        <w:t xml:space="preserve">6. Infrastructure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Secrets management: </w:t>
      </w:r>
      <w:r>
        <w:rPr>
          <w:sz w:val="22"/>
          <w:szCs w:val="22"/>
        </w:rPr>
        <w:t xml:space="preserve">Database credentials, JWT secrets, Razorpay keys, and AWS keys live in environment variables or a secrets manager — never committed to the GitHub repo, even a private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Server hardening: </w:t>
      </w:r>
      <w:r>
        <w:rPr>
          <w:sz w:val="22"/>
          <w:szCs w:val="22"/>
        </w:rPr>
        <w:t xml:space="preserve">AWS EC2 security groups restrict inbound traffic to only required ports (443, and SSH from your IP only, not 0.0.0.0/0)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Principle of least privilege: </w:t>
      </w:r>
      <w:r>
        <w:rPr>
          <w:sz w:val="22"/>
          <w:szCs w:val="22"/>
        </w:rPr>
        <w:t xml:space="preserve">IAM roles/users for CI/CD and the app server get only the permissions they actually need — not full AWS admin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CI/CD pipeline security: </w:t>
      </w:r>
      <w:r>
        <w:rPr>
          <w:sz w:val="22"/>
          <w:szCs w:val="22"/>
        </w:rPr>
        <w:t xml:space="preserve">GitHub Actions secrets used for deployment credentials, never hardcoded in workflow files; review who has push access to main/deploy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Nginx/reverse proxy config: </w:t>
      </w:r>
      <w:r>
        <w:rPr>
          <w:sz w:val="22"/>
          <w:szCs w:val="22"/>
        </w:rPr>
        <w:t xml:space="preserve">Disable server version headers, enforce HTTPS, set security headers (HSTS, X-Content-Type-Options, X-Frame-Options)</w:t>
      </w:r>
    </w:p>
    <w:p>
      <w:pPr>
        <w:pStyle w:val="Heading1"/>
        <w:spacing w:after="200" w:before="400"/>
      </w:pPr>
      <w:r>
        <w:t xml:space="preserve">7. Payment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Never touch raw card data: </w:t>
      </w:r>
      <w:r>
        <w:rPr>
          <w:sz w:val="22"/>
          <w:szCs w:val="22"/>
        </w:rPr>
        <w:t xml:space="preserve">All payment collection goes through Razorpay's hosted checkout/SDK — ClinicOS's own servers should never see or store card numbers, keeping you outside PCI-DSS scope for card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Verify payments server-side: </w:t>
      </w:r>
      <w:r>
        <w:rPr>
          <w:sz w:val="22"/>
          <w:szCs w:val="22"/>
        </w:rPr>
        <w:t xml:space="preserve">Always confirm a subscription payment via Razorpay's webhook + signature verification before marking a tenant's license as active — never trust a client-side "payment successful" callback alone, since that's directly spoofable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Separate the two money flows: </w:t>
      </w:r>
      <w:r>
        <w:rPr>
          <w:sz w:val="22"/>
          <w:szCs w:val="22"/>
        </w:rPr>
        <w:t xml:space="preserve">The clinic's own patient billing (data entry, not necessarily a live gateway transaction) and the clinic's subscription payment to you are different schemas and different trust levels — don't let logic for one leak into the other</w:t>
      </w:r>
    </w:p>
    <w:p>
      <w:pPr>
        <w:pStyle w:val="Heading1"/>
        <w:spacing w:after="200" w:before="400"/>
      </w:pPr>
      <w:r>
        <w:t xml:space="preserve">8. Compliance Considerations (India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DPDP Act, 2023: </w:t>
      </w:r>
      <w:r>
        <w:rPr>
          <w:sz w:val="22"/>
          <w:szCs w:val="22"/>
        </w:rPr>
        <w:t xml:space="preserve">Patient and clinic data is personal data under India's Digital Personal Data Protection Act — you'll need a clear consent flow at signup, a documented lawful purpose for processing health data, and a way to honor data deletion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Health data sensitivity: </w:t>
      </w:r>
      <w:r>
        <w:rPr>
          <w:sz w:val="22"/>
          <w:szCs w:val="22"/>
        </w:rPr>
        <w:t xml:space="preserve">Diagnosis, prescriptions, and vitals are sensitive personal data by nature — apply the strictest access controls to these fields specifically, even relative to other patient PII like name/phone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 retention policy: </w:t>
      </w:r>
      <w:r>
        <w:rPr>
          <w:sz w:val="22"/>
          <w:szCs w:val="22"/>
        </w:rPr>
        <w:t xml:space="preserve">Define how long patient records are kept after a clinic cancels its subscription, and document it in your terms — don't leave this undefined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Clinic-side responsibility: </w:t>
      </w:r>
      <w:r>
        <w:rPr>
          <w:sz w:val="22"/>
          <w:szCs w:val="22"/>
        </w:rPr>
        <w:t xml:space="preserve">As a B2B platform, ClinicOS is a data processor for each clinic (the data controller) — your terms of service should make this relationship explicit</w:t>
      </w:r>
    </w:p>
    <w:p>
      <w:pPr>
        <w:pStyle w:val="Heading1"/>
        <w:spacing w:after="200" w:before="400"/>
      </w:pPr>
      <w:r>
        <w:t xml:space="preserve">9. Audit Logging &amp;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Access logs for patient records: </w:t>
      </w:r>
      <w:r>
        <w:rPr>
          <w:sz w:val="22"/>
          <w:szCs w:val="22"/>
        </w:rPr>
        <w:t xml:space="preserve">Log who viewed or modified a patient's record and when — this protects both the clinic (dispute resolution) and you (proof of due diligence in a breach investigation)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License/billing change logs: </w:t>
      </w:r>
      <w:r>
        <w:rPr>
          <w:sz w:val="22"/>
          <w:szCs w:val="22"/>
        </w:rPr>
        <w:t xml:space="preserve">Every plan upgrade, downgrade, or manual override in the Super Admin panel should be logged with which admin performed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Centralized error tracking: </w:t>
      </w:r>
      <w:r>
        <w:rPr>
          <w:sz w:val="22"/>
          <w:szCs w:val="22"/>
        </w:rPr>
        <w:t xml:space="preserve">Use a tool like Sentry so failed requests and exceptions are visible immediately, not discovered from a clinic's complaint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Uptime monitoring: </w:t>
      </w:r>
      <w:r>
        <w:rPr>
          <w:sz w:val="22"/>
          <w:szCs w:val="22"/>
        </w:rPr>
        <w:t xml:space="preserve">External uptime checks on the API and each clinic-facing surface — front-desk billing going down during clinic hours is a severe outage for that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Alerting on anomalies: </w:t>
      </w:r>
      <w:r>
        <w:rPr>
          <w:sz w:val="22"/>
          <w:szCs w:val="22"/>
        </w:rPr>
        <w:t xml:space="preserve">Flag unusual patterns automatically — e.g. one account hitting the login endpoint 50 times in a minute, or a sudden spike in a single tenant's data export requests</w:t>
      </w:r>
    </w:p>
    <w:p>
      <w:pPr>
        <w:pStyle w:val="Heading1"/>
        <w:spacing w:after="200" w:before="400"/>
      </w:pPr>
      <w:r>
        <w:t xml:space="preserve">10. Incident Response — Baseline Plan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Even a lightweight version of this matters once real clinics and real patient data are involved: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Identify: monitoring/alerting or a report surfaces a suspected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Contain: revoke affected tokens/sessions, disable the affected account or endpoint if needed, without deleting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Assess scope: which tenant(s) and which data were affected — this determines notification obligations.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Notify: affected clinics (and, depending on scope/law, potentially regulators) with a clear, factual account of what happened.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 &amp; document: patch the root cause, then write up what happened and what changed — this record is also useful for future audits or investor/partner due diligence.</w:t>
      </w:r>
    </w:p>
    <w:p>
      <w:pPr>
        <w:pStyle w:val="Heading1"/>
        <w:spacing w:after="200" w:before="400"/>
      </w:pPr>
      <w:r>
        <w:t xml:space="preserve">11. Pre-Launch Security Checklist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21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 if skipped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Passwords hashed with bcrypt/argon2, never plaintext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JWT access tokens short-lived; refresh tokens in httpOnly cookies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Every API query scoped by tenant_id; spot-checked with a cross-tenant test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Row-Level Security enabled on core tables as a DB-level backstop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Every paid-feature API route checks license/plan server-side, not just the frontend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HTTPS enforced everywhere, HTTP requests redirected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Razorpay webhook signature verification implemented before activating any license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 secrets committed to the repo; .env files gitignored and confirmed absent from history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AWS security groups restrict SSH to known IPs only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Rate limiting on login, OTP, and password-reset endpoints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File uploads (KYC docs, reports) served via signed, expiring URLs only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Automated backups running and at least one restore drill completed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Basic audit log in place for patient record access and license changes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Sentry (or equivalent) and uptime monitoring wired up before go-live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`npm audit` run and clean (or documented exceptions) before deploy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Privacy policy and data retention terms published and linked at signup</w:t>
            </w:r>
          </w:p>
        </w:tc>
        <w:tc>
          <w:tcPr>
            <w:tcW w:type="dxa" w:w="21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200" w:before="400"/>
      </w:pPr>
      <w:r>
        <w:t xml:space="preserve">12. Ongoing Practices (Post-Launch)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Re-run the cross-tenant isolation test whenever a new module or API route is added — this is the recurring check most likely to be forgotten under feature-delivery pressure.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and rotate secrets (JWT signing key, API keys) on a set schedule, and immediately if any team member with access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dependencies updated on a regular cadence rather than only reactively — Dependabot PRs reviewed weekly, not left to accumulate.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 the platform grows, consider a periodic third-party penetration test, especially before any large hospital-chain (Enterprise tier) deal where their own security due diligence will ask for it.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B7280"/>
        <w:sz w:val="16"/>
        <w:szCs w:val="16"/>
      </w:rPr>
      <w:t xml:space="preserve">ClinicOS — Security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2026-07-14T12:01:08.027Z</dcterms:created>
  <dcterms:modified xsi:type="dcterms:W3CDTF">2026-07-14T12:01:08.053Z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