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SAATHI — Improvements &amp; Future Scope</w:t>
      </w:r>
    </w:p>
    <w:p>
      <w:pPr>
        <w:jc w:val="center"/>
      </w:pPr>
      <w:r>
        <w:rPr>
          <w:i/>
          <w:sz w:val="18"/>
        </w:rPr>
        <w:t>SIH26093 | NeuroNex | Brief Roadmap</w:t>
      </w:r>
    </w:p>
    <w:p>
      <w:pPr>
        <w:spacing w:before="120" w:after="40"/>
      </w:pPr>
      <w:r>
        <w:rPr>
          <w:b/>
          <w:sz w:val="23"/>
        </w:rPr>
        <w:t>1. Highest-Priority Improvements</w:t>
      </w:r>
    </w:p>
    <w:p>
      <w:pPr>
        <w:pStyle w:val="ListBullet"/>
        <w:spacing w:after="30"/>
        <w:ind w:left="259"/>
      </w:pPr>
      <w:r>
        <w:t>Interaction Integrity &amp; Abuse Detection — detect spam, bot-like/repeated submissions and replayed or synthetic audio; never suppress a possible emergency.</w:t>
      </w:r>
    </w:p>
    <w:p>
      <w:pPr>
        <w:pStyle w:val="ListBullet"/>
        <w:spacing w:after="30"/>
        <w:ind w:left="259"/>
      </w:pPr>
      <w:r>
        <w:t>Explicit Safety Escalation — Critical Safety Flag → Immediate Human Review → Human Decision → Appropriate Action.</w:t>
      </w:r>
    </w:p>
    <w:p>
      <w:pPr>
        <w:pStyle w:val="ListBullet"/>
        <w:spacing w:after="30"/>
        <w:ind w:left="259"/>
      </w:pPr>
      <w:r>
        <w:t>Confidence-Aware Fusion — reduce the influence of missing/low-quality modalities and re-normalise the remaining signals.</w:t>
      </w:r>
    </w:p>
    <w:p>
      <w:pPr>
        <w:pStyle w:val="ListBullet"/>
        <w:spacing w:after="30"/>
        <w:ind w:left="259"/>
      </w:pPr>
      <w:r>
        <w:t>Failure-Case &amp; Latency Testing — test noisy audio, ASR errors, partial transcripts, missing inputs and safety edge cases.</w:t>
      </w:r>
    </w:p>
    <w:p>
      <w:pPr>
        <w:spacing w:before="120" w:after="40"/>
      </w:pPr>
      <w:r>
        <w:rPr>
          <w:b/>
          <w:sz w:val="23"/>
        </w:rPr>
        <w:t>2. High-Value Features if SIH Time Allows</w:t>
      </w:r>
    </w:p>
    <w:p>
      <w:pPr>
        <w:pStyle w:val="ListBullet"/>
        <w:spacing w:after="30"/>
        <w:ind w:left="259"/>
      </w:pPr>
      <w:r>
        <w:t>Silent SOS / Quick Exit — discreet keypad/DTMF or quick-exit mechanisms for users who cannot safely speak.</w:t>
      </w:r>
    </w:p>
    <w:p>
      <w:pPr>
        <w:pStyle w:val="ListBullet"/>
        <w:spacing w:after="30"/>
        <w:ind w:left="259"/>
      </w:pPr>
      <w:r>
        <w:t>Operator Co-Pilot — 2–3 pre-approved, editable response suggestions; nothing is sent automatically.</w:t>
      </w:r>
    </w:p>
    <w:p>
      <w:pPr>
        <w:pStyle w:val="ListBullet"/>
        <w:spacing w:after="30"/>
        <w:ind w:left="259"/>
      </w:pPr>
      <w:r>
        <w:t>Low-Bandwidth / Feature-Phone Fallback — DTMF check-ins and, later, optional SMS support.</w:t>
      </w:r>
    </w:p>
    <w:p>
      <w:pPr>
        <w:pStyle w:val="ListBullet"/>
        <w:spacing w:after="30"/>
        <w:ind w:left="259"/>
      </w:pPr>
      <w:r>
        <w:t>Stronger Validation Proof — controlled safety tests, ASR examples, classifier metrics, confidence behaviour and end-to-end latency.</w:t>
      </w:r>
    </w:p>
    <w:p>
      <w:pPr>
        <w:spacing w:before="120" w:after="40"/>
      </w:pPr>
      <w:r>
        <w:rPr>
          <w:b/>
          <w:sz w:val="23"/>
        </w:rPr>
        <w:t>3. Mandatory Before Real Deployment</w:t>
      </w:r>
    </w:p>
    <w:p>
      <w:pPr>
        <w:pStyle w:val="ListBullet"/>
        <w:spacing w:after="30"/>
        <w:ind w:left="259"/>
      </w:pPr>
      <w:r>
        <w:t>Representative, consented Indian-language validation data with expert-reviewed labels.</w:t>
      </w:r>
    </w:p>
    <w:p>
      <w:pPr>
        <w:pStyle w:val="ListBullet"/>
        <w:spacing w:after="30"/>
        <w:ind w:left="259"/>
      </w:pPr>
      <w:r>
        <w:t>Fairness evaluation across language/dialect and other relevant groups; measure false positives and false negatives.</w:t>
      </w:r>
    </w:p>
    <w:p>
      <w:pPr>
        <w:pStyle w:val="ListBullet"/>
        <w:spacing w:after="30"/>
        <w:ind w:left="259"/>
      </w:pPr>
      <w:r>
        <w:t>Clinical review so SAATHI is not presented or used as a diagnostic tool.</w:t>
      </w:r>
    </w:p>
    <w:p>
      <w:pPr>
        <w:pStyle w:val="ListBullet"/>
        <w:spacing w:after="30"/>
        <w:ind w:left="259"/>
      </w:pPr>
      <w:r>
        <w:t>Legal review covering consent, sensitive complaints, escalation and data retention.</w:t>
      </w:r>
    </w:p>
    <w:p>
      <w:pPr>
        <w:pStyle w:val="ListBullet"/>
        <w:spacing w:after="30"/>
        <w:ind w:left="259"/>
      </w:pPr>
      <w:r>
        <w:t>Security testing of authentication, APIs, storage, access control and the AI pipeline.</w:t>
      </w:r>
    </w:p>
    <w:p>
      <w:pPr>
        <w:pStyle w:val="ListBullet"/>
        <w:spacing w:after="30"/>
        <w:ind w:left="259"/>
      </w:pPr>
      <w:r>
        <w:t>Authorised NHAA / 14566 integration before operational deployment.</w:t>
      </w:r>
    </w:p>
    <w:p>
      <w:pPr>
        <w:spacing w:before="120" w:after="40"/>
      </w:pPr>
      <w:r>
        <w:rPr>
          <w:b/>
          <w:sz w:val="23"/>
        </w:rPr>
        <w:t>4. Future / Roadmap Scope</w:t>
      </w:r>
    </w:p>
    <w:p>
      <w:pPr>
        <w:pStyle w:val="ListBullet"/>
        <w:spacing w:after="30"/>
        <w:ind w:left="259"/>
      </w:pPr>
      <w:r>
        <w:t>Cross-session priority and vulnerability trends.</w:t>
      </w:r>
    </w:p>
    <w:p>
      <w:pPr>
        <w:pStyle w:val="ListBullet"/>
        <w:spacing w:after="30"/>
        <w:ind w:left="259"/>
      </w:pPr>
      <w:r>
        <w:t>More Indian languages with language-specific evaluation.</w:t>
      </w:r>
    </w:p>
    <w:p>
      <w:pPr>
        <w:pStyle w:val="ListBullet"/>
        <w:spacing w:after="30"/>
        <w:ind w:left="259"/>
      </w:pPr>
      <w:r>
        <w:t>Advanced speech-emotion / speech-embedding models after suitable validation.</w:t>
      </w:r>
    </w:p>
    <w:p>
      <w:pPr>
        <w:pStyle w:val="ListBullet"/>
        <w:spacing w:after="30"/>
        <w:ind w:left="259"/>
      </w:pPr>
      <w:r>
        <w:t>Edge-first acoustic privacy to minimise unnecessary raw-audio movement or retention.</w:t>
      </w:r>
    </w:p>
    <w:p>
      <w:pPr>
        <w:pStyle w:val="ListBullet"/>
        <w:spacing w:after="30"/>
        <w:ind w:left="259"/>
      </w:pPr>
      <w:r>
        <w:t>Counsellor/operator training simulator using synthetic cases.</w:t>
      </w:r>
    </w:p>
    <w:p>
      <w:pPr>
        <w:pStyle w:val="ListBullet"/>
        <w:spacing w:after="30"/>
        <w:ind w:left="259"/>
      </w:pPr>
      <w:r>
        <w:t>Voice liveness / anti-spoofing.</w:t>
      </w:r>
    </w:p>
    <w:p>
      <w:pPr>
        <w:pStyle w:val="ListBullet"/>
        <w:spacing w:after="30"/>
        <w:ind w:left="259"/>
      </w:pPr>
      <w:r>
        <w:t>Scalable infrastructure only when real traffic justifies it.</w:t>
      </w:r>
    </w:p>
    <w:p>
      <w:pPr>
        <w:spacing w:before="120" w:after="40"/>
      </w:pPr>
      <w:r>
        <w:rPr>
          <w:b/>
          <w:sz w:val="23"/>
        </w:rPr>
        <w:t>5. Recommended SIH Focus</w:t>
      </w:r>
    </w:p>
    <w:p>
      <w:pPr>
        <w:spacing w:after="40"/>
      </w:pPr>
      <w:r>
        <w:rPr>
          <w:b/>
        </w:rPr>
        <w:t xml:space="preserve">Build first: </w:t>
      </w:r>
      <w:r>
        <w:t>Safety Engine + human-review bypass, confidence-aware fusion, core assessment pipeline, evidence dashboard, interaction-integrity basics, explicit escalation and focused failure testing.</w:t>
      </w:r>
    </w:p>
    <w:p>
      <w:pPr>
        <w:spacing w:after="40"/>
      </w:pPr>
      <w:r>
        <w:rPr>
          <w:b/>
        </w:rPr>
        <w:t xml:space="preserve">Add if time remains: </w:t>
      </w:r>
      <w:r>
        <w:t>Silent SOS, Operator Co-Pilot, low-bandwidth fallback and stronger visible validation.</w:t>
      </w:r>
    </w:p>
    <w:p>
      <w:pPr>
        <w:spacing w:after="40"/>
      </w:pPr>
      <w:r>
        <w:rPr>
          <w:b/>
        </w:rPr>
        <w:t xml:space="preserve">Present as roadmap: </w:t>
      </w:r>
      <w:r>
        <w:t>cross-session trends, more languages, advanced speech models, training simulator, edge privacy and scalable infrastructure.</w:t>
      </w:r>
    </w:p>
    <w:p>
      <w:pPr>
        <w:spacing w:before="120" w:after="40"/>
      </w:pPr>
      <w:r>
        <w:rPr>
          <w:b/>
          <w:sz w:val="23"/>
        </w:rPr>
        <w:t>6. Core Principle</w:t>
      </w:r>
    </w:p>
    <w:p>
      <w:r>
        <w:rPr>
          <w:b/>
        </w:rPr>
        <w:t>Safety &gt; Integrity Score &gt; Priority Score</w:t>
      </w:r>
      <w:r>
        <w:t xml:space="preserve"> — safety signals must never be buried by scoring or rejected because an interaction appears unusual.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SAATHI | SIH26093 | Improvements &amp; Future Scope —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