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00000"/>
          <w:sz w:val="18"/>
          <w:szCs w:val="18"/>
        </w:rPr>
        <w:t xml:space="preserve">SIH 2026 · SIH26093</w:t>
      </w:r>
    </w:p>
    <w:p>
      <w:pPr>
        <w:spacing w:after="60"/>
      </w:pPr>
      <w:r>
        <w:rPr>
          <w:b/>
          <w:bCs/>
          <w:color w:val="1F3864"/>
          <w:sz w:val="32"/>
          <w:szCs w:val="32"/>
        </w:rPr>
        <w:t xml:space="preserve">SAATHI — Tech Stack &amp; Model Choices</w:t>
      </w:r>
    </w:p>
    <w:p>
      <w:pPr>
        <w:spacing w:after="200"/>
      </w:pPr>
      <w:r>
        <w:rPr>
          <w:i/>
          <w:iCs/>
          <w:color w:val="595959"/>
          <w:sz w:val="19"/>
          <w:szCs w:val="19"/>
        </w:rPr>
        <w:t xml:space="preserve">The engineering side of SAATHI — what we're building with, model by model and layer by layer, and why.</w:t>
      </w:r>
    </w:p>
    <w:p>
      <w:pPr>
        <w:spacing w:after="200" w:line="268"/>
      </w:pPr>
      <w:r>
        <w:rPr>
          <w:i/>
          <w:iCs/>
          <w:color w:val="595959"/>
          <w:sz w:val="18"/>
          <w:szCs w:val="18"/>
        </w:rPr>
        <w:t xml:space="preserve">Update note (PPT prep pass): Section 14 now includes three verified, checkable citations for the models this stack already names — MuRIL, IndicBERT (via the IndicNLPSuite paper), and IndicConformer. IndicConformer is flagged as a model/repo release rather than a peer-reviewed paper, since that's what a search actually turned up — don't cite it as one on the slide. No model choices or weights changed.</w:t>
      </w:r>
    </w:p>
    <w:p>
      <w:pPr>
        <w:pStyle w:val="Heading1"/>
        <w:spacing w:after="140" w:before="340"/>
      </w:pPr>
      <w:r>
        <w:rPr>
          <w:b/>
          <w:bCs/>
          <w:color w:val="1F3864"/>
          <w:sz w:val="28"/>
          <w:szCs w:val="28"/>
        </w:rPr>
        <w:t xml:space="preserve">1. Speech-to-Text</w:t>
      </w:r>
    </w:p>
    <w:p>
      <w:pPr>
        <w:spacing w:after="130" w:line="268"/>
      </w:pPr>
      <w:r>
        <w:rPr>
          <w:sz w:val="21"/>
          <w:szCs w:val="21"/>
        </w:rPr>
        <w:t xml:space="preserve">We're building on an existing Indian-language speech model rather than training one from the ground up — no reason to spend hackathon hours re-solving a problem that's already solved well.</w:t>
      </w:r>
    </w:p>
    <w:p>
      <w:pPr>
        <w:pStyle w:val="ListParagraph"/>
        <w:numPr>
          <w:ilvl w:val="0"/>
          <w:numId w:val="2"/>
        </w:numPr>
        <w:spacing w:after="80" w:line="268"/>
      </w:pPr>
      <w:r>
        <w:rPr>
          <w:b/>
          <w:bCs/>
          <w:sz w:val="21"/>
          <w:szCs w:val="21"/>
        </w:rPr>
        <w:t xml:space="preserve">AI4Bharat IndicConformer / IndicWhisper </w:t>
      </w:r>
      <w:r>
        <w:rPr>
          <w:sz w:val="21"/>
          <w:szCs w:val="21"/>
        </w:rPr>
        <w:t xml:space="preserve">— open-source, built specifically for Indian languages, and fast enough to run in real time. This is our default.</w:t>
      </w:r>
    </w:p>
    <w:p>
      <w:pPr>
        <w:pStyle w:val="ListParagraph"/>
        <w:numPr>
          <w:ilvl w:val="0"/>
          <w:numId w:val="2"/>
        </w:numPr>
        <w:spacing w:after="80" w:line="268"/>
      </w:pPr>
      <w:r>
        <w:rPr>
          <w:b/>
          <w:bCs/>
          <w:sz w:val="21"/>
          <w:szCs w:val="21"/>
        </w:rPr>
        <w:t xml:space="preserve">OpenAI Whisper (base/small/medium) </w:t>
      </w:r>
      <w:r>
        <w:rPr>
          <w:sz w:val="21"/>
          <w:szCs w:val="21"/>
        </w:rPr>
        <w:t xml:space="preserve">— a strong general multilingual fallback, and genuinely the fastest thing to get running if IndicConformer integration eats more time than expected.</w:t>
      </w:r>
    </w:p>
    <w:p>
      <w:pPr>
        <w:pStyle w:val="ListParagraph"/>
        <w:numPr>
          <w:ilvl w:val="0"/>
          <w:numId w:val="2"/>
        </w:numPr>
        <w:spacing w:after="80" w:line="268"/>
      </w:pPr>
      <w:r>
        <w:rPr>
          <w:b/>
          <w:bCs/>
          <w:sz w:val="21"/>
          <w:szCs w:val="21"/>
        </w:rPr>
        <w:t xml:space="preserve">Bhashini ASR API </w:t>
      </w:r>
      <w:r>
        <w:rPr>
          <w:sz w:val="21"/>
          <w:szCs w:val="21"/>
        </w:rPr>
        <w:t xml:space="preserve">— government-backed and already aligned with how a production NHAA integration would likely work; worth naming explicitly as the eventual path even if we don't wire it in during the hackathon.</w:t>
      </w:r>
    </w:p>
    <w:p>
      <w:pPr>
        <w:pStyle w:val="Heading1"/>
        <w:spacing w:after="140" w:before="340"/>
      </w:pPr>
      <w:r>
        <w:rPr>
          <w:b/>
          <w:bCs/>
          <w:color w:val="1F3864"/>
          <w:sz w:val="28"/>
          <w:szCs w:val="28"/>
        </w:rPr>
        <w:t xml:space="preserve">2. Reading the Words: Text Distress/Urgency Model</w:t>
      </w:r>
    </w:p>
    <w:p>
      <w:pPr>
        <w:pStyle w:val="ListParagraph"/>
        <w:numPr>
          <w:ilvl w:val="0"/>
          <w:numId w:val="2"/>
        </w:numPr>
        <w:spacing w:after="80" w:line="268"/>
      </w:pPr>
      <w:r>
        <w:rPr>
          <w:b/>
          <w:bCs/>
          <w:sz w:val="21"/>
          <w:szCs w:val="21"/>
        </w:rPr>
        <w:t xml:space="preserve">MuRIL, IndicBERT, or XLM-RoBERTa-base </w:t>
      </w:r>
      <w:r>
        <w:rPr>
          <w:sz w:val="21"/>
          <w:szCs w:val="21"/>
        </w:rPr>
        <w:t xml:space="preserve">as the base — all handle Hindi-English code-mixing reasonably well. We fine-tune a small classification head on top using Hugging Face Transformers, over a fixed set of operational labels (fear, sadness, anger, panic/distress, hopelessness, intimidation, immediate danger, help-seeking, neutral/other) — deliberately never a ‘trauma diagnosis’ label.</w:t>
      </w:r>
    </w:p>
    <w:p>
      <w:pPr>
        <w:pStyle w:val="ListParagraph"/>
        <w:numPr>
          <w:ilvl w:val="0"/>
          <w:numId w:val="2"/>
        </w:numPr>
        <w:spacing w:after="80" w:line="268"/>
      </w:pPr>
      <w:r>
        <w:rPr>
          <w:b/>
          <w:bCs/>
          <w:sz w:val="21"/>
          <w:szCs w:val="21"/>
        </w:rPr>
        <w:t xml:space="preserve">If time is genuinely short: </w:t>
      </w:r>
      <w:r>
        <w:rPr>
          <w:sz w:val="21"/>
          <w:szCs w:val="21"/>
        </w:rPr>
        <w:t xml:space="preserve">a small instruction-tuned LLM — an open-weight model like Llama 3 8B or Mistral 7B Instruct, or a small API-based model — can substitute, given the same fixed label set and forced to return one of those labels and nothing else. Faster to stand up than fine-tuning, at some cost to consistency and offline reliability.</w:t>
      </w:r>
    </w:p>
    <w:p>
      <w:pPr>
        <w:pStyle w:val="Heading1"/>
        <w:spacing w:after="140" w:before="340"/>
      </w:pPr>
      <w:r>
        <w:rPr>
          <w:b/>
          <w:bCs/>
          <w:color w:val="1F3864"/>
          <w:sz w:val="28"/>
          <w:szCs w:val="28"/>
        </w:rPr>
        <w:t xml:space="preserve">3. Listening to How It's Said: Acoustic Indicators</w:t>
      </w:r>
    </w:p>
    <w:p>
      <w:pPr>
        <w:spacing w:after="130" w:line="268"/>
      </w:pPr>
      <w:r>
        <w:rPr>
          <w:sz w:val="21"/>
          <w:szCs w:val="21"/>
        </w:rPr>
        <w:t xml:space="preserve">For the hackathon build, we're not training an emotion-recognition model on audio — that needs more labelled data and time than we realistically have. Instead we compute straightforward, interpretable prosodic features directly from the waveform — pitch variation, energy, speaking rate, pause ratio, voice activity ratio — and show them on the dashboard as acoustic distress indicators, not as a trained classifier's verdict.</w:t>
      </w:r>
    </w:p>
    <w:p>
      <w:pPr>
        <w:pStyle w:val="ListParagraph"/>
        <w:numPr>
          <w:ilvl w:val="0"/>
          <w:numId w:val="2"/>
        </w:numPr>
        <w:spacing w:after="80" w:line="268"/>
      </w:pPr>
      <w:r>
        <w:rPr>
          <w:b/>
          <w:bCs/>
          <w:sz w:val="21"/>
          <w:szCs w:val="21"/>
        </w:rPr>
        <w:t xml:space="preserve">librosa </w:t>
      </w:r>
      <w:r>
        <w:rPr>
          <w:sz w:val="21"/>
          <w:szCs w:val="21"/>
        </w:rPr>
        <w:t xml:space="preserve">(Python) — the fastest route to pitch, energy, speaking rate, and pause ratio; our default for the MVP.</w:t>
      </w:r>
    </w:p>
    <w:p>
      <w:pPr>
        <w:pStyle w:val="ListParagraph"/>
        <w:numPr>
          <w:ilvl w:val="0"/>
          <w:numId w:val="2"/>
        </w:numPr>
        <w:spacing w:after="80" w:line="268"/>
      </w:pPr>
      <w:r>
        <w:rPr>
          <w:b/>
          <w:bCs/>
          <w:sz w:val="21"/>
          <w:szCs w:val="21"/>
        </w:rPr>
        <w:t xml:space="preserve">parselmouth </w:t>
      </w:r>
      <w:r>
        <w:rPr>
          <w:sz w:val="21"/>
          <w:szCs w:val="21"/>
        </w:rPr>
        <w:t xml:space="preserve">(a Python wrapper around Praat) — noticeably better pitch/prosody accuracy, worth pulling in if there's time to integrate it.</w:t>
      </w:r>
    </w:p>
    <w:p>
      <w:pPr>
        <w:pStyle w:val="ListParagraph"/>
        <w:numPr>
          <w:ilvl w:val="0"/>
          <w:numId w:val="2"/>
        </w:numPr>
        <w:spacing w:after="80" w:line="268"/>
      </w:pPr>
      <w:r>
        <w:rPr>
          <w:b/>
          <w:bCs/>
          <w:sz w:val="21"/>
          <w:szCs w:val="21"/>
        </w:rPr>
        <w:t xml:space="preserve">openSMILE or pyAudioAnalysis </w:t>
      </w:r>
      <w:r>
        <w:rPr>
          <w:sz w:val="21"/>
          <w:szCs w:val="21"/>
        </w:rPr>
        <w:t xml:space="preserve">— heavier, more complete feature sets; a natural next step for a production version rather than something to force into a 36-hour build.</w:t>
      </w:r>
    </w:p>
    <w:p>
      <w:pPr>
        <w:spacing w:after="130" w:line="268"/>
      </w:pPr>
      <w:r>
        <w:rPr>
          <w:sz w:val="21"/>
          <w:szCs w:val="21"/>
        </w:rPr>
        <w:t xml:space="preserve">Once there's enough validated audio to work with, this heuristic layer can be upgraded to or supplemented with a small pretrained speech-emotion embedding model — a sensible next step, not a hackathon requirement.</w:t>
      </w:r>
    </w:p>
    <w:p>
      <w:pPr>
        <w:pStyle w:val="Heading1"/>
        <w:spacing w:after="140" w:before="340"/>
      </w:pPr>
      <w:r>
        <w:rPr>
          <w:b/>
          <w:bCs/>
          <w:color w:val="1F3864"/>
          <w:sz w:val="28"/>
          <w:szCs w:val="28"/>
        </w:rPr>
        <w:t xml:space="preserve">4. Watching for Danger: the Safety/Urgency Engine</w:t>
      </w:r>
    </w:p>
    <w:p>
      <w:pPr>
        <w:spacing w:after="130" w:line="268"/>
      </w:pPr>
      <w:r>
        <w:rPr>
          <w:sz w:val="21"/>
          <w:szCs w:val="21"/>
        </w:rPr>
        <w:t xml:space="preserve">This one runs independently of everything else, and a positive flag always routes straight to a human — never to an automated decision.</w:t>
      </w:r>
    </w:p>
    <w:p>
      <w:pPr>
        <w:pStyle w:val="ListParagraph"/>
        <w:numPr>
          <w:ilvl w:val="0"/>
          <w:numId w:val="2"/>
        </w:numPr>
        <w:spacing w:after="80" w:line="268"/>
      </w:pPr>
      <w:r>
        <w:rPr>
          <w:b/>
          <w:bCs/>
          <w:sz w:val="21"/>
          <w:szCs w:val="21"/>
        </w:rPr>
        <w:t xml:space="preserve">Rule-based core: </w:t>
      </w:r>
      <w:r>
        <w:rPr>
          <w:sz w:val="21"/>
          <w:szCs w:val="21"/>
        </w:rPr>
        <w:t xml:space="preserve">curated keyword and phrase lists plus regex patterns, per language, reviewed by whoever's playing the domain-expert role on the team. Predictable, auditable, and easy to explain to a judge who asks how it actually works.</w:t>
      </w:r>
    </w:p>
    <w:p>
      <w:pPr>
        <w:pStyle w:val="ListParagraph"/>
        <w:numPr>
          <w:ilvl w:val="0"/>
          <w:numId w:val="2"/>
        </w:numPr>
        <w:spacing w:after="80" w:line="268"/>
      </w:pPr>
      <w:r>
        <w:rPr>
          <w:b/>
          <w:bCs/>
          <w:sz w:val="21"/>
          <w:szCs w:val="21"/>
        </w:rPr>
        <w:t xml:space="preserve">An optional second opinion: </w:t>
      </w:r>
      <w:r>
        <w:rPr>
          <w:sz w:val="21"/>
          <w:szCs w:val="21"/>
        </w:rPr>
        <w:t xml:space="preserve">a small fine-tuned classifier (logistic regression over text embeddings works fine) can run alongside the rules, but the rules stay the primary gate.</w:t>
      </w:r>
    </w:p>
    <w:p>
      <w:pPr>
        <w:pStyle w:val="ListParagraph"/>
        <w:numPr>
          <w:ilvl w:val="0"/>
          <w:numId w:val="2"/>
        </w:numPr>
        <w:spacing w:after="80" w:line="268"/>
      </w:pPr>
      <w:r>
        <w:rPr>
          <w:b/>
          <w:bCs/>
          <w:sz w:val="21"/>
          <w:szCs w:val="21"/>
        </w:rPr>
        <w:t xml:space="preserve">Why not an LLM here: </w:t>
      </w:r>
      <w:r>
        <w:rPr>
          <w:sz w:val="21"/>
          <w:szCs w:val="21"/>
        </w:rPr>
        <w:t xml:space="preserve">a general-purpose LLM's output isn't fully predictable, and a missed or hallucinated safety read is the worst failure mode this system could have. Rule-based detection gives guaranteed, testable recall on the specific phrases it's built to catch — which matters more here than flexibility does.</w:t>
      </w:r>
    </w:p>
    <w:p>
      <w:pPr>
        <w:pStyle w:val="Heading1"/>
        <w:spacing w:after="140" w:before="340"/>
      </w:pPr>
      <w:r>
        <w:rPr>
          <w:b/>
          <w:bCs/>
          <w:color w:val="1F3864"/>
          <w:sz w:val="28"/>
          <w:szCs w:val="28"/>
        </w:rPr>
        <w:t xml:space="preserve">5. Bringing It Together: Confidence-Aware Fusion</w:t>
      </w:r>
    </w:p>
    <w:p>
      <w:pPr>
        <w:spacing w:after="130" w:line="268"/>
      </w:pPr>
      <w:r>
        <w:rPr>
          <w:sz w:val="21"/>
          <w:szCs w:val="21"/>
        </w:rPr>
        <w:t xml:space="preserve">No deep learning needed for this part — a weighted-scoring function, or a lightweight logistic regression over the component scores and their confidence values if we want a bit more rigour, is enough to combine everything and re-normalise when a signal's missing. Keeping it simple also means it's easy to explain live and easy to re-weight on the spot if a judge asks a pointed question about it.</w:t>
      </w:r>
    </w:p>
    <w:p>
      <w:pPr>
        <w:spacing w:after="130" w:line="268"/>
      </w:pPr>
      <w:r>
        <w:rPr>
          <w:sz w:val="21"/>
          <w:szCs w:val="21"/>
        </w:rPr>
        <w:t xml:space="preserve">Starting weights, adjusted dynamically depending on what's actually available for a given interaction:</w:t>
      </w:r>
    </w:p>
    <w:p>
      <w:pPr>
        <w:pStyle w:val="ListParagraph"/>
        <w:numPr>
          <w:ilvl w:val="0"/>
          <w:numId w:val="2"/>
        </w:numPr>
        <w:spacing w:after="80" w:line="268"/>
      </w:pPr>
      <w:r>
        <w:rPr>
          <w:sz w:val="21"/>
          <w:szCs w:val="21"/>
        </w:rPr>
        <w:t xml:space="preserve">Text distress score: 30%</w:t>
      </w:r>
    </w:p>
    <w:p>
      <w:pPr>
        <w:pStyle w:val="ListParagraph"/>
        <w:numPr>
          <w:ilvl w:val="0"/>
          <w:numId w:val="2"/>
        </w:numPr>
        <w:spacing w:after="80" w:line="268"/>
      </w:pPr>
      <w:r>
        <w:rPr>
          <w:sz w:val="21"/>
          <w:szCs w:val="21"/>
        </w:rPr>
        <w:t xml:space="preserve">Acoustic indicator score: 20%</w:t>
      </w:r>
    </w:p>
    <w:p>
      <w:pPr>
        <w:pStyle w:val="ListParagraph"/>
        <w:numPr>
          <w:ilvl w:val="0"/>
          <w:numId w:val="2"/>
        </w:numPr>
        <w:spacing w:after="80" w:line="268"/>
      </w:pPr>
      <w:r>
        <w:rPr>
          <w:sz w:val="21"/>
          <w:szCs w:val="21"/>
        </w:rPr>
        <w:t xml:space="preserve">Structured self-report check-in: 20%</w:t>
      </w:r>
    </w:p>
    <w:p>
      <w:pPr>
        <w:pStyle w:val="ListParagraph"/>
        <w:numPr>
          <w:ilvl w:val="0"/>
          <w:numId w:val="2"/>
        </w:numPr>
        <w:spacing w:after="80" w:line="268"/>
      </w:pPr>
      <w:r>
        <w:rPr>
          <w:sz w:val="21"/>
          <w:szCs w:val="21"/>
        </w:rPr>
        <w:t xml:space="preserve">Context from the safety engine (non-critical signals): 30%</w:t>
      </w:r>
    </w:p>
    <w:p>
      <w:pPr>
        <w:spacing w:after="130" w:line="268"/>
      </w:pPr>
      <w:r>
        <w:rPr>
          <w:sz w:val="21"/>
          <w:szCs w:val="21"/>
        </w:rPr>
        <w:t xml:space="preserve">A text-only chat session, for example, has no acoustic signal at all, so the weighting shifts to lean on text, check-in answers, and safety context instead of treating the missing signal as neutral. That maps to four Priority Level bands: Low Priority (0–24, normal workflow), Moderate (25–49, offer support and monitor), High (50–74, prioritised human review), and Urgent (75–100, immediate review) — with a live safety flag always overriding to immediate review regardless of what the score itself shows.</w:t>
      </w:r>
    </w:p>
    <w:p>
      <w:pPr>
        <w:pStyle w:val="Heading1"/>
        <w:spacing w:after="140" w:before="340"/>
      </w:pPr>
      <w:r>
        <w:rPr>
          <w:b/>
          <w:bCs/>
          <w:color w:val="1F3864"/>
          <w:sz w:val="28"/>
          <w:szCs w:val="28"/>
        </w:rPr>
        <w:t xml:space="preserve">6. The Operator Co-Pilot</w:t>
      </w:r>
    </w:p>
    <w:p>
      <w:pPr>
        <w:spacing w:after="130" w:line="268"/>
      </w:pPr>
      <w:r>
        <w:rPr>
          <w:sz w:val="21"/>
          <w:szCs w:val="21"/>
        </w:rPr>
        <w:t xml:space="preserve">This is deliberately split into two separate jobs, so the risky part (generating text) stays as constrained as possible.</w:t>
      </w:r>
    </w:p>
    <w:p>
      <w:pPr>
        <w:pStyle w:val="ListParagraph"/>
        <w:numPr>
          <w:ilvl w:val="0"/>
          <w:numId w:val="2"/>
        </w:numPr>
        <w:spacing w:after="80" w:line="268"/>
      </w:pPr>
      <w:r>
        <w:rPr>
          <w:b/>
          <w:bCs/>
          <w:sz w:val="21"/>
          <w:szCs w:val="21"/>
        </w:rPr>
        <w:t xml:space="preserve">Template retrieval: </w:t>
      </w:r>
      <w:r>
        <w:rPr>
          <w:sz w:val="21"/>
          <w:szCs w:val="21"/>
        </w:rPr>
        <w:t xml:space="preserve">a multilingual sentence-embedding model — multilingual-e5, LaBSE, or IndicSBERT — matches the detected context (risk band plus any active flags) to the closest pre-approved template in a small library.</w:t>
      </w:r>
    </w:p>
    <w:p>
      <w:pPr>
        <w:pStyle w:val="ListParagraph"/>
        <w:numPr>
          <w:ilvl w:val="0"/>
          <w:numId w:val="2"/>
        </w:numPr>
        <w:spacing w:after="80" w:line="268"/>
      </w:pPr>
      <w:r>
        <w:rPr>
          <w:b/>
          <w:bCs/>
          <w:sz w:val="21"/>
          <w:szCs w:val="21"/>
        </w:rPr>
        <w:t xml:space="preserve">Wording only, from a small LLM: </w:t>
      </w:r>
      <w:r>
        <w:rPr>
          <w:sz w:val="21"/>
          <w:szCs w:val="21"/>
        </w:rPr>
        <w:t xml:space="preserve">an instruction-tuned model — open-weight Llama 3 8B / Mistral 7B, or a small API-based model such as Claude Haiku or GPT-4o-mini — is given a strict system prompt that lets it lightly reword the retrieved template for natural delivery. It can't introduce new advice, new facts, or a different intent than the template it was handed.</w:t>
      </w:r>
    </w:p>
    <w:p>
      <w:pPr>
        <w:spacing w:after="130" w:line="268"/>
      </w:pPr>
      <w:r>
        <w:rPr>
          <w:sz w:val="21"/>
          <w:szCs w:val="21"/>
        </w:rPr>
        <w:t xml:space="preserve">That split keeps the content itself safe and pre-approved, keeps latency and cost low, and means every suggestion the operator sees can be traced straight back to a named template in the audit log.</w:t>
      </w:r>
    </w:p>
    <w:p>
      <w:pPr>
        <w:pStyle w:val="Heading1"/>
        <w:spacing w:after="140" w:before="340"/>
      </w:pPr>
      <w:r>
        <w:rPr>
          <w:b/>
          <w:bCs/>
          <w:color w:val="1F3864"/>
          <w:sz w:val="28"/>
          <w:szCs w:val="28"/>
        </w:rPr>
        <w:t xml:space="preserve">7. Where We're Deliberately Not Using an LLM</w:t>
      </w:r>
    </w:p>
    <w:p>
      <w:pPr>
        <w:pStyle w:val="ListParagraph"/>
        <w:numPr>
          <w:ilvl w:val="0"/>
          <w:numId w:val="2"/>
        </w:numPr>
        <w:spacing w:after="80" w:line="268"/>
      </w:pPr>
      <w:r>
        <w:rPr>
          <w:sz w:val="21"/>
          <w:szCs w:val="21"/>
        </w:rPr>
        <w:t xml:space="preserve">The safety engine, or anywhere in the Critical-flag decision path.</w:t>
      </w:r>
    </w:p>
    <w:p>
      <w:pPr>
        <w:pStyle w:val="ListParagraph"/>
        <w:numPr>
          <w:ilvl w:val="0"/>
          <w:numId w:val="2"/>
        </w:numPr>
        <w:spacing w:after="80" w:line="268"/>
      </w:pPr>
      <w:r>
        <w:rPr>
          <w:sz w:val="21"/>
          <w:szCs w:val="21"/>
        </w:rPr>
        <w:t xml:space="preserve">Deciding the final Priority Score — fusion stays a transparent, inspectable calculation, not a model call.</w:t>
      </w:r>
    </w:p>
    <w:p>
      <w:pPr>
        <w:pStyle w:val="ListParagraph"/>
        <w:numPr>
          <w:ilvl w:val="0"/>
          <w:numId w:val="2"/>
        </w:numPr>
        <w:spacing w:after="80" w:line="268"/>
      </w:pPr>
      <w:r>
        <w:rPr>
          <w:sz w:val="21"/>
          <w:szCs w:val="21"/>
        </w:rPr>
        <w:t xml:space="preserve">Open-ended advice generation in the Co-Pilot — output is always retrieval plus light rewording, never free generation.</w:t>
      </w:r>
    </w:p>
    <w:p>
      <w:pPr>
        <w:spacing w:after="130" w:line="268"/>
      </w:pPr>
      <w:r>
        <w:rPr>
          <w:i/>
          <w:iCs/>
          <w:color w:val="595959"/>
          <w:sz w:val="19"/>
          <w:szCs w:val="19"/>
        </w:rPr>
        <w:t xml:space="preserve">The underlying principle: LLMs get used where their fluency genuinely helps — mainly, phrasing something naturally — and kept away from anywhere a wrong or unpredictable output could directly cause harm.</w:t>
      </w:r>
    </w:p>
    <w:p>
      <w:pPr>
        <w:pStyle w:val="Heading1"/>
        <w:spacing w:after="140" w:before="340"/>
      </w:pPr>
      <w:r>
        <w:rPr>
          <w:b/>
          <w:bCs/>
          <w:color w:val="1F3864"/>
          <w:sz w:val="28"/>
          <w:szCs w:val="28"/>
        </w:rPr>
        <w:t xml:space="preserve">8. Component-by-Component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450"/>
      </w:tblGrid>
      <w:tr>
        <w:trPr>
          <w:tblHeader/>
        </w:trPr>
        <w:tc>
          <w:tcPr>
            <w:tcW w:type="dxa" w:w="2600"/>
            <w:shd w:fill="1F3864" w:val="clear"/>
            <w:tcMar>
              <w:top w:type="dxa" w:w="70"/>
              <w:left w:type="dxa" w:w="90"/>
              <w:bottom w:type="dxa" w:w="70"/>
              <w:right w:type="dxa" w:w="90"/>
            </w:tcMar>
          </w:tcPr>
          <w:p>
            <w:r>
              <w:rPr>
                <w:b/>
                <w:bCs/>
                <w:color w:val="FFFFFF"/>
                <w:sz w:val="18"/>
                <w:szCs w:val="18"/>
              </w:rPr>
              <w:t xml:space="preserve">Component</w:t>
            </w:r>
          </w:p>
        </w:tc>
        <w:tc>
          <w:tcPr>
            <w:tcW w:type="dxa" w:w="3300"/>
            <w:shd w:fill="1F3864" w:val="clear"/>
            <w:tcMar>
              <w:top w:type="dxa" w:w="70"/>
              <w:left w:type="dxa" w:w="90"/>
              <w:bottom w:type="dxa" w:w="70"/>
              <w:right w:type="dxa" w:w="90"/>
            </w:tcMar>
          </w:tcPr>
          <w:p>
            <w:r>
              <w:rPr>
                <w:b/>
                <w:bCs/>
                <w:color w:val="FFFFFF"/>
                <w:sz w:val="18"/>
                <w:szCs w:val="18"/>
              </w:rPr>
              <w:t xml:space="preserve">Recommended</w:t>
            </w:r>
          </w:p>
        </w:tc>
        <w:tc>
          <w:tcPr>
            <w:tcW w:type="dxa" w:w="3450"/>
            <w:shd w:fill="1F3864" w:val="clear"/>
            <w:tcMar>
              <w:top w:type="dxa" w:w="70"/>
              <w:left w:type="dxa" w:w="90"/>
              <w:bottom w:type="dxa" w:w="70"/>
              <w:right w:type="dxa" w:w="90"/>
            </w:tcMar>
          </w:tcPr>
          <w:p>
            <w:r>
              <w:rPr>
                <w:b/>
                <w:bCs/>
                <w:color w:val="FFFFFF"/>
                <w:sz w:val="18"/>
                <w:szCs w:val="18"/>
              </w:rPr>
              <w:t xml:space="preserve">Notes</w:t>
            </w:r>
          </w:p>
        </w:tc>
      </w:tr>
      <w:tr>
        <w:tc>
          <w:tcPr>
            <w:tcW w:type="dxa" w:w="2600"/>
            <w:tcMar>
              <w:top w:type="dxa" w:w="60"/>
              <w:left w:type="dxa" w:w="90"/>
              <w:bottom w:type="dxa" w:w="60"/>
              <w:right w:type="dxa" w:w="90"/>
            </w:tcMar>
          </w:tcPr>
          <w:p>
            <w:r>
              <w:rPr>
                <w:sz w:val="18"/>
                <w:szCs w:val="18"/>
              </w:rPr>
              <w:t xml:space="preserve">ASR</w:t>
            </w:r>
          </w:p>
        </w:tc>
        <w:tc>
          <w:tcPr>
            <w:tcW w:type="dxa" w:w="3300"/>
            <w:tcMar>
              <w:top w:type="dxa" w:w="60"/>
              <w:left w:type="dxa" w:w="90"/>
              <w:bottom w:type="dxa" w:w="60"/>
              <w:right w:type="dxa" w:w="90"/>
            </w:tcMar>
          </w:tcPr>
          <w:p>
            <w:r>
              <w:rPr>
                <w:sz w:val="18"/>
                <w:szCs w:val="18"/>
              </w:rPr>
              <w:t xml:space="preserve">AI4Bharat IndicConformer</w:t>
            </w:r>
          </w:p>
        </w:tc>
        <w:tc>
          <w:tcPr>
            <w:tcW w:type="dxa" w:w="3450"/>
            <w:tcMar>
              <w:top w:type="dxa" w:w="60"/>
              <w:left w:type="dxa" w:w="90"/>
              <w:bottom w:type="dxa" w:w="60"/>
              <w:right w:type="dxa" w:w="90"/>
            </w:tcMar>
          </w:tcPr>
          <w:p>
            <w:r>
              <w:rPr>
                <w:sz w:val="18"/>
                <w:szCs w:val="18"/>
              </w:rPr>
              <w:t xml:space="preserve">Whisper as fallback; Bhashini API as the production path</w:t>
            </w:r>
          </w:p>
        </w:tc>
      </w:tr>
      <w:tr>
        <w:tc>
          <w:tcPr>
            <w:tcW w:type="dxa" w:w="2600"/>
            <w:tcMar>
              <w:top w:type="dxa" w:w="60"/>
              <w:left w:type="dxa" w:w="90"/>
              <w:bottom w:type="dxa" w:w="60"/>
              <w:right w:type="dxa" w:w="90"/>
            </w:tcMar>
          </w:tcPr>
          <w:p>
            <w:r>
              <w:rPr>
                <w:sz w:val="18"/>
                <w:szCs w:val="18"/>
              </w:rPr>
              <w:t xml:space="preserve">Text distress model</w:t>
            </w:r>
          </w:p>
        </w:tc>
        <w:tc>
          <w:tcPr>
            <w:tcW w:type="dxa" w:w="3300"/>
            <w:tcMar>
              <w:top w:type="dxa" w:w="60"/>
              <w:left w:type="dxa" w:w="90"/>
              <w:bottom w:type="dxa" w:w="60"/>
              <w:right w:type="dxa" w:w="90"/>
            </w:tcMar>
          </w:tcPr>
          <w:p>
            <w:r>
              <w:rPr>
                <w:sz w:val="18"/>
                <w:szCs w:val="18"/>
              </w:rPr>
              <w:t xml:space="preserve">MuRIL / IndicBERT fine-tune</w:t>
            </w:r>
          </w:p>
        </w:tc>
        <w:tc>
          <w:tcPr>
            <w:tcW w:type="dxa" w:w="3450"/>
            <w:tcMar>
              <w:top w:type="dxa" w:w="60"/>
              <w:left w:type="dxa" w:w="90"/>
              <w:bottom w:type="dxa" w:w="60"/>
              <w:right w:type="dxa" w:w="90"/>
            </w:tcMar>
          </w:tcPr>
          <w:p>
            <w:r>
              <w:rPr>
                <w:sz w:val="18"/>
                <w:szCs w:val="18"/>
              </w:rPr>
              <w:t xml:space="preserve">Small LLM with fixed labels if time-constrained</w:t>
            </w:r>
          </w:p>
        </w:tc>
      </w:tr>
      <w:tr>
        <w:tc>
          <w:tcPr>
            <w:tcW w:type="dxa" w:w="2600"/>
            <w:tcMar>
              <w:top w:type="dxa" w:w="60"/>
              <w:left w:type="dxa" w:w="90"/>
              <w:bottom w:type="dxa" w:w="60"/>
              <w:right w:type="dxa" w:w="90"/>
            </w:tcMar>
          </w:tcPr>
          <w:p>
            <w:r>
              <w:rPr>
                <w:sz w:val="18"/>
                <w:szCs w:val="18"/>
              </w:rPr>
              <w:t xml:space="preserve">Acoustic indicators</w:t>
            </w:r>
          </w:p>
        </w:tc>
        <w:tc>
          <w:tcPr>
            <w:tcW w:type="dxa" w:w="3300"/>
            <w:tcMar>
              <w:top w:type="dxa" w:w="60"/>
              <w:left w:type="dxa" w:w="90"/>
              <w:bottom w:type="dxa" w:w="60"/>
              <w:right w:type="dxa" w:w="90"/>
            </w:tcMar>
          </w:tcPr>
          <w:p>
            <w:r>
              <w:rPr>
                <w:sz w:val="18"/>
                <w:szCs w:val="18"/>
              </w:rPr>
              <w:t xml:space="preserve">librosa</w:t>
            </w:r>
          </w:p>
        </w:tc>
        <w:tc>
          <w:tcPr>
            <w:tcW w:type="dxa" w:w="3450"/>
            <w:tcMar>
              <w:top w:type="dxa" w:w="60"/>
              <w:left w:type="dxa" w:w="90"/>
              <w:bottom w:type="dxa" w:w="60"/>
              <w:right w:type="dxa" w:w="90"/>
            </w:tcMar>
          </w:tcPr>
          <w:p>
            <w:r>
              <w:rPr>
                <w:sz w:val="18"/>
                <w:szCs w:val="18"/>
              </w:rPr>
              <w:t xml:space="preserve">parselmouth for better prosody accuracy</w:t>
            </w:r>
          </w:p>
        </w:tc>
      </w:tr>
      <w:tr>
        <w:tc>
          <w:tcPr>
            <w:tcW w:type="dxa" w:w="2600"/>
            <w:tcMar>
              <w:top w:type="dxa" w:w="60"/>
              <w:left w:type="dxa" w:w="90"/>
              <w:bottom w:type="dxa" w:w="60"/>
              <w:right w:type="dxa" w:w="90"/>
            </w:tcMar>
          </w:tcPr>
          <w:p>
            <w:r>
              <w:rPr>
                <w:sz w:val="18"/>
                <w:szCs w:val="18"/>
              </w:rPr>
              <w:t xml:space="preserve">Safety engine</w:t>
            </w:r>
          </w:p>
        </w:tc>
        <w:tc>
          <w:tcPr>
            <w:tcW w:type="dxa" w:w="3300"/>
            <w:tcMar>
              <w:top w:type="dxa" w:w="60"/>
              <w:left w:type="dxa" w:w="90"/>
              <w:bottom w:type="dxa" w:w="60"/>
              <w:right w:type="dxa" w:w="90"/>
            </w:tcMar>
          </w:tcPr>
          <w:p>
            <w:r>
              <w:rPr>
                <w:sz w:val="18"/>
                <w:szCs w:val="18"/>
              </w:rPr>
              <w:t xml:space="preserve">Rule/regex-based</w:t>
            </w:r>
          </w:p>
        </w:tc>
        <w:tc>
          <w:tcPr>
            <w:tcW w:type="dxa" w:w="3450"/>
            <w:tcMar>
              <w:top w:type="dxa" w:w="60"/>
              <w:left w:type="dxa" w:w="90"/>
              <w:bottom w:type="dxa" w:w="60"/>
              <w:right w:type="dxa" w:w="90"/>
            </w:tcMar>
          </w:tcPr>
          <w:p>
            <w:r>
              <w:rPr>
                <w:sz w:val="18"/>
                <w:szCs w:val="18"/>
              </w:rPr>
              <w:t xml:space="preserve">No LLM — predictable recall matters more than flexibility here</w:t>
            </w:r>
          </w:p>
        </w:tc>
      </w:tr>
      <w:tr>
        <w:tc>
          <w:tcPr>
            <w:tcW w:type="dxa" w:w="2600"/>
            <w:tcMar>
              <w:top w:type="dxa" w:w="60"/>
              <w:left w:type="dxa" w:w="90"/>
              <w:bottom w:type="dxa" w:w="60"/>
              <w:right w:type="dxa" w:w="90"/>
            </w:tcMar>
          </w:tcPr>
          <w:p>
            <w:r>
              <w:rPr>
                <w:sz w:val="18"/>
                <w:szCs w:val="18"/>
              </w:rPr>
              <w:t xml:space="preserve">Fusion</w:t>
            </w:r>
          </w:p>
        </w:tc>
        <w:tc>
          <w:tcPr>
            <w:tcW w:type="dxa" w:w="3300"/>
            <w:tcMar>
              <w:top w:type="dxa" w:w="60"/>
              <w:left w:type="dxa" w:w="90"/>
              <w:bottom w:type="dxa" w:w="60"/>
              <w:right w:type="dxa" w:w="90"/>
            </w:tcMar>
          </w:tcPr>
          <w:p>
            <w:r>
              <w:rPr>
                <w:sz w:val="18"/>
                <w:szCs w:val="18"/>
              </w:rPr>
              <w:t xml:space="preserve">Weighted scoring / logistic regression</w:t>
            </w:r>
          </w:p>
        </w:tc>
        <w:tc>
          <w:tcPr>
            <w:tcW w:type="dxa" w:w="3450"/>
            <w:tcMar>
              <w:top w:type="dxa" w:w="60"/>
              <w:left w:type="dxa" w:w="90"/>
              <w:bottom w:type="dxa" w:w="60"/>
              <w:right w:type="dxa" w:w="90"/>
            </w:tcMar>
          </w:tcPr>
          <w:p>
            <w:r>
              <w:rPr>
                <w:sz w:val="18"/>
                <w:szCs w:val="18"/>
              </w:rPr>
              <w:t xml:space="preserve">No deep learning required</w:t>
            </w:r>
          </w:p>
        </w:tc>
      </w:tr>
      <w:tr>
        <w:tc>
          <w:tcPr>
            <w:tcW w:type="dxa" w:w="2600"/>
            <w:tcMar>
              <w:top w:type="dxa" w:w="60"/>
              <w:left w:type="dxa" w:w="90"/>
              <w:bottom w:type="dxa" w:w="60"/>
              <w:right w:type="dxa" w:w="90"/>
            </w:tcMar>
          </w:tcPr>
          <w:p>
            <w:r>
              <w:rPr>
                <w:sz w:val="18"/>
                <w:szCs w:val="18"/>
              </w:rPr>
              <w:t xml:space="preserve">Co-Pilot retrieval</w:t>
            </w:r>
          </w:p>
        </w:tc>
        <w:tc>
          <w:tcPr>
            <w:tcW w:type="dxa" w:w="3300"/>
            <w:tcMar>
              <w:top w:type="dxa" w:w="60"/>
              <w:left w:type="dxa" w:w="90"/>
              <w:bottom w:type="dxa" w:w="60"/>
              <w:right w:type="dxa" w:w="90"/>
            </w:tcMar>
          </w:tcPr>
          <w:p>
            <w:r>
              <w:rPr>
                <w:sz w:val="18"/>
                <w:szCs w:val="18"/>
              </w:rPr>
              <w:t xml:space="preserve">multilingual-e5 / LaBSE / IndicSBERT</w:t>
            </w:r>
          </w:p>
        </w:tc>
        <w:tc>
          <w:tcPr>
            <w:tcW w:type="dxa" w:w="3450"/>
            <w:tcMar>
              <w:top w:type="dxa" w:w="60"/>
              <w:left w:type="dxa" w:w="90"/>
              <w:bottom w:type="dxa" w:w="60"/>
              <w:right w:type="dxa" w:w="90"/>
            </w:tcMar>
          </w:tcPr>
          <w:p>
            <w:r>
              <w:rPr>
                <w:sz w:val="18"/>
                <w:szCs w:val="18"/>
              </w:rPr>
              <w:t xml:space="preserve">Matches context to a pre-approved template</w:t>
            </w:r>
          </w:p>
        </w:tc>
      </w:tr>
      <w:tr>
        <w:tc>
          <w:tcPr>
            <w:tcW w:type="dxa" w:w="2600"/>
            <w:tcMar>
              <w:top w:type="dxa" w:w="60"/>
              <w:left w:type="dxa" w:w="90"/>
              <w:bottom w:type="dxa" w:w="60"/>
              <w:right w:type="dxa" w:w="90"/>
            </w:tcMar>
          </w:tcPr>
          <w:p>
            <w:r>
              <w:rPr>
                <w:sz w:val="18"/>
                <w:szCs w:val="18"/>
              </w:rPr>
              <w:t xml:space="preserve">Co-Pilot wording</w:t>
            </w:r>
          </w:p>
        </w:tc>
        <w:tc>
          <w:tcPr>
            <w:tcW w:type="dxa" w:w="3300"/>
            <w:tcMar>
              <w:top w:type="dxa" w:w="60"/>
              <w:left w:type="dxa" w:w="90"/>
              <w:bottom w:type="dxa" w:w="60"/>
              <w:right w:type="dxa" w:w="90"/>
            </w:tcMar>
          </w:tcPr>
          <w:p>
            <w:r>
              <w:rPr>
                <w:sz w:val="18"/>
                <w:szCs w:val="18"/>
              </w:rPr>
              <w:t xml:space="preserve">Small instruction-tuned LLM</w:t>
            </w:r>
          </w:p>
        </w:tc>
        <w:tc>
          <w:tcPr>
            <w:tcW w:type="dxa" w:w="3450"/>
            <w:tcMar>
              <w:top w:type="dxa" w:w="60"/>
              <w:left w:type="dxa" w:w="90"/>
              <w:bottom w:type="dxa" w:w="60"/>
              <w:right w:type="dxa" w:w="90"/>
            </w:tcMar>
          </w:tcPr>
          <w:p>
            <w:r>
              <w:rPr>
                <w:sz w:val="18"/>
                <w:szCs w:val="18"/>
              </w:rPr>
              <w:t xml:space="preserve">Rewording only, template-constrained</w:t>
            </w:r>
          </w:p>
        </w:tc>
      </w:tr>
    </w:tbl>
    <w:p>
      <w:pPr>
        <w:pStyle w:val="Heading1"/>
        <w:spacing w:after="140" w:before="340"/>
      </w:pPr>
      <w:r>
        <w:rPr>
          <w:b/>
          <w:bCs/>
          <w:color w:val="1F3864"/>
          <w:sz w:val="28"/>
          <w:szCs w:val="28"/>
        </w:rPr>
        <w:t xml:space="preserve">9. Application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7"/>
        <w:gridCol w:w="3117"/>
        <w:gridCol w:w="3116"/>
      </w:tblGrid>
      <w:tr>
        <w:trPr>
          <w:tblHeader/>
        </w:trPr>
        <w:tc>
          <w:tcPr>
            <w:tcW w:type="dxa" w:w="3117"/>
            <w:shd w:fill="1F3864" w:val="clear"/>
            <w:tcMar>
              <w:top w:type="dxa" w:w="70"/>
              <w:left w:type="dxa" w:w="90"/>
              <w:bottom w:type="dxa" w:w="70"/>
              <w:right w:type="dxa" w:w="90"/>
            </w:tcMar>
          </w:tcPr>
          <w:p>
            <w:r>
              <w:rPr>
                <w:b/>
                <w:bCs/>
                <w:color w:val="FFFFFF"/>
                <w:sz w:val="18"/>
                <w:szCs w:val="18"/>
              </w:rPr>
              <w:t xml:space="preserve">Layer</w:t>
            </w:r>
          </w:p>
        </w:tc>
        <w:tc>
          <w:tcPr>
            <w:tcW w:type="dxa" w:w="3117"/>
            <w:shd w:fill="1F3864" w:val="clear"/>
            <w:tcMar>
              <w:top w:type="dxa" w:w="70"/>
              <w:left w:type="dxa" w:w="90"/>
              <w:bottom w:type="dxa" w:w="70"/>
              <w:right w:type="dxa" w:w="90"/>
            </w:tcMar>
          </w:tcPr>
          <w:p>
            <w:r>
              <w:rPr>
                <w:b/>
                <w:bCs/>
                <w:color w:val="FFFFFF"/>
                <w:sz w:val="18"/>
                <w:szCs w:val="18"/>
              </w:rPr>
              <w:t xml:space="preserve">Recommended</w:t>
            </w:r>
          </w:p>
        </w:tc>
        <w:tc>
          <w:tcPr>
            <w:tcW w:type="dxa" w:w="3116"/>
            <w:shd w:fill="1F3864" w:val="clear"/>
            <w:tcMar>
              <w:top w:type="dxa" w:w="70"/>
              <w:left w:type="dxa" w:w="90"/>
              <w:bottom w:type="dxa" w:w="70"/>
              <w:right w:type="dxa" w:w="90"/>
            </w:tcMar>
          </w:tcPr>
          <w:p>
            <w:r>
              <w:rPr>
                <w:b/>
                <w:bCs/>
                <w:color w:val="FFFFFF"/>
                <w:sz w:val="18"/>
                <w:szCs w:val="18"/>
              </w:rPr>
              <w:t xml:space="preserve">Alternative</w:t>
            </w:r>
          </w:p>
        </w:tc>
      </w:tr>
      <w:tr>
        <w:tc>
          <w:tcPr>
            <w:tcW w:type="dxa" w:w="3117"/>
            <w:tcMar>
              <w:top w:type="dxa" w:w="60"/>
              <w:left w:type="dxa" w:w="90"/>
              <w:bottom w:type="dxa" w:w="60"/>
              <w:right w:type="dxa" w:w="90"/>
            </w:tcMar>
          </w:tcPr>
          <w:p>
            <w:r>
              <w:rPr>
                <w:sz w:val="18"/>
                <w:szCs w:val="18"/>
              </w:rPr>
              <w:t xml:space="preserve">Frontend</w:t>
            </w:r>
          </w:p>
        </w:tc>
        <w:tc>
          <w:tcPr>
            <w:tcW w:type="dxa" w:w="3117"/>
            <w:tcMar>
              <w:top w:type="dxa" w:w="60"/>
              <w:left w:type="dxa" w:w="90"/>
              <w:bottom w:type="dxa" w:w="60"/>
              <w:right w:type="dxa" w:w="90"/>
            </w:tcMar>
          </w:tcPr>
          <w:p>
            <w:r>
              <w:rPr>
                <w:sz w:val="18"/>
                <w:szCs w:val="18"/>
              </w:rPr>
              <w:t xml:space="preserve">React / Next.js</w:t>
            </w:r>
          </w:p>
        </w:tc>
        <w:tc>
          <w:tcPr>
            <w:tcW w:type="dxa" w:w="3116"/>
            <w:tcMar>
              <w:top w:type="dxa" w:w="60"/>
              <w:left w:type="dxa" w:w="90"/>
              <w:bottom w:type="dxa" w:w="60"/>
              <w:right w:type="dxa" w:w="90"/>
            </w:tcMar>
          </w:tcPr>
          <w:p>
            <w:r>
              <w:rPr>
                <w:sz w:val="18"/>
                <w:szCs w:val="18"/>
              </w:rPr>
              <w:t xml:space="preserve">Flutter for mobile</w:t>
            </w:r>
          </w:p>
        </w:tc>
      </w:tr>
      <w:tr>
        <w:tc>
          <w:tcPr>
            <w:tcW w:type="dxa" w:w="3117"/>
            <w:tcMar>
              <w:top w:type="dxa" w:w="60"/>
              <w:left w:type="dxa" w:w="90"/>
              <w:bottom w:type="dxa" w:w="60"/>
              <w:right w:type="dxa" w:w="90"/>
            </w:tcMar>
          </w:tcPr>
          <w:p>
            <w:r>
              <w:rPr>
                <w:sz w:val="18"/>
                <w:szCs w:val="18"/>
              </w:rPr>
              <w:t xml:space="preserve">Backend</w:t>
            </w:r>
          </w:p>
        </w:tc>
        <w:tc>
          <w:tcPr>
            <w:tcW w:type="dxa" w:w="3117"/>
            <w:tcMar>
              <w:top w:type="dxa" w:w="60"/>
              <w:left w:type="dxa" w:w="90"/>
              <w:bottom w:type="dxa" w:w="60"/>
              <w:right w:type="dxa" w:w="90"/>
            </w:tcMar>
          </w:tcPr>
          <w:p>
            <w:r>
              <w:rPr>
                <w:sz w:val="18"/>
                <w:szCs w:val="18"/>
              </w:rPr>
              <w:t xml:space="preserve">FastAPI + Python</w:t>
            </w:r>
          </w:p>
        </w:tc>
        <w:tc>
          <w:tcPr>
            <w:tcW w:type="dxa" w:w="3116"/>
            <w:tcMar>
              <w:top w:type="dxa" w:w="60"/>
              <w:left w:type="dxa" w:w="90"/>
              <w:bottom w:type="dxa" w:w="60"/>
              <w:right w:type="dxa" w:w="90"/>
            </w:tcMar>
          </w:tcPr>
          <w:p>
            <w:r>
              <w:rPr>
                <w:sz w:val="18"/>
                <w:szCs w:val="18"/>
              </w:rPr>
              <w:t xml:space="preserve">Node.js gateway + Python AI service</w:t>
            </w:r>
          </w:p>
        </w:tc>
      </w:tr>
      <w:tr>
        <w:tc>
          <w:tcPr>
            <w:tcW w:type="dxa" w:w="3117"/>
            <w:tcMar>
              <w:top w:type="dxa" w:w="60"/>
              <w:left w:type="dxa" w:w="90"/>
              <w:bottom w:type="dxa" w:w="60"/>
              <w:right w:type="dxa" w:w="90"/>
            </w:tcMar>
          </w:tcPr>
          <w:p>
            <w:r>
              <w:rPr>
                <w:sz w:val="18"/>
                <w:szCs w:val="18"/>
              </w:rPr>
              <w:t xml:space="preserve">AI</w:t>
            </w:r>
          </w:p>
        </w:tc>
        <w:tc>
          <w:tcPr>
            <w:tcW w:type="dxa" w:w="3117"/>
            <w:tcMar>
              <w:top w:type="dxa" w:w="60"/>
              <w:left w:type="dxa" w:w="90"/>
              <w:bottom w:type="dxa" w:w="60"/>
              <w:right w:type="dxa" w:w="90"/>
            </w:tcMar>
          </w:tcPr>
          <w:p>
            <w:r>
              <w:rPr>
                <w:sz w:val="18"/>
                <w:szCs w:val="18"/>
              </w:rPr>
              <w:t xml:space="preserve">PyTorch + Hugging Face</w:t>
            </w:r>
          </w:p>
        </w:tc>
        <w:tc>
          <w:tcPr>
            <w:tcW w:type="dxa" w:w="3116"/>
            <w:tcMar>
              <w:top w:type="dxa" w:w="60"/>
              <w:left w:type="dxa" w:w="90"/>
              <w:bottom w:type="dxa" w:w="60"/>
              <w:right w:type="dxa" w:w="90"/>
            </w:tcMar>
          </w:tcPr>
          <w:p>
            <w:r>
              <w:rPr>
                <w:sz w:val="18"/>
                <w:szCs w:val="18"/>
              </w:rPr>
              <w:t xml:space="preserve">ONNX Runtime for deployment</w:t>
            </w:r>
          </w:p>
        </w:tc>
      </w:tr>
      <w:tr>
        <w:tc>
          <w:tcPr>
            <w:tcW w:type="dxa" w:w="3117"/>
            <w:tcMar>
              <w:top w:type="dxa" w:w="60"/>
              <w:left w:type="dxa" w:w="90"/>
              <w:bottom w:type="dxa" w:w="60"/>
              <w:right w:type="dxa" w:w="90"/>
            </w:tcMar>
          </w:tcPr>
          <w:p>
            <w:r>
              <w:rPr>
                <w:sz w:val="18"/>
                <w:szCs w:val="18"/>
              </w:rPr>
              <w:t xml:space="preserve">ASR</w:t>
            </w:r>
          </w:p>
        </w:tc>
        <w:tc>
          <w:tcPr>
            <w:tcW w:type="dxa" w:w="3117"/>
            <w:tcMar>
              <w:top w:type="dxa" w:w="60"/>
              <w:left w:type="dxa" w:w="90"/>
              <w:bottom w:type="dxa" w:w="60"/>
              <w:right w:type="dxa" w:w="90"/>
            </w:tcMar>
          </w:tcPr>
          <w:p>
            <w:r>
              <w:rPr>
                <w:sz w:val="18"/>
                <w:szCs w:val="18"/>
              </w:rPr>
              <w:t xml:space="preserve">AI4Bharat IndicConformer / Whisper</w:t>
            </w:r>
          </w:p>
        </w:tc>
        <w:tc>
          <w:tcPr>
            <w:tcW w:type="dxa" w:w="3116"/>
            <w:tcMar>
              <w:top w:type="dxa" w:w="60"/>
              <w:left w:type="dxa" w:w="90"/>
              <w:bottom w:type="dxa" w:w="60"/>
              <w:right w:type="dxa" w:w="90"/>
            </w:tcMar>
          </w:tcPr>
          <w:p>
            <w:r>
              <w:rPr>
                <w:sz w:val="18"/>
                <w:szCs w:val="18"/>
              </w:rPr>
              <w:t xml:space="preserve">Bhashini-compatible integration</w:t>
            </w:r>
          </w:p>
        </w:tc>
      </w:tr>
      <w:tr>
        <w:tc>
          <w:tcPr>
            <w:tcW w:type="dxa" w:w="3117"/>
            <w:tcMar>
              <w:top w:type="dxa" w:w="60"/>
              <w:left w:type="dxa" w:w="90"/>
              <w:bottom w:type="dxa" w:w="60"/>
              <w:right w:type="dxa" w:w="90"/>
            </w:tcMar>
          </w:tcPr>
          <w:p>
            <w:r>
              <w:rPr>
                <w:sz w:val="18"/>
                <w:szCs w:val="18"/>
              </w:rPr>
              <w:t xml:space="preserve">Database</w:t>
            </w:r>
          </w:p>
        </w:tc>
        <w:tc>
          <w:tcPr>
            <w:tcW w:type="dxa" w:w="3117"/>
            <w:tcMar>
              <w:top w:type="dxa" w:w="60"/>
              <w:left w:type="dxa" w:w="90"/>
              <w:bottom w:type="dxa" w:w="60"/>
              <w:right w:type="dxa" w:w="90"/>
            </w:tcMar>
          </w:tcPr>
          <w:p>
            <w:r>
              <w:rPr>
                <w:sz w:val="18"/>
                <w:szCs w:val="18"/>
              </w:rPr>
              <w:t xml:space="preserve">PostgreSQL</w:t>
            </w:r>
          </w:p>
        </w:tc>
        <w:tc>
          <w:tcPr>
            <w:tcW w:type="dxa" w:w="3116"/>
            <w:tcMar>
              <w:top w:type="dxa" w:w="60"/>
              <w:left w:type="dxa" w:w="90"/>
              <w:bottom w:type="dxa" w:w="60"/>
              <w:right w:type="dxa" w:w="90"/>
            </w:tcMar>
          </w:tcPr>
          <w:p>
            <w:r>
              <w:rPr>
                <w:sz w:val="18"/>
                <w:szCs w:val="18"/>
              </w:rPr>
              <w:t xml:space="preserve">Supabase</w:t>
            </w:r>
          </w:p>
        </w:tc>
      </w:tr>
      <w:tr>
        <w:tc>
          <w:tcPr>
            <w:tcW w:type="dxa" w:w="3117"/>
            <w:tcMar>
              <w:top w:type="dxa" w:w="60"/>
              <w:left w:type="dxa" w:w="90"/>
              <w:bottom w:type="dxa" w:w="60"/>
              <w:right w:type="dxa" w:w="90"/>
            </w:tcMar>
          </w:tcPr>
          <w:p>
            <w:r>
              <w:rPr>
                <w:sz w:val="18"/>
                <w:szCs w:val="18"/>
              </w:rPr>
              <w:t xml:space="preserve">Realtime</w:t>
            </w:r>
          </w:p>
        </w:tc>
        <w:tc>
          <w:tcPr>
            <w:tcW w:type="dxa" w:w="3117"/>
            <w:tcMar>
              <w:top w:type="dxa" w:w="60"/>
              <w:left w:type="dxa" w:w="90"/>
              <w:bottom w:type="dxa" w:w="60"/>
              <w:right w:type="dxa" w:w="90"/>
            </w:tcMar>
          </w:tcPr>
          <w:p>
            <w:r>
              <w:rPr>
                <w:sz w:val="18"/>
                <w:szCs w:val="18"/>
              </w:rPr>
              <w:t xml:space="preserve">WebSocket</w:t>
            </w:r>
          </w:p>
        </w:tc>
        <w:tc>
          <w:tcPr>
            <w:tcW w:type="dxa" w:w="3116"/>
            <w:tcMar>
              <w:top w:type="dxa" w:w="60"/>
              <w:left w:type="dxa" w:w="90"/>
              <w:bottom w:type="dxa" w:w="60"/>
              <w:right w:type="dxa" w:w="90"/>
            </w:tcMar>
          </w:tcPr>
          <w:p>
            <w:r>
              <w:rPr>
                <w:sz w:val="18"/>
                <w:szCs w:val="18"/>
              </w:rPr>
              <w:t xml:space="preserve">WebRTC where required</w:t>
            </w:r>
          </w:p>
        </w:tc>
      </w:tr>
      <w:tr>
        <w:tc>
          <w:tcPr>
            <w:tcW w:type="dxa" w:w="3117"/>
            <w:tcMar>
              <w:top w:type="dxa" w:w="60"/>
              <w:left w:type="dxa" w:w="90"/>
              <w:bottom w:type="dxa" w:w="60"/>
              <w:right w:type="dxa" w:w="90"/>
            </w:tcMar>
          </w:tcPr>
          <w:p>
            <w:r>
              <w:rPr>
                <w:sz w:val="18"/>
                <w:szCs w:val="18"/>
              </w:rPr>
              <w:t xml:space="preserve">Queue</w:t>
            </w:r>
          </w:p>
        </w:tc>
        <w:tc>
          <w:tcPr>
            <w:tcW w:type="dxa" w:w="3117"/>
            <w:tcMar>
              <w:top w:type="dxa" w:w="60"/>
              <w:left w:type="dxa" w:w="90"/>
              <w:bottom w:type="dxa" w:w="60"/>
              <w:right w:type="dxa" w:w="90"/>
            </w:tcMar>
          </w:tcPr>
          <w:p>
            <w:r>
              <w:rPr>
                <w:sz w:val="18"/>
                <w:szCs w:val="18"/>
              </w:rPr>
              <w:t xml:space="preserve">Redis</w:t>
            </w:r>
          </w:p>
        </w:tc>
        <w:tc>
          <w:tcPr>
            <w:tcW w:type="dxa" w:w="3116"/>
            <w:tcMar>
              <w:top w:type="dxa" w:w="60"/>
              <w:left w:type="dxa" w:w="90"/>
              <w:bottom w:type="dxa" w:w="60"/>
              <w:right w:type="dxa" w:w="90"/>
            </w:tcMar>
          </w:tcPr>
          <w:p>
            <w:r>
              <w:rPr>
                <w:sz w:val="18"/>
                <w:szCs w:val="18"/>
              </w:rPr>
              <w:t xml:space="preserve">RabbitMQ</w:t>
            </w:r>
          </w:p>
        </w:tc>
      </w:tr>
      <w:tr>
        <w:tc>
          <w:tcPr>
            <w:tcW w:type="dxa" w:w="3117"/>
            <w:tcMar>
              <w:top w:type="dxa" w:w="60"/>
              <w:left w:type="dxa" w:w="90"/>
              <w:bottom w:type="dxa" w:w="60"/>
              <w:right w:type="dxa" w:w="90"/>
            </w:tcMar>
          </w:tcPr>
          <w:p>
            <w:r>
              <w:rPr>
                <w:sz w:val="18"/>
                <w:szCs w:val="18"/>
              </w:rPr>
              <w:t xml:space="preserve">Storage</w:t>
            </w:r>
          </w:p>
        </w:tc>
        <w:tc>
          <w:tcPr>
            <w:tcW w:type="dxa" w:w="3117"/>
            <w:tcMar>
              <w:top w:type="dxa" w:w="60"/>
              <w:left w:type="dxa" w:w="90"/>
              <w:bottom w:type="dxa" w:w="60"/>
              <w:right w:type="dxa" w:w="90"/>
            </w:tcMar>
          </w:tcPr>
          <w:p>
            <w:r>
              <w:rPr>
                <w:sz w:val="18"/>
                <w:szCs w:val="18"/>
              </w:rPr>
              <w:t xml:space="preserve">Encrypted object storage</w:t>
            </w:r>
          </w:p>
        </w:tc>
        <w:tc>
          <w:tcPr>
            <w:tcW w:type="dxa" w:w="3116"/>
            <w:tcMar>
              <w:top w:type="dxa" w:w="60"/>
              <w:left w:type="dxa" w:w="90"/>
              <w:bottom w:type="dxa" w:w="60"/>
              <w:right w:type="dxa" w:w="90"/>
            </w:tcMar>
          </w:tcPr>
          <w:p>
            <w:r>
              <w:rPr>
                <w:sz w:val="18"/>
                <w:szCs w:val="18"/>
              </w:rPr>
              <w:t xml:space="preserve">S3-compatible storage</w:t>
            </w:r>
          </w:p>
        </w:tc>
      </w:tr>
      <w:tr>
        <w:tc>
          <w:tcPr>
            <w:tcW w:type="dxa" w:w="3117"/>
            <w:tcMar>
              <w:top w:type="dxa" w:w="60"/>
              <w:left w:type="dxa" w:w="90"/>
              <w:bottom w:type="dxa" w:w="60"/>
              <w:right w:type="dxa" w:w="90"/>
            </w:tcMar>
          </w:tcPr>
          <w:p>
            <w:r>
              <w:rPr>
                <w:sz w:val="18"/>
                <w:szCs w:val="18"/>
              </w:rPr>
              <w:t xml:space="preserve">Charts</w:t>
            </w:r>
          </w:p>
        </w:tc>
        <w:tc>
          <w:tcPr>
            <w:tcW w:type="dxa" w:w="3117"/>
            <w:tcMar>
              <w:top w:type="dxa" w:w="60"/>
              <w:left w:type="dxa" w:w="90"/>
              <w:bottom w:type="dxa" w:w="60"/>
              <w:right w:type="dxa" w:w="90"/>
            </w:tcMar>
          </w:tcPr>
          <w:p>
            <w:r>
              <w:rPr>
                <w:sz w:val="18"/>
                <w:szCs w:val="18"/>
              </w:rPr>
              <w:t xml:space="preserve">Recharts</w:t>
            </w:r>
          </w:p>
        </w:tc>
        <w:tc>
          <w:tcPr>
            <w:tcW w:type="dxa" w:w="3116"/>
            <w:tcMar>
              <w:top w:type="dxa" w:w="60"/>
              <w:left w:type="dxa" w:w="90"/>
              <w:bottom w:type="dxa" w:w="60"/>
              <w:right w:type="dxa" w:w="90"/>
            </w:tcMar>
          </w:tcPr>
          <w:p>
            <w:r>
              <w:rPr>
                <w:sz w:val="18"/>
                <w:szCs w:val="18"/>
              </w:rPr>
              <w:t xml:space="preserve">ECharts</w:t>
            </w:r>
          </w:p>
        </w:tc>
      </w:tr>
      <w:tr>
        <w:tc>
          <w:tcPr>
            <w:tcW w:type="dxa" w:w="3117"/>
            <w:tcMar>
              <w:top w:type="dxa" w:w="60"/>
              <w:left w:type="dxa" w:w="90"/>
              <w:bottom w:type="dxa" w:w="60"/>
              <w:right w:type="dxa" w:w="90"/>
            </w:tcMar>
          </w:tcPr>
          <w:p>
            <w:r>
              <w:rPr>
                <w:sz w:val="18"/>
                <w:szCs w:val="18"/>
              </w:rPr>
              <w:t xml:space="preserve">Deployment</w:t>
            </w:r>
          </w:p>
        </w:tc>
        <w:tc>
          <w:tcPr>
            <w:tcW w:type="dxa" w:w="3117"/>
            <w:tcMar>
              <w:top w:type="dxa" w:w="60"/>
              <w:left w:type="dxa" w:w="90"/>
              <w:bottom w:type="dxa" w:w="60"/>
              <w:right w:type="dxa" w:w="90"/>
            </w:tcMar>
          </w:tcPr>
          <w:p>
            <w:r>
              <w:rPr>
                <w:sz w:val="18"/>
                <w:szCs w:val="18"/>
              </w:rPr>
              <w:t xml:space="preserve">Docker + cloud VM</w:t>
            </w:r>
          </w:p>
        </w:tc>
        <w:tc>
          <w:tcPr>
            <w:tcW w:type="dxa" w:w="3116"/>
            <w:tcMar>
              <w:top w:type="dxa" w:w="60"/>
              <w:left w:type="dxa" w:w="90"/>
              <w:bottom w:type="dxa" w:w="60"/>
              <w:right w:type="dxa" w:w="90"/>
            </w:tcMar>
          </w:tcPr>
          <w:p>
            <w:r>
              <w:rPr>
                <w:sz w:val="18"/>
                <w:szCs w:val="18"/>
              </w:rPr>
              <w:t xml:space="preserve">Kubernetes later — more than SIH needs</w:t>
            </w:r>
          </w:p>
        </w:tc>
      </w:tr>
    </w:tbl>
    <w:p>
      <w:pPr>
        <w:pStyle w:val="Heading1"/>
        <w:spacing w:after="140" w:before="340"/>
      </w:pPr>
      <w:r>
        <w:rPr>
          <w:b/>
          <w:bCs/>
          <w:color w:val="1F3864"/>
          <w:sz w:val="28"/>
          <w:szCs w:val="28"/>
        </w:rPr>
        <w:t xml:space="preserve">10. Data Model</w:t>
      </w:r>
    </w:p>
    <w:p>
      <w:pPr>
        <w:spacing w:after="130" w:line="268"/>
      </w:pPr>
      <w:r>
        <w:rPr>
          <w:sz w:val="21"/>
          <w:szCs w:val="21"/>
        </w:rPr>
        <w:t xml:space="preserve">Assessments are tied to a specific interaction rather than just the case, so a case with several calls or messages behind it still has an unambiguous history.</w:t>
      </w:r>
    </w:p>
    <w:p>
      <w:pPr>
        <w:pStyle w:val="ListParagraph"/>
        <w:numPr>
          <w:ilvl w:val="0"/>
          <w:numId w:val="2"/>
        </w:numPr>
        <w:spacing w:after="80" w:line="268"/>
      </w:pPr>
      <w:r>
        <w:rPr>
          <w:sz w:val="21"/>
          <w:szCs w:val="21"/>
        </w:rPr>
        <w:t xml:space="preserve">cases(case_id, docket_no, language, channel, created_at, status)</w:t>
      </w:r>
    </w:p>
    <w:p>
      <w:pPr>
        <w:pStyle w:val="ListParagraph"/>
        <w:numPr>
          <w:ilvl w:val="0"/>
          <w:numId w:val="2"/>
        </w:numPr>
        <w:spacing w:after="80" w:line="268"/>
      </w:pPr>
      <w:r>
        <w:rPr>
          <w:sz w:val="21"/>
          <w:szCs w:val="21"/>
        </w:rPr>
        <w:t xml:space="preserve">interactions(interaction_id, case_id, speaker, start_time, end_time, transcript_ref, audio_ref)</w:t>
      </w:r>
    </w:p>
    <w:p>
      <w:pPr>
        <w:pStyle w:val="ListParagraph"/>
        <w:numPr>
          <w:ilvl w:val="0"/>
          <w:numId w:val="2"/>
        </w:numPr>
        <w:spacing w:after="80" w:line="268"/>
      </w:pPr>
      <w:r>
        <w:rPr>
          <w:sz w:val="21"/>
          <w:szCs w:val="21"/>
        </w:rPr>
        <w:t xml:space="preserve">assessments(assessment_id, case_id, interaction_id, priority_score, priority_level, model_version, confidence, created_at)</w:t>
      </w:r>
    </w:p>
    <w:p>
      <w:pPr>
        <w:pStyle w:val="ListParagraph"/>
        <w:numPr>
          <w:ilvl w:val="0"/>
          <w:numId w:val="2"/>
        </w:numPr>
        <w:spacing w:after="80" w:line="268"/>
      </w:pPr>
      <w:r>
        <w:rPr>
          <w:sz w:val="21"/>
          <w:szCs w:val="21"/>
        </w:rPr>
        <w:t xml:space="preserve">signals(signal_id, assessment_id, type, value, evidence_text, confidence)</w:t>
      </w:r>
    </w:p>
    <w:p>
      <w:pPr>
        <w:pStyle w:val="ListParagraph"/>
        <w:numPr>
          <w:ilvl w:val="0"/>
          <w:numId w:val="2"/>
        </w:numPr>
        <w:spacing w:after="80" w:line="268"/>
      </w:pPr>
      <w:r>
        <w:rPr>
          <w:sz w:val="21"/>
          <w:szCs w:val="21"/>
        </w:rPr>
        <w:t xml:space="preserve">safety_flags(flag_id, assessment_id, type, severity, source, reviewed_by_human)</w:t>
      </w:r>
    </w:p>
    <w:p>
      <w:pPr>
        <w:pStyle w:val="ListParagraph"/>
        <w:numPr>
          <w:ilvl w:val="0"/>
          <w:numId w:val="2"/>
        </w:numPr>
        <w:spacing w:after="80" w:line="268"/>
      </w:pPr>
      <w:r>
        <w:rPr>
          <w:sz w:val="21"/>
          <w:szCs w:val="21"/>
        </w:rPr>
        <w:t xml:space="preserve">referrals(referral_id, case_id, service_type, destination, status, created_at)</w:t>
      </w:r>
    </w:p>
    <w:p>
      <w:pPr>
        <w:pStyle w:val="ListParagraph"/>
        <w:numPr>
          <w:ilvl w:val="0"/>
          <w:numId w:val="2"/>
        </w:numPr>
        <w:spacing w:after="80" w:line="268"/>
      </w:pPr>
      <w:r>
        <w:rPr>
          <w:sz w:val="21"/>
          <w:szCs w:val="21"/>
        </w:rPr>
        <w:t xml:space="preserve">operator_actions(action_id, case_id, operator_id, action, template_id, reason, timestamp)</w:t>
      </w:r>
    </w:p>
    <w:p>
      <w:pPr>
        <w:pStyle w:val="ListParagraph"/>
        <w:numPr>
          <w:ilvl w:val="0"/>
          <w:numId w:val="2"/>
        </w:numPr>
        <w:spacing w:after="80" w:line="268"/>
      </w:pPr>
      <w:r>
        <w:rPr>
          <w:sz w:val="21"/>
          <w:szCs w:val="21"/>
        </w:rPr>
        <w:t xml:space="preserve">consents(consent_id, case_id, purpose, channel, version, timestamp)</w:t>
      </w:r>
    </w:p>
    <w:p>
      <w:pPr>
        <w:pStyle w:val="Heading1"/>
        <w:spacing w:after="140" w:before="340"/>
      </w:pPr>
      <w:r>
        <w:rPr>
          <w:b/>
          <w:bCs/>
          <w:color w:val="1F3864"/>
          <w:sz w:val="28"/>
          <w:szCs w:val="28"/>
        </w:rPr>
        <w:t xml:space="preserve">11. API Surface</w:t>
      </w:r>
    </w:p>
    <w:p>
      <w:pPr>
        <w:pStyle w:val="ListParagraph"/>
        <w:numPr>
          <w:ilvl w:val="0"/>
          <w:numId w:val="2"/>
        </w:numPr>
        <w:spacing w:after="80" w:line="268"/>
      </w:pPr>
      <w:r>
        <w:rPr>
          <w:sz w:val="21"/>
          <w:szCs w:val="21"/>
        </w:rPr>
        <w:t xml:space="preserve">POST /cases — create a grievance/case.</w:t>
      </w:r>
    </w:p>
    <w:p>
      <w:pPr>
        <w:pStyle w:val="ListParagraph"/>
        <w:numPr>
          <w:ilvl w:val="0"/>
          <w:numId w:val="2"/>
        </w:numPr>
        <w:spacing w:after="80" w:line="268"/>
      </w:pPr>
      <w:r>
        <w:rPr>
          <w:sz w:val="21"/>
          <w:szCs w:val="21"/>
        </w:rPr>
        <w:t xml:space="preserve">POST /cases/{id}/interactions/{iid}/audio — upload or stream an interaction.</w:t>
      </w:r>
    </w:p>
    <w:p>
      <w:pPr>
        <w:pStyle w:val="ListParagraph"/>
        <w:numPr>
          <w:ilvl w:val="0"/>
          <w:numId w:val="2"/>
        </w:numPr>
        <w:spacing w:after="80" w:line="268"/>
      </w:pPr>
      <w:r>
        <w:rPr>
          <w:sz w:val="21"/>
          <w:szCs w:val="21"/>
        </w:rPr>
        <w:t xml:space="preserve">POST /cases/{id}/interactions/{iid}/transcript — submit a transcript.</w:t>
      </w:r>
    </w:p>
    <w:p>
      <w:pPr>
        <w:pStyle w:val="ListParagraph"/>
        <w:numPr>
          <w:ilvl w:val="0"/>
          <w:numId w:val="2"/>
        </w:numPr>
        <w:spacing w:after="80" w:line="268"/>
      </w:pPr>
      <w:r>
        <w:rPr>
          <w:sz w:val="21"/>
          <w:szCs w:val="21"/>
        </w:rPr>
        <w:t xml:space="preserve">POST /cases/{id}/interactions/{iid}/assess — run the AI assessment for this interaction.</w:t>
      </w:r>
    </w:p>
    <w:p>
      <w:pPr>
        <w:pStyle w:val="ListParagraph"/>
        <w:numPr>
          <w:ilvl w:val="0"/>
          <w:numId w:val="2"/>
        </w:numPr>
        <w:spacing w:after="80" w:line="268"/>
      </w:pPr>
      <w:r>
        <w:rPr>
          <w:sz w:val="21"/>
          <w:szCs w:val="21"/>
        </w:rPr>
        <w:t xml:space="preserve">GET /cases/{id}/interactions/{iid}/assessment — retrieve priority score, level, confidence, and evidence.</w:t>
      </w:r>
    </w:p>
    <w:p>
      <w:pPr>
        <w:pStyle w:val="ListParagraph"/>
        <w:numPr>
          <w:ilvl w:val="0"/>
          <w:numId w:val="2"/>
        </w:numPr>
        <w:spacing w:after="80" w:line="268"/>
      </w:pPr>
      <w:r>
        <w:rPr>
          <w:sz w:val="21"/>
          <w:szCs w:val="21"/>
        </w:rPr>
        <w:t xml:space="preserve">POST /cases/{id}/safety-review — human review of a safety flag.</w:t>
      </w:r>
    </w:p>
    <w:p>
      <w:pPr>
        <w:pStyle w:val="ListParagraph"/>
        <w:numPr>
          <w:ilvl w:val="0"/>
          <w:numId w:val="2"/>
        </w:numPr>
        <w:spacing w:after="80" w:line="268"/>
      </w:pPr>
      <w:r>
        <w:rPr>
          <w:sz w:val="21"/>
          <w:szCs w:val="21"/>
        </w:rPr>
        <w:t xml:space="preserve">POST /cases/{id}/referral — create a counselling, legal, medical, or emergency referral.</w:t>
      </w:r>
    </w:p>
    <w:p>
      <w:pPr>
        <w:pStyle w:val="ListParagraph"/>
        <w:numPr>
          <w:ilvl w:val="0"/>
          <w:numId w:val="2"/>
        </w:numPr>
        <w:spacing w:after="80" w:line="268"/>
      </w:pPr>
      <w:r>
        <w:rPr>
          <w:sz w:val="21"/>
          <w:szCs w:val="21"/>
        </w:rPr>
        <w:t xml:space="preserve">POST /cases/{id}/operator-action — record the human decision, including any co-pilot template used.</w:t>
      </w:r>
    </w:p>
    <w:p>
      <w:pPr>
        <w:pStyle w:val="ListParagraph"/>
        <w:numPr>
          <w:ilvl w:val="0"/>
          <w:numId w:val="2"/>
        </w:numPr>
        <w:spacing w:after="80" w:line="268"/>
      </w:pPr>
      <w:r>
        <w:rPr>
          <w:sz w:val="21"/>
          <w:szCs w:val="21"/>
        </w:rPr>
        <w:t xml:space="preserve">GET /dashboard/queue — prioritised cases for operators.</w:t>
      </w:r>
    </w:p>
    <w:p>
      <w:pPr>
        <w:pStyle w:val="Heading1"/>
        <w:spacing w:after="140" w:before="340"/>
      </w:pPr>
      <w:r>
        <w:rPr>
          <w:b/>
          <w:bCs/>
          <w:color w:val="1F3864"/>
          <w:sz w:val="28"/>
          <w:szCs w:val="28"/>
        </w:rPr>
        <w:t xml:space="preserve">12. Data Sources, and Being Honest About Their Limits</w:t>
      </w:r>
    </w:p>
    <w:p>
      <w:pPr>
        <w:spacing w:after="130" w:line="268"/>
      </w:pPr>
      <w:r>
        <w:rPr>
          <w:sz w:val="21"/>
          <w:szCs w:val="21"/>
        </w:rPr>
        <w:t xml:space="preserve">There's no ethically appropriate public dataset that directly represents Indian victims of caste atrocities with labelled trauma from real NHAA calls — and we're not aware of one existing anywhere. So public emotion/speech datasets get used only for pretraining or proof-of-concept, and we're careful never to describe them as trauma datasets, because they aren't.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7"/>
        <w:gridCol w:w="3117"/>
        <w:gridCol w:w="3116"/>
      </w:tblGrid>
      <w:tr>
        <w:trPr>
          <w:tblHeader/>
        </w:trPr>
        <w:tc>
          <w:tcPr>
            <w:tcW w:type="dxa" w:w="3117"/>
            <w:shd w:fill="1F3864" w:val="clear"/>
            <w:tcMar>
              <w:top w:type="dxa" w:w="70"/>
              <w:left w:type="dxa" w:w="90"/>
              <w:bottom w:type="dxa" w:w="70"/>
              <w:right w:type="dxa" w:w="90"/>
            </w:tcMar>
          </w:tcPr>
          <w:p>
            <w:r>
              <w:rPr>
                <w:b/>
                <w:bCs/>
                <w:color w:val="FFFFFF"/>
                <w:sz w:val="18"/>
                <w:szCs w:val="18"/>
              </w:rPr>
              <w:t xml:space="preserve">Dataset / source</w:t>
            </w:r>
          </w:p>
        </w:tc>
        <w:tc>
          <w:tcPr>
            <w:tcW w:type="dxa" w:w="3117"/>
            <w:shd w:fill="1F3864" w:val="clear"/>
            <w:tcMar>
              <w:top w:type="dxa" w:w="70"/>
              <w:left w:type="dxa" w:w="90"/>
              <w:bottom w:type="dxa" w:w="70"/>
              <w:right w:type="dxa" w:w="90"/>
            </w:tcMar>
          </w:tcPr>
          <w:p>
            <w:r>
              <w:rPr>
                <w:b/>
                <w:bCs/>
                <w:color w:val="FFFFFF"/>
                <w:sz w:val="18"/>
                <w:szCs w:val="18"/>
              </w:rPr>
              <w:t xml:space="preserve">Use</w:t>
            </w:r>
          </w:p>
        </w:tc>
        <w:tc>
          <w:tcPr>
            <w:tcW w:type="dxa" w:w="3116"/>
            <w:shd w:fill="1F3864" w:val="clear"/>
            <w:tcMar>
              <w:top w:type="dxa" w:w="70"/>
              <w:left w:type="dxa" w:w="90"/>
              <w:bottom w:type="dxa" w:w="70"/>
              <w:right w:type="dxa" w:w="90"/>
            </w:tcMar>
          </w:tcPr>
          <w:p>
            <w:r>
              <w:rPr>
                <w:b/>
                <w:bCs/>
                <w:color w:val="FFFFFF"/>
                <w:sz w:val="18"/>
                <w:szCs w:val="18"/>
              </w:rPr>
              <w:t xml:space="preserve">Caveat</w:t>
            </w:r>
          </w:p>
        </w:tc>
      </w:tr>
      <w:tr>
        <w:tc>
          <w:tcPr>
            <w:tcW w:type="dxa" w:w="3117"/>
            <w:tcMar>
              <w:top w:type="dxa" w:w="60"/>
              <w:left w:type="dxa" w:w="90"/>
              <w:bottom w:type="dxa" w:w="60"/>
              <w:right w:type="dxa" w:w="90"/>
            </w:tcMar>
          </w:tcPr>
          <w:p>
            <w:r>
              <w:rPr>
                <w:sz w:val="18"/>
                <w:szCs w:val="18"/>
              </w:rPr>
              <w:t xml:space="preserve">RAVDESS</w:t>
            </w:r>
          </w:p>
        </w:tc>
        <w:tc>
          <w:tcPr>
            <w:tcW w:type="dxa" w:w="3117"/>
            <w:tcMar>
              <w:top w:type="dxa" w:w="60"/>
              <w:left w:type="dxa" w:w="90"/>
              <w:bottom w:type="dxa" w:w="60"/>
              <w:right w:type="dxa" w:w="90"/>
            </w:tcMar>
          </w:tcPr>
          <w:p>
            <w:r>
              <w:rPr>
                <w:sz w:val="18"/>
                <w:szCs w:val="18"/>
              </w:rPr>
              <w:t xml:space="preserve">Speech emotion + intensity; audio/video</w:t>
            </w:r>
          </w:p>
        </w:tc>
        <w:tc>
          <w:tcPr>
            <w:tcW w:type="dxa" w:w="3116"/>
            <w:tcMar>
              <w:top w:type="dxa" w:w="60"/>
              <w:left w:type="dxa" w:w="90"/>
              <w:bottom w:type="dxa" w:w="60"/>
              <w:right w:type="dxa" w:w="90"/>
            </w:tcMar>
          </w:tcPr>
          <w:p>
            <w:r>
              <w:rPr>
                <w:sz w:val="18"/>
                <w:szCs w:val="18"/>
              </w:rPr>
              <w:t xml:space="preserve">Actors, English, acted emotions</w:t>
            </w:r>
          </w:p>
        </w:tc>
      </w:tr>
      <w:tr>
        <w:tc>
          <w:tcPr>
            <w:tcW w:type="dxa" w:w="3117"/>
            <w:tcMar>
              <w:top w:type="dxa" w:w="60"/>
              <w:left w:type="dxa" w:w="90"/>
              <w:bottom w:type="dxa" w:w="60"/>
              <w:right w:type="dxa" w:w="90"/>
            </w:tcMar>
          </w:tcPr>
          <w:p>
            <w:r>
              <w:rPr>
                <w:sz w:val="18"/>
                <w:szCs w:val="18"/>
              </w:rPr>
              <w:t xml:space="preserve">CREMA-D</w:t>
            </w:r>
          </w:p>
        </w:tc>
        <w:tc>
          <w:tcPr>
            <w:tcW w:type="dxa" w:w="3117"/>
            <w:tcMar>
              <w:top w:type="dxa" w:w="60"/>
              <w:left w:type="dxa" w:w="90"/>
              <w:bottom w:type="dxa" w:w="60"/>
              <w:right w:type="dxa" w:w="90"/>
            </w:tcMar>
          </w:tcPr>
          <w:p>
            <w:r>
              <w:rPr>
                <w:sz w:val="18"/>
                <w:szCs w:val="18"/>
              </w:rPr>
              <w:t xml:space="preserve">Audio emotion classification; diverse actors</w:t>
            </w:r>
          </w:p>
        </w:tc>
        <w:tc>
          <w:tcPr>
            <w:tcW w:type="dxa" w:w="3116"/>
            <w:tcMar>
              <w:top w:type="dxa" w:w="60"/>
              <w:left w:type="dxa" w:w="90"/>
              <w:bottom w:type="dxa" w:w="60"/>
              <w:right w:type="dxa" w:w="90"/>
            </w:tcMar>
          </w:tcPr>
          <w:p>
            <w:r>
              <w:rPr>
                <w:sz w:val="18"/>
                <w:szCs w:val="18"/>
              </w:rPr>
              <w:t xml:space="preserve">Actors/acted emotion, not trauma</w:t>
            </w:r>
          </w:p>
        </w:tc>
      </w:tr>
      <w:tr>
        <w:tc>
          <w:tcPr>
            <w:tcW w:type="dxa" w:w="3117"/>
            <w:tcMar>
              <w:top w:type="dxa" w:w="60"/>
              <w:left w:type="dxa" w:w="90"/>
              <w:bottom w:type="dxa" w:w="60"/>
              <w:right w:type="dxa" w:w="90"/>
            </w:tcMar>
          </w:tcPr>
          <w:p>
            <w:r>
              <w:rPr>
                <w:sz w:val="18"/>
                <w:szCs w:val="18"/>
              </w:rPr>
              <w:t xml:space="preserve">GoEmotions</w:t>
            </w:r>
          </w:p>
        </w:tc>
        <w:tc>
          <w:tcPr>
            <w:tcW w:type="dxa" w:w="3117"/>
            <w:tcMar>
              <w:top w:type="dxa" w:w="60"/>
              <w:left w:type="dxa" w:w="90"/>
              <w:bottom w:type="dxa" w:w="60"/>
              <w:right w:type="dxa" w:w="90"/>
            </w:tcMar>
          </w:tcPr>
          <w:p>
            <w:r>
              <w:rPr>
                <w:sz w:val="18"/>
                <w:szCs w:val="18"/>
              </w:rPr>
              <w:t xml:space="preserve">Fine-grained text emotion classification</w:t>
            </w:r>
          </w:p>
        </w:tc>
        <w:tc>
          <w:tcPr>
            <w:tcW w:type="dxa" w:w="3116"/>
            <w:tcMar>
              <w:top w:type="dxa" w:w="60"/>
              <w:left w:type="dxa" w:w="90"/>
              <w:bottom w:type="dxa" w:w="60"/>
              <w:right w:type="dxa" w:w="90"/>
            </w:tcMar>
          </w:tcPr>
          <w:p>
            <w:r>
              <w:rPr>
                <w:sz w:val="18"/>
                <w:szCs w:val="18"/>
              </w:rPr>
              <w:t xml:space="preserve">Reddit text; not victim complaints</w:t>
            </w:r>
          </w:p>
        </w:tc>
      </w:tr>
      <w:tr>
        <w:tc>
          <w:tcPr>
            <w:tcW w:type="dxa" w:w="3117"/>
            <w:tcMar>
              <w:top w:type="dxa" w:w="60"/>
              <w:left w:type="dxa" w:w="90"/>
              <w:bottom w:type="dxa" w:w="60"/>
              <w:right w:type="dxa" w:w="90"/>
            </w:tcMar>
          </w:tcPr>
          <w:p>
            <w:r>
              <w:rPr>
                <w:sz w:val="18"/>
                <w:szCs w:val="18"/>
              </w:rPr>
              <w:t xml:space="preserve">Synthetic, consented conversations</w:t>
            </w:r>
          </w:p>
        </w:tc>
        <w:tc>
          <w:tcPr>
            <w:tcW w:type="dxa" w:w="3117"/>
            <w:tcMar>
              <w:top w:type="dxa" w:w="60"/>
              <w:left w:type="dxa" w:w="90"/>
              <w:bottom w:type="dxa" w:w="60"/>
              <w:right w:type="dxa" w:w="90"/>
            </w:tcMar>
          </w:tcPr>
          <w:p>
            <w:r>
              <w:rPr>
                <w:sz w:val="18"/>
                <w:szCs w:val="18"/>
              </w:rPr>
              <w:t xml:space="preserve">End-to-end demo and workflow testing</w:t>
            </w:r>
          </w:p>
        </w:tc>
        <w:tc>
          <w:tcPr>
            <w:tcW w:type="dxa" w:w="3116"/>
            <w:tcMar>
              <w:top w:type="dxa" w:w="60"/>
              <w:left w:type="dxa" w:w="90"/>
              <w:bottom w:type="dxa" w:w="60"/>
              <w:right w:type="dxa" w:w="90"/>
            </w:tcMar>
          </w:tcPr>
          <w:p>
            <w:r>
              <w:rPr>
                <w:sz w:val="18"/>
                <w:szCs w:val="18"/>
              </w:rPr>
              <w:t xml:space="preserve">Written/recorded for the prototype, not real cases</w:t>
            </w:r>
          </w:p>
        </w:tc>
      </w:tr>
    </w:tbl>
    <w:p>
      <w:pPr>
        <w:pStyle w:val="Heading2"/>
        <w:spacing w:after="100" w:before="220"/>
      </w:pPr>
      <w:r>
        <w:rPr>
          <w:b/>
          <w:bCs/>
          <w:color w:val="1F3864"/>
          <w:sz w:val="23"/>
          <w:szCs w:val="23"/>
        </w:rPr>
        <w:t xml:space="preserve">What this data can and can't tell us</w:t>
      </w:r>
    </w:p>
    <w:p>
      <w:pPr>
        <w:spacing w:after="130" w:line="268"/>
      </w:pPr>
      <w:r>
        <w:rPr>
          <w:sz w:val="21"/>
          <w:szCs w:val="21"/>
        </w:rPr>
        <w:t xml:space="preserve">It can show whether the pipeline runs end-to-end, whether the text and acoustic signals move in sensible directions on the datasets we've used, whether the safety engine reliably catches the explicit, predefined phrases it's meant to catch in controlled tests, and whether the dashboard surfaces evidence and confidence correctly.</w:t>
      </w:r>
    </w:p>
    <w:p>
      <w:pPr>
        <w:spacing w:after="130" w:line="268"/>
      </w:pPr>
      <w:r>
        <w:rPr>
          <w:b/>
          <w:bCs/>
          <w:color w:val="1F3864"/>
          <w:sz w:val="21"/>
          <w:szCs w:val="21"/>
        </w:rPr>
        <w:t xml:space="preserve">What it can't do is establish real trauma-detection accuracy for Indian atrocity victims, clinical validity, or performance on actual NHAA calls — so we don't present the prototype as clinically validated or as any kind of trauma-diagnosis system. Component-level metrics and targets are in Section 13.</w:t>
      </w:r>
    </w:p>
    <w:p>
      <w:pPr>
        <w:spacing w:after="130" w:line="268"/>
      </w:pPr>
      <w:r>
        <w:rPr>
          <w:sz w:val="21"/>
          <w:szCs w:val="21"/>
        </w:rPr>
        <w:t xml:space="preserve">Before anything like this reaches a real deployment, it needs a representative, consented Indian-language dataset with expert-reviewed labels, plus clinical, legal, privacy, security, and fairness review. A blinded comparison between human-only and human-plus-SAATHI review, run by qualified reviewers on a consented evaluation set — checking whether SAATHI actually improves identification of cases needing attention without increasing harmful false negatives — would be the stronger validation path once that data exists.</w:t>
      </w:r>
    </w:p>
    <w:p>
      <w:pPr>
        <w:pStyle w:val="Heading1"/>
        <w:spacing w:after="140" w:before="340"/>
      </w:pPr>
      <w:r>
        <w:rPr>
          <w:b/>
          <w:bCs/>
          <w:color w:val="1F3864"/>
          <w:sz w:val="28"/>
          <w:szCs w:val="28"/>
        </w:rPr>
        <w:t xml:space="preserve">13. How We'll Know It's Working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3750"/>
      </w:tblGrid>
      <w:tr>
        <w:trPr>
          <w:tblHeader/>
        </w:trPr>
        <w:tc>
          <w:tcPr>
            <w:tcW w:type="dxa" w:w="2400"/>
            <w:shd w:fill="1F3864" w:val="clear"/>
            <w:tcMar>
              <w:top w:type="dxa" w:w="70"/>
              <w:left w:type="dxa" w:w="90"/>
              <w:bottom w:type="dxa" w:w="70"/>
              <w:right w:type="dxa" w:w="90"/>
            </w:tcMar>
          </w:tcPr>
          <w:p>
            <w:r>
              <w:rPr>
                <w:b/>
                <w:bCs/>
                <w:color w:val="FFFFFF"/>
                <w:sz w:val="18"/>
                <w:szCs w:val="18"/>
              </w:rPr>
              <w:t xml:space="preserve">Component</w:t>
            </w:r>
          </w:p>
        </w:tc>
        <w:tc>
          <w:tcPr>
            <w:tcW w:type="dxa" w:w="3200"/>
            <w:shd w:fill="1F3864" w:val="clear"/>
            <w:tcMar>
              <w:top w:type="dxa" w:w="70"/>
              <w:left w:type="dxa" w:w="90"/>
              <w:bottom w:type="dxa" w:w="70"/>
              <w:right w:type="dxa" w:w="90"/>
            </w:tcMar>
          </w:tcPr>
          <w:p>
            <w:r>
              <w:rPr>
                <w:b/>
                <w:bCs/>
                <w:color w:val="FFFFFF"/>
                <w:sz w:val="18"/>
                <w:szCs w:val="18"/>
              </w:rPr>
              <w:t xml:space="preserve">Metrics</w:t>
            </w:r>
          </w:p>
        </w:tc>
        <w:tc>
          <w:tcPr>
            <w:tcW w:type="dxa" w:w="3750"/>
            <w:shd w:fill="1F3864" w:val="clear"/>
            <w:tcMar>
              <w:top w:type="dxa" w:w="70"/>
              <w:left w:type="dxa" w:w="90"/>
              <w:bottom w:type="dxa" w:w="70"/>
              <w:right w:type="dxa" w:w="90"/>
            </w:tcMar>
          </w:tcPr>
          <w:p>
            <w:r>
              <w:rPr>
                <w:b/>
                <w:bCs/>
                <w:color w:val="FFFFFF"/>
                <w:sz w:val="18"/>
                <w:szCs w:val="18"/>
              </w:rPr>
              <w:t xml:space="preserve">Target / what to demonstrate</w:t>
            </w:r>
          </w:p>
        </w:tc>
      </w:tr>
      <w:tr>
        <w:tc>
          <w:tcPr>
            <w:tcW w:type="dxa" w:w="2400"/>
            <w:tcMar>
              <w:top w:type="dxa" w:w="60"/>
              <w:left w:type="dxa" w:w="90"/>
              <w:bottom w:type="dxa" w:w="60"/>
              <w:right w:type="dxa" w:w="90"/>
            </w:tcMar>
          </w:tcPr>
          <w:p>
            <w:r>
              <w:rPr>
                <w:sz w:val="18"/>
                <w:szCs w:val="18"/>
              </w:rPr>
              <w:t xml:space="preserve">ASR</w:t>
            </w:r>
          </w:p>
        </w:tc>
        <w:tc>
          <w:tcPr>
            <w:tcW w:type="dxa" w:w="3200"/>
            <w:tcMar>
              <w:top w:type="dxa" w:w="60"/>
              <w:left w:type="dxa" w:w="90"/>
              <w:bottom w:type="dxa" w:w="60"/>
              <w:right w:type="dxa" w:w="90"/>
            </w:tcMar>
          </w:tcPr>
          <w:p>
            <w:r>
              <w:rPr>
                <w:sz w:val="18"/>
                <w:szCs w:val="18"/>
              </w:rPr>
              <w:t xml:space="preserve">WER/CER by language</w:t>
            </w:r>
          </w:p>
        </w:tc>
        <w:tc>
          <w:tcPr>
            <w:tcW w:type="dxa" w:w="3750"/>
            <w:tcMar>
              <w:top w:type="dxa" w:w="60"/>
              <w:left w:type="dxa" w:w="90"/>
              <w:bottom w:type="dxa" w:w="60"/>
              <w:right w:type="dxa" w:w="90"/>
            </w:tcMar>
          </w:tcPr>
          <w:p>
            <w:r>
              <w:rPr>
                <w:sz w:val="18"/>
                <w:szCs w:val="18"/>
              </w:rPr>
              <w:t xml:space="preserve">Hindi + English sample accuracy</w:t>
            </w:r>
          </w:p>
        </w:tc>
      </w:tr>
      <w:tr>
        <w:tc>
          <w:tcPr>
            <w:tcW w:type="dxa" w:w="2400"/>
            <w:tcMar>
              <w:top w:type="dxa" w:w="60"/>
              <w:left w:type="dxa" w:w="90"/>
              <w:bottom w:type="dxa" w:w="60"/>
              <w:right w:type="dxa" w:w="90"/>
            </w:tcMar>
          </w:tcPr>
          <w:p>
            <w:r>
              <w:rPr>
                <w:sz w:val="18"/>
                <w:szCs w:val="18"/>
              </w:rPr>
              <w:t xml:space="preserve">Text classifier</w:t>
            </w:r>
          </w:p>
        </w:tc>
        <w:tc>
          <w:tcPr>
            <w:tcW w:type="dxa" w:w="3200"/>
            <w:tcMar>
              <w:top w:type="dxa" w:w="60"/>
              <w:left w:type="dxa" w:w="90"/>
              <w:bottom w:type="dxa" w:w="60"/>
              <w:right w:type="dxa" w:w="90"/>
            </w:tcMar>
          </w:tcPr>
          <w:p>
            <w:r>
              <w:rPr>
                <w:sz w:val="18"/>
                <w:szCs w:val="18"/>
              </w:rPr>
              <w:t xml:space="preserve">Macro F1, recall, confusion matrix</w:t>
            </w:r>
          </w:p>
        </w:tc>
        <w:tc>
          <w:tcPr>
            <w:tcW w:type="dxa" w:w="3750"/>
            <w:tcMar>
              <w:top w:type="dxa" w:w="60"/>
              <w:left w:type="dxa" w:w="90"/>
              <w:bottom w:type="dxa" w:w="60"/>
              <w:right w:type="dxa" w:w="90"/>
            </w:tcMar>
          </w:tcPr>
          <w:p>
            <w:r>
              <w:rPr>
                <w:sz w:val="18"/>
                <w:szCs w:val="18"/>
              </w:rPr>
              <w:t xml:space="preserve">Distress vs non-distress</w:t>
            </w:r>
          </w:p>
        </w:tc>
      </w:tr>
      <w:tr>
        <w:tc>
          <w:tcPr>
            <w:tcW w:type="dxa" w:w="2400"/>
            <w:tcMar>
              <w:top w:type="dxa" w:w="60"/>
              <w:left w:type="dxa" w:w="90"/>
              <w:bottom w:type="dxa" w:w="60"/>
              <w:right w:type="dxa" w:w="90"/>
            </w:tcMar>
          </w:tcPr>
          <w:p>
            <w:r>
              <w:rPr>
                <w:sz w:val="18"/>
                <w:szCs w:val="18"/>
              </w:rPr>
              <w:t xml:space="preserve">Acoustic indicators</w:t>
            </w:r>
          </w:p>
        </w:tc>
        <w:tc>
          <w:tcPr>
            <w:tcW w:type="dxa" w:w="3200"/>
            <w:tcMar>
              <w:top w:type="dxa" w:w="60"/>
              <w:left w:type="dxa" w:w="90"/>
              <w:bottom w:type="dxa" w:w="60"/>
              <w:right w:type="dxa" w:w="90"/>
            </w:tcMar>
          </w:tcPr>
          <w:p>
            <w:r>
              <w:rPr>
                <w:sz w:val="18"/>
                <w:szCs w:val="18"/>
              </w:rPr>
              <w:t xml:space="preserve">Correlation with labelled emotion sets</w:t>
            </w:r>
          </w:p>
        </w:tc>
        <w:tc>
          <w:tcPr>
            <w:tcW w:type="dxa" w:w="3750"/>
            <w:tcMar>
              <w:top w:type="dxa" w:w="60"/>
              <w:left w:type="dxa" w:w="90"/>
              <w:bottom w:type="dxa" w:w="60"/>
              <w:right w:type="dxa" w:w="90"/>
            </w:tcMar>
          </w:tcPr>
          <w:p>
            <w:r>
              <w:rPr>
                <w:sz w:val="18"/>
                <w:szCs w:val="18"/>
              </w:rPr>
              <w:t xml:space="preserve">Directionally sensible, clearly framed as heuristic</w:t>
            </w:r>
          </w:p>
        </w:tc>
      </w:tr>
      <w:tr>
        <w:tc>
          <w:tcPr>
            <w:tcW w:type="dxa" w:w="2400"/>
            <w:tcMar>
              <w:top w:type="dxa" w:w="60"/>
              <w:left w:type="dxa" w:w="90"/>
              <w:bottom w:type="dxa" w:w="60"/>
              <w:right w:type="dxa" w:w="90"/>
            </w:tcMar>
          </w:tcPr>
          <w:p>
            <w:r>
              <w:rPr>
                <w:sz w:val="18"/>
                <w:szCs w:val="18"/>
              </w:rPr>
              <w:t xml:space="preserve">Safety engine</w:t>
            </w:r>
          </w:p>
        </w:tc>
        <w:tc>
          <w:tcPr>
            <w:tcW w:type="dxa" w:w="3200"/>
            <w:tcMar>
              <w:top w:type="dxa" w:w="60"/>
              <w:left w:type="dxa" w:w="90"/>
              <w:bottom w:type="dxa" w:w="60"/>
              <w:right w:type="dxa" w:w="90"/>
            </w:tcMar>
          </w:tcPr>
          <w:p>
            <w:r>
              <w:rPr>
                <w:sz w:val="18"/>
                <w:szCs w:val="18"/>
              </w:rPr>
              <w:t xml:space="preserve">Recall on explicit danger phrases</w:t>
            </w:r>
          </w:p>
        </w:tc>
        <w:tc>
          <w:tcPr>
            <w:tcW w:type="dxa" w:w="3750"/>
            <w:tcMar>
              <w:top w:type="dxa" w:w="60"/>
              <w:left w:type="dxa" w:w="90"/>
              <w:bottom w:type="dxa" w:w="60"/>
              <w:right w:type="dxa" w:w="90"/>
            </w:tcMar>
          </w:tcPr>
          <w:p>
            <w:r>
              <w:rPr>
                <w:sz w:val="18"/>
                <w:szCs w:val="18"/>
              </w:rPr>
              <w:t xml:space="preserve">As close to 100% as we can get — a false negative here matters far more than a false positive</w:t>
            </w:r>
          </w:p>
        </w:tc>
      </w:tr>
      <w:tr>
        <w:tc>
          <w:tcPr>
            <w:tcW w:type="dxa" w:w="2400"/>
            <w:tcMar>
              <w:top w:type="dxa" w:w="60"/>
              <w:left w:type="dxa" w:w="90"/>
              <w:bottom w:type="dxa" w:w="60"/>
              <w:right w:type="dxa" w:w="90"/>
            </w:tcMar>
          </w:tcPr>
          <w:p>
            <w:r>
              <w:rPr>
                <w:sz w:val="18"/>
                <w:szCs w:val="18"/>
              </w:rPr>
              <w:t xml:space="preserve">Priority Score</w:t>
            </w:r>
          </w:p>
        </w:tc>
        <w:tc>
          <w:tcPr>
            <w:tcW w:type="dxa" w:w="3200"/>
            <w:tcMar>
              <w:top w:type="dxa" w:w="60"/>
              <w:left w:type="dxa" w:w="90"/>
              <w:bottom w:type="dxa" w:w="60"/>
              <w:right w:type="dxa" w:w="90"/>
            </w:tcMar>
          </w:tcPr>
          <w:p>
            <w:r>
              <w:rPr>
                <w:sz w:val="18"/>
                <w:szCs w:val="18"/>
              </w:rPr>
              <w:t xml:space="preserve">Calibration + agreement with expert labels</w:t>
            </w:r>
          </w:p>
        </w:tc>
        <w:tc>
          <w:tcPr>
            <w:tcW w:type="dxa" w:w="3750"/>
            <w:tcMar>
              <w:top w:type="dxa" w:w="60"/>
              <w:left w:type="dxa" w:w="90"/>
              <w:bottom w:type="dxa" w:w="60"/>
              <w:right w:type="dxa" w:w="90"/>
            </w:tcMar>
          </w:tcPr>
          <w:p>
            <w:r>
              <w:rPr>
                <w:sz w:val="18"/>
                <w:szCs w:val="18"/>
              </w:rPr>
              <w:t xml:space="preserve">Not raw accuracy alone</w:t>
            </w:r>
          </w:p>
        </w:tc>
      </w:tr>
      <w:tr>
        <w:tc>
          <w:tcPr>
            <w:tcW w:type="dxa" w:w="2400"/>
            <w:tcMar>
              <w:top w:type="dxa" w:w="60"/>
              <w:left w:type="dxa" w:w="90"/>
              <w:bottom w:type="dxa" w:w="60"/>
              <w:right w:type="dxa" w:w="90"/>
            </w:tcMar>
          </w:tcPr>
          <w:p>
            <w:r>
              <w:rPr>
                <w:sz w:val="18"/>
                <w:szCs w:val="18"/>
              </w:rPr>
              <w:t xml:space="preserve">Fairness slice</w:t>
            </w:r>
          </w:p>
        </w:tc>
        <w:tc>
          <w:tcPr>
            <w:tcW w:type="dxa" w:w="3200"/>
            <w:tcMar>
              <w:top w:type="dxa" w:w="60"/>
              <w:left w:type="dxa" w:w="90"/>
              <w:bottom w:type="dxa" w:w="60"/>
              <w:right w:type="dxa" w:w="90"/>
            </w:tcMar>
          </w:tcPr>
          <w:p>
            <w:r>
              <w:rPr>
                <w:sz w:val="18"/>
                <w:szCs w:val="18"/>
              </w:rPr>
              <w:t xml:space="preserve">False-negative rate by dialect/gender</w:t>
            </w:r>
          </w:p>
        </w:tc>
        <w:tc>
          <w:tcPr>
            <w:tcW w:type="dxa" w:w="3750"/>
            <w:tcMar>
              <w:top w:type="dxa" w:w="60"/>
              <w:left w:type="dxa" w:w="90"/>
              <w:bottom w:type="dxa" w:w="60"/>
              <w:right w:type="dxa" w:w="90"/>
            </w:tcMar>
          </w:tcPr>
          <w:p>
            <w:r>
              <w:rPr>
                <w:sz w:val="18"/>
                <w:szCs w:val="18"/>
              </w:rPr>
              <w:t xml:space="preserve">No single group systematically under-flagged</w:t>
            </w:r>
          </w:p>
        </w:tc>
      </w:tr>
      <w:tr>
        <w:tc>
          <w:tcPr>
            <w:tcW w:type="dxa" w:w="2400"/>
            <w:tcMar>
              <w:top w:type="dxa" w:w="60"/>
              <w:left w:type="dxa" w:w="90"/>
              <w:bottom w:type="dxa" w:w="60"/>
              <w:right w:type="dxa" w:w="90"/>
            </w:tcMar>
          </w:tcPr>
          <w:p>
            <w:r>
              <w:rPr>
                <w:sz w:val="18"/>
                <w:szCs w:val="18"/>
              </w:rPr>
              <w:t xml:space="preserve">System</w:t>
            </w:r>
          </w:p>
        </w:tc>
        <w:tc>
          <w:tcPr>
            <w:tcW w:type="dxa" w:w="3200"/>
            <w:tcMar>
              <w:top w:type="dxa" w:w="60"/>
              <w:left w:type="dxa" w:w="90"/>
              <w:bottom w:type="dxa" w:w="60"/>
              <w:right w:type="dxa" w:w="90"/>
            </w:tcMar>
          </w:tcPr>
          <w:p>
            <w:r>
              <w:rPr>
                <w:sz w:val="18"/>
                <w:szCs w:val="18"/>
              </w:rPr>
              <w:t xml:space="preserve">End-to-end latency</w:t>
            </w:r>
          </w:p>
        </w:tc>
        <w:tc>
          <w:tcPr>
            <w:tcW w:type="dxa" w:w="3750"/>
            <w:tcMar>
              <w:top w:type="dxa" w:w="60"/>
              <w:left w:type="dxa" w:w="90"/>
              <w:bottom w:type="dxa" w:w="60"/>
              <w:right w:type="dxa" w:w="90"/>
            </w:tcMar>
          </w:tcPr>
          <w:p>
            <w:r>
              <w:rPr>
                <w:sz w:val="18"/>
                <w:szCs w:val="18"/>
              </w:rPr>
              <w:t xml:space="preserve">Near-real-time assessment</w:t>
            </w:r>
          </w:p>
        </w:tc>
      </w:tr>
    </w:tbl>
    <w:p>
      <w:pPr>
        <w:pStyle w:val="Heading1"/>
        <w:spacing w:after="140" w:before="340"/>
      </w:pPr>
      <w:r>
        <w:rPr>
          <w:b/>
          <w:bCs/>
          <w:color w:val="1F3864"/>
          <w:sz w:val="28"/>
          <w:szCs w:val="28"/>
        </w:rPr>
        <w:t xml:space="preserve">14. Technical Reference Links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550"/>
      </w:tblGrid>
      <w:tr>
        <w:trPr>
          <w:tblHeader/>
        </w:trPr>
        <w:tc>
          <w:tcPr>
            <w:tcW w:type="dxa" w:w="2400"/>
            <w:shd w:fill="1F3864" w:val="clear"/>
            <w:tcMar>
              <w:top w:type="dxa" w:w="70"/>
              <w:left w:type="dxa" w:w="90"/>
              <w:bottom w:type="dxa" w:w="70"/>
              <w:right w:type="dxa" w:w="90"/>
            </w:tcMar>
          </w:tcPr>
          <w:p>
            <w:r>
              <w:rPr>
                <w:b/>
                <w:bCs/>
                <w:color w:val="FFFFFF"/>
                <w:sz w:val="18"/>
                <w:szCs w:val="18"/>
              </w:rPr>
              <w:t xml:space="preserve">Resource</w:t>
            </w:r>
          </w:p>
        </w:tc>
        <w:tc>
          <w:tcPr>
            <w:tcW w:type="dxa" w:w="3400"/>
            <w:shd w:fill="1F3864" w:val="clear"/>
            <w:tcMar>
              <w:top w:type="dxa" w:w="70"/>
              <w:left w:type="dxa" w:w="90"/>
              <w:bottom w:type="dxa" w:w="70"/>
              <w:right w:type="dxa" w:w="90"/>
            </w:tcMar>
          </w:tcPr>
          <w:p>
            <w:r>
              <w:rPr>
                <w:b/>
                <w:bCs/>
                <w:color w:val="FFFFFF"/>
                <w:sz w:val="18"/>
                <w:szCs w:val="18"/>
              </w:rPr>
              <w:t xml:space="preserve">URL</w:t>
            </w:r>
          </w:p>
        </w:tc>
        <w:tc>
          <w:tcPr>
            <w:tcW w:type="dxa" w:w="3550"/>
            <w:shd w:fill="1F3864" w:val="clear"/>
            <w:tcMar>
              <w:top w:type="dxa" w:w="70"/>
              <w:left w:type="dxa" w:w="90"/>
              <w:bottom w:type="dxa" w:w="70"/>
              <w:right w:type="dxa" w:w="90"/>
            </w:tcMar>
          </w:tcPr>
          <w:p>
            <w:r>
              <w:rPr>
                <w:b/>
                <w:bCs/>
                <w:color w:val="FFFFFF"/>
                <w:sz w:val="18"/>
                <w:szCs w:val="18"/>
              </w:rPr>
              <w:t xml:space="preserve">Why it's useful</w:t>
            </w:r>
          </w:p>
        </w:tc>
      </w:tr>
      <w:tr>
        <w:tc>
          <w:tcPr>
            <w:tcW w:type="dxa" w:w="2400"/>
            <w:tcMar>
              <w:top w:type="dxa" w:w="60"/>
              <w:left w:type="dxa" w:w="90"/>
              <w:bottom w:type="dxa" w:w="60"/>
              <w:right w:type="dxa" w:w="90"/>
            </w:tcMar>
          </w:tcPr>
          <w:p>
            <w:r>
              <w:rPr>
                <w:sz w:val="18"/>
                <w:szCs w:val="18"/>
              </w:rPr>
              <w:t xml:space="preserve">AI4Bharat Models</w:t>
            </w:r>
          </w:p>
        </w:tc>
        <w:tc>
          <w:tcPr>
            <w:tcW w:type="dxa" w:w="3400"/>
            <w:tcMar>
              <w:top w:type="dxa" w:w="60"/>
              <w:left w:type="dxa" w:w="90"/>
              <w:bottom w:type="dxa" w:w="60"/>
              <w:right w:type="dxa" w:w="90"/>
            </w:tcMar>
          </w:tcPr>
          <w:p>
            <w:r>
              <w:rPr>
                <w:sz w:val="18"/>
                <w:szCs w:val="18"/>
              </w:rPr>
              <w:t xml:space="preserve">https://models.ai4bharat.org/</w:t>
            </w:r>
          </w:p>
        </w:tc>
        <w:tc>
          <w:tcPr>
            <w:tcW w:type="dxa" w:w="3550"/>
            <w:tcMar>
              <w:top w:type="dxa" w:w="60"/>
              <w:left w:type="dxa" w:w="90"/>
              <w:bottom w:type="dxa" w:w="60"/>
              <w:right w:type="dxa" w:w="90"/>
            </w:tcMar>
          </w:tcPr>
          <w:p>
            <w:r>
              <w:rPr>
                <w:sz w:val="18"/>
                <w:szCs w:val="18"/>
              </w:rPr>
              <w:t xml:space="preserve">IndicConformer, IndicWhisper, IndicTrans2 and related resources.</w:t>
            </w:r>
          </w:p>
        </w:tc>
      </w:tr>
      <w:tr>
        <w:tc>
          <w:tcPr>
            <w:tcW w:type="dxa" w:w="2400"/>
            <w:tcMar>
              <w:top w:type="dxa" w:w="60"/>
              <w:left w:type="dxa" w:w="90"/>
              <w:bottom w:type="dxa" w:w="60"/>
              <w:right w:type="dxa" w:w="90"/>
            </w:tcMar>
          </w:tcPr>
          <w:p>
            <w:r>
              <w:rPr>
                <w:sz w:val="18"/>
                <w:szCs w:val="18"/>
              </w:rPr>
              <w:t xml:space="preserve">RAVDESS — Zenodo</w:t>
            </w:r>
          </w:p>
        </w:tc>
        <w:tc>
          <w:tcPr>
            <w:tcW w:type="dxa" w:w="3400"/>
            <w:tcMar>
              <w:top w:type="dxa" w:w="60"/>
              <w:left w:type="dxa" w:w="90"/>
              <w:bottom w:type="dxa" w:w="60"/>
              <w:right w:type="dxa" w:w="90"/>
            </w:tcMar>
          </w:tcPr>
          <w:p>
            <w:r>
              <w:rPr>
                <w:sz w:val="18"/>
                <w:szCs w:val="18"/>
              </w:rPr>
              <w:t xml:space="preserve">https://zenodo.org/records/1188976</w:t>
            </w:r>
          </w:p>
        </w:tc>
        <w:tc>
          <w:tcPr>
            <w:tcW w:type="dxa" w:w="3550"/>
            <w:tcMar>
              <w:top w:type="dxa" w:w="60"/>
              <w:left w:type="dxa" w:w="90"/>
              <w:bottom w:type="dxa" w:w="60"/>
              <w:right w:type="dxa" w:w="90"/>
            </w:tcMar>
          </w:tcPr>
          <w:p>
            <w:r>
              <w:rPr>
                <w:sz w:val="18"/>
                <w:szCs w:val="18"/>
              </w:rPr>
              <w:t xml:space="preserve">Emotional speech/audio-visual dataset.</w:t>
            </w:r>
          </w:p>
        </w:tc>
      </w:tr>
      <w:tr>
        <w:tc>
          <w:tcPr>
            <w:tcW w:type="dxa" w:w="2400"/>
            <w:tcMar>
              <w:top w:type="dxa" w:w="60"/>
              <w:left w:type="dxa" w:w="90"/>
              <w:bottom w:type="dxa" w:w="60"/>
              <w:right w:type="dxa" w:w="90"/>
            </w:tcMar>
          </w:tcPr>
          <w:p>
            <w:r>
              <w:rPr>
                <w:sz w:val="18"/>
                <w:szCs w:val="18"/>
              </w:rPr>
              <w:t xml:space="preserve">CREMA-D — GitHub</w:t>
            </w:r>
          </w:p>
        </w:tc>
        <w:tc>
          <w:tcPr>
            <w:tcW w:type="dxa" w:w="3400"/>
            <w:tcMar>
              <w:top w:type="dxa" w:w="60"/>
              <w:left w:type="dxa" w:w="90"/>
              <w:bottom w:type="dxa" w:w="60"/>
              <w:right w:type="dxa" w:w="90"/>
            </w:tcMar>
          </w:tcPr>
          <w:p>
            <w:r>
              <w:rPr>
                <w:sz w:val="18"/>
                <w:szCs w:val="18"/>
              </w:rPr>
              <w:t xml:space="preserve">https://github.com/CheyneyComputerScience/CREMA-D</w:t>
            </w:r>
          </w:p>
        </w:tc>
        <w:tc>
          <w:tcPr>
            <w:tcW w:type="dxa" w:w="3550"/>
            <w:tcMar>
              <w:top w:type="dxa" w:w="60"/>
              <w:left w:type="dxa" w:w="90"/>
              <w:bottom w:type="dxa" w:w="60"/>
              <w:right w:type="dxa" w:w="90"/>
            </w:tcMar>
          </w:tcPr>
          <w:p>
            <w:r>
              <w:rPr>
                <w:sz w:val="18"/>
                <w:szCs w:val="18"/>
              </w:rPr>
              <w:t xml:space="preserve">7,442 emotional clips from 91 actors.</w:t>
            </w:r>
          </w:p>
        </w:tc>
      </w:tr>
      <w:tr>
        <w:tc>
          <w:tcPr>
            <w:tcW w:type="dxa" w:w="2400"/>
            <w:tcMar>
              <w:top w:type="dxa" w:w="60"/>
              <w:left w:type="dxa" w:w="90"/>
              <w:bottom w:type="dxa" w:w="60"/>
              <w:right w:type="dxa" w:w="90"/>
            </w:tcMar>
          </w:tcPr>
          <w:p>
            <w:r>
              <w:rPr>
                <w:sz w:val="18"/>
                <w:szCs w:val="18"/>
              </w:rPr>
              <w:t xml:space="preserve">GoEmotions — Google Research</w:t>
            </w:r>
          </w:p>
        </w:tc>
        <w:tc>
          <w:tcPr>
            <w:tcW w:type="dxa" w:w="3400"/>
            <w:tcMar>
              <w:top w:type="dxa" w:w="60"/>
              <w:left w:type="dxa" w:w="90"/>
              <w:bottom w:type="dxa" w:w="60"/>
              <w:right w:type="dxa" w:w="90"/>
            </w:tcMar>
          </w:tcPr>
          <w:p>
            <w:r>
              <w:rPr>
                <w:sz w:val="18"/>
                <w:szCs w:val="18"/>
              </w:rPr>
              <w:t xml:space="preserve">https://github.com/google-research/google-research/tree/master/goemotions</w:t>
            </w:r>
          </w:p>
        </w:tc>
        <w:tc>
          <w:tcPr>
            <w:tcW w:type="dxa" w:w="3550"/>
            <w:tcMar>
              <w:top w:type="dxa" w:w="60"/>
              <w:left w:type="dxa" w:w="90"/>
              <w:bottom w:type="dxa" w:w="60"/>
              <w:right w:type="dxa" w:w="90"/>
            </w:tcMar>
          </w:tcPr>
          <w:p>
            <w:r>
              <w:rPr>
                <w:sz w:val="18"/>
                <w:szCs w:val="18"/>
              </w:rPr>
              <w:t xml:space="preserve">58k text comments with 27 emotion categories + neutral.</w:t>
            </w:r>
          </w:p>
        </w:tc>
      </w:tr>
      <w:tr>
        <w:tc>
          <w:tcPr>
            <w:tcW w:type="dxa" w:w="2400"/>
            <w:tcMar>
              <w:top w:type="dxa" w:w="60"/>
              <w:left w:type="dxa" w:w="90"/>
              <w:bottom w:type="dxa" w:w="60"/>
              <w:right w:type="dxa" w:w="90"/>
            </w:tcMar>
          </w:tcPr>
          <w:p>
            <w:r>
              <w:rPr>
                <w:sz w:val="18"/>
                <w:szCs w:val="18"/>
              </w:rPr>
              <w:t xml:space="preserve">MuRIL — arXiv</w:t>
            </w:r>
          </w:p>
        </w:tc>
        <w:tc>
          <w:tcPr>
            <w:tcW w:type="dxa" w:w="3400"/>
            <w:tcMar>
              <w:top w:type="dxa" w:w="60"/>
              <w:left w:type="dxa" w:w="90"/>
              <w:bottom w:type="dxa" w:w="60"/>
              <w:right w:type="dxa" w:w="90"/>
            </w:tcMar>
          </w:tcPr>
          <w:p>
            <w:r>
              <w:rPr>
                <w:sz w:val="18"/>
                <w:szCs w:val="18"/>
              </w:rPr>
              <w:t xml:space="preserve">https://arxiv.org/abs/2103.10730</w:t>
            </w:r>
          </w:p>
        </w:tc>
        <w:tc>
          <w:tcPr>
            <w:tcW w:type="dxa" w:w="3550"/>
            <w:tcMar>
              <w:top w:type="dxa" w:w="60"/>
              <w:left w:type="dxa" w:w="90"/>
              <w:bottom w:type="dxa" w:w="60"/>
              <w:right w:type="dxa" w:w="90"/>
            </w:tcMar>
          </w:tcPr>
          <w:p>
            <w:r>
              <w:rPr>
                <w:sz w:val="18"/>
                <w:szCs w:val="18"/>
              </w:rPr>
              <w:t xml:space="preserve">Khanuja et al., 2021 (Google Research India). Peer-cited paper behind the MuRIL base model we fine-tune for text distress.</w:t>
            </w:r>
          </w:p>
        </w:tc>
      </w:tr>
      <w:tr>
        <w:tc>
          <w:tcPr>
            <w:tcW w:type="dxa" w:w="2400"/>
            <w:tcMar>
              <w:top w:type="dxa" w:w="60"/>
              <w:left w:type="dxa" w:w="90"/>
              <w:bottom w:type="dxa" w:w="60"/>
              <w:right w:type="dxa" w:w="90"/>
            </w:tcMar>
          </w:tcPr>
          <w:p>
            <w:r>
              <w:rPr>
                <w:sz w:val="18"/>
                <w:szCs w:val="18"/>
              </w:rPr>
              <w:t xml:space="preserve">IndicNLPSuite / IndicBERT — ACL Anthology</w:t>
            </w:r>
          </w:p>
        </w:tc>
        <w:tc>
          <w:tcPr>
            <w:tcW w:type="dxa" w:w="3400"/>
            <w:tcMar>
              <w:top w:type="dxa" w:w="60"/>
              <w:left w:type="dxa" w:w="90"/>
              <w:bottom w:type="dxa" w:w="60"/>
              <w:right w:type="dxa" w:w="90"/>
            </w:tcMar>
          </w:tcPr>
          <w:p>
            <w:r>
              <w:rPr>
                <w:sz w:val="18"/>
                <w:szCs w:val="18"/>
              </w:rPr>
              <w:t xml:space="preserve">https://aclanthology.org/2020.findings-emnlp.445/</w:t>
            </w:r>
          </w:p>
        </w:tc>
        <w:tc>
          <w:tcPr>
            <w:tcW w:type="dxa" w:w="3550"/>
            <w:tcMar>
              <w:top w:type="dxa" w:w="60"/>
              <w:left w:type="dxa" w:w="90"/>
              <w:bottom w:type="dxa" w:w="60"/>
              <w:right w:type="dxa" w:w="90"/>
            </w:tcMar>
          </w:tcPr>
          <w:p>
            <w:r>
              <w:rPr>
                <w:sz w:val="18"/>
                <w:szCs w:val="18"/>
              </w:rPr>
              <w:t xml:space="preserve">Kakwani et al., Findings of EMNLP 2020 (AI4Bharat). Introduces IndicBERT and the IndicCorp/IndicGLUE resources it's built on.</w:t>
            </w:r>
          </w:p>
        </w:tc>
      </w:tr>
      <w:tr>
        <w:tc>
          <w:tcPr>
            <w:tcW w:type="dxa" w:w="2400"/>
            <w:tcMar>
              <w:top w:type="dxa" w:w="60"/>
              <w:left w:type="dxa" w:w="90"/>
              <w:bottom w:type="dxa" w:w="60"/>
              <w:right w:type="dxa" w:w="90"/>
            </w:tcMar>
          </w:tcPr>
          <w:p>
            <w:r>
              <w:rPr>
                <w:sz w:val="18"/>
                <w:szCs w:val="18"/>
              </w:rPr>
              <w:t xml:space="preserve">IndicConformer — GitHub / model card</w:t>
            </w:r>
          </w:p>
        </w:tc>
        <w:tc>
          <w:tcPr>
            <w:tcW w:type="dxa" w:w="3400"/>
            <w:tcMar>
              <w:top w:type="dxa" w:w="60"/>
              <w:left w:type="dxa" w:w="90"/>
              <w:bottom w:type="dxa" w:w="60"/>
              <w:right w:type="dxa" w:w="90"/>
            </w:tcMar>
          </w:tcPr>
          <w:p>
            <w:r>
              <w:rPr>
                <w:sz w:val="18"/>
                <w:szCs w:val="18"/>
              </w:rPr>
              <w:t xml:space="preserve">https://github.com/AI4Bharat/IndicConformerASR</w:t>
            </w:r>
          </w:p>
        </w:tc>
        <w:tc>
          <w:tcPr>
            <w:tcW w:type="dxa" w:w="3550"/>
            <w:tcMar>
              <w:top w:type="dxa" w:w="60"/>
              <w:left w:type="dxa" w:w="90"/>
              <w:bottom w:type="dxa" w:w="60"/>
              <w:right w:type="dxa" w:w="90"/>
            </w:tcMar>
          </w:tcPr>
          <w:p>
            <w:r>
              <w:rPr>
                <w:sz w:val="18"/>
                <w:szCs w:val="18"/>
              </w:rPr>
              <w:t xml:space="preserve">AI4Bharat, 2024. Note: this is a model/repo release, not a peer-reviewed paper — cite it as such, not as an arXiv publication.</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2026-08-31T21:18:19.020Z</dcterms:created>
  <dcterms:modified xsi:type="dcterms:W3CDTF">2026-08-31T21:18:19.020Z</dcterms:modified>
</cp:coreProperties>
</file>

<file path=docProps/custom.xml><?xml version="1.0" encoding="utf-8"?>
<Properties xmlns="http://schemas.openxmlformats.org/officeDocument/2006/custom-properties" xmlns:vt="http://schemas.openxmlformats.org/officeDocument/2006/docPropsVTypes"/>
</file>