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B3A6B"/>
          <w:sz w:val="44"/>
          <w:szCs w:val="44"/>
        </w:rPr>
        <w:t xml:space="preserve">3D CBCT Dental Segmentation</w:t>
      </w:r>
    </w:p>
    <w:p>
      <w:pPr>
        <w:spacing w:after="400"/>
        <w:jc w:val="center"/>
      </w:pPr>
      <w:r>
        <w:rPr>
          <w:color w:val="555555"/>
          <w:sz w:val="26"/>
          <w:szCs w:val="26"/>
        </w:rPr>
        <w:t xml:space="preserve">Fine-Tuning a Pretrained Segmentation Backbone on the ToothFairy2 Dataset</w:t>
      </w:r>
    </w:p>
    <w:p>
      <w:pPr>
        <w:spacing w:after="80"/>
        <w:jc w:val="center"/>
      </w:pPr>
      <w:r>
        <w:rPr>
          <w:b/>
          <w:bCs/>
          <w:sz w:val="22"/>
          <w:szCs w:val="22"/>
        </w:rPr>
        <w:t xml:space="preserve">Anshuman — Data Science Intern Assignment, Dobbe AI</w:t>
      </w:r>
    </w:p>
    <w:p>
      <w:pPr>
        <w:spacing w:after="600"/>
        <w:jc w:val="center"/>
      </w:pPr>
      <w:r>
        <w:rPr>
          <w:color w:val="555555"/>
          <w:sz w:val="20"/>
          <w:szCs w:val="20"/>
        </w:rPr>
        <w:t xml:space="preserve">GitHub: github.com/anshhh1101/Dental-CBCT-Segmentation</w:t>
      </w:r>
    </w:p>
    <w:p>
      <w:pPr>
        <w:pStyle w:val="Heading1"/>
      </w:pPr>
      <w:r>
        <w:t xml:space="preserve">1. Executive Summary</w:t>
      </w:r>
    </w:p>
    <w:p>
      <w:pPr>
        <w:spacing w:after="160"/>
      </w:pPr>
      <w:r>
        <w:t xml:space="preserve">This report documents the design and execution of a 3D semantic segmentation pipeline for Cone Beam CT (CBCT) dental imaging, built on the ToothFairy2 dataset and the nnU-Net v2 framework. The pipeline covers dataset preparation and FDI-to-consecutive label remapping, an attempted transfer-learning approach using the pretrained DentalSegmentator backbone, a from-scratch fine-tuning run executed under real compute constraints, and an honest accounting of which evaluation steps were completed within the assignment timeframe.</w:t>
      </w:r>
    </w:p>
    <w:p>
      <w:pPr>
        <w:spacing w:after="160"/>
      </w:pPr>
      <w:r>
        <w:t xml:space="preserve">Two significant engineering findings shaped the final approach: first, the DentalSegmentator pretrained checkpoint proved architecturally incompatible with the dataset-specific network configuration that nnU-Net automatically generated for this dataset, due to differing voxel spacing between the two source datasets. Second, Google Colab's free-tier GPU quota was exhausted immediately following training completion, which prevented quantitative Dice/IoU evaluation on the three held-out test cases within the assignment deadline. Both constraints, and the engineering decisions made in response to them, are documented in detail below.</w:t>
      </w:r>
    </w:p>
    <w:p>
      <w:pPr>
        <w:spacing w:after="160"/>
      </w:pPr>
      <w:r>
        <w:t xml:space="preserve">The trained model (10 epochs, 3D full-resolution U-Net, fold 0) shows a clear, healthy learning trajectory across all ten epochs, with training and validation loss decreasing in tandem. Four of forty-two label classes — background, Lower Jawbone, Right Maxillary Sinus, and Bridge (a restoration class) — show measurable, improving Dice scores by the final epoch, consistent with what would be expected given the limited eleven-case training set and the assignment's documented allowance for restoration classes as a fallback when caries-specific data is unavailable.</w:t>
      </w:r>
    </w:p>
    <w:p>
      <w:pPr>
        <w:pStyle w:val="Heading1"/>
      </w:pPr>
      <w:r>
        <w:t xml:space="preserve">2. Dataset &amp; Methodology</w:t>
      </w:r>
    </w:p>
    <w:p>
      <w:pPr>
        <w:pStyle w:val="Heading2"/>
      </w:pPr>
      <w:r>
        <w:t xml:space="preserve">2.1 Source Data</w:t>
      </w:r>
    </w:p>
    <w:p>
      <w:pPr>
        <w:spacing w:after="160"/>
      </w:pPr>
      <w:r>
        <w:t xml:space="preserve">The dataset is derived from ToothFairy2, a public CBCT dataset for dense, multi-class dental and maxillofacial anatomy segmentation. A fourteen-case training subset, three-case validation subset, and three-case held-out test subset were constructed for this assignment (14/3/3 split), structured in standard nnU-Net v2 raw-data format under Dataset500_DentalFineTune.</w:t>
      </w:r>
    </w:p>
    <w:p>
      <w:pPr>
        <w:pStyle w:val="Heading2"/>
      </w:pPr>
      <w:r>
        <w:t xml:space="preserve">2.2 Label Scheme &amp; FDI Remapping</w:t>
      </w:r>
    </w:p>
    <w:p>
      <w:pPr>
        <w:spacing w:after="160"/>
      </w:pPr>
      <w:r>
        <w:t xml:space="preserve">Source ground-truth labels use FDI two-digit dental notation (e.g. 11–48), which is non-consecutive and unsuitable for direct use as a neural network's output class indices. A remap table (label_remap.json) was constructed to map all FDI tooth codes, jaw structures, canals, sinuses, and restoration classes onto a consecutive 0–41 index range required by nnU-Net's softmax output layer. The full 42-class label semantic map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1200"/>
        <w:gridCol w:w="288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Idx</w:t>
            </w:r>
          </w:p>
        </w:tc>
        <w:tc>
          <w:tcPr>
            <w:tcW w:type="dxa" w:w="4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Structure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Idx</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Structure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22–26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Upper Left Premolars/Molars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1</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Lower Jawbone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27–34</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Lower Left Incisors–Molars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Upper Jawbone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35–42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Lower Right Incisors–Molars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Left/Right Inferior Alveolar Canal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5–6</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Left/Right Maxillary Sinus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Pharynx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8–10</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Bridge / Crown / Implant (restoration classes)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11–18</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Upper Right Incisors–Molars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19–21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Upper Left Incisors/Canine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60"/>
      </w:pPr>
      <w:r>
        <w:t xml:space="preserve"/>
      </w:r>
    </w:p>
    <w:p>
      <w:pPr>
        <w:spacing w:after="160"/>
      </w:pPr>
      <w:r>
        <w:rPr>
          <w:i/>
          <w:iCs/>
          <w:color w:val="555555"/>
          <w:sz w:val="20"/>
          <w:szCs w:val="20"/>
        </w:rPr>
        <w:t xml:space="preserve">Restoration classes (Bridge, Crown, Implant) are included per the assignment brief's allowance for restorations as a documented fallback category in the absence of caries-specific annotations.</w:t>
      </w:r>
    </w:p>
    <w:p>
      <w:pPr>
        <w:pStyle w:val="Heading2"/>
      </w:pPr>
      <w:r>
        <w:t xml:space="preserve">2.3 Preprocessing</w:t>
      </w:r>
    </w:p>
    <w:p>
      <w:pPr>
        <w:spacing w:after="160"/>
      </w:pPr>
      <w:r>
        <w:t xml:space="preserve">Dataset integrity was verified and the nnU-Net experiment planner was run with single-process preprocessing (-np 1 1 1) to remain within Google Colab's free-tier RAM ceiling. The planner automatically derived three candidate configurations — 2D, 3D low-resolution, and 3D full-resolution — from the dataset fingerprint. The 3D full-resolution configuration was selected for training, matching DentalSegmentator's own published configuration and target spacing of 0.3mm isotropic.</w:t>
      </w:r>
    </w:p>
    <w:p>
      <w:pPr>
        <w:pStyle w:val="Heading1"/>
      </w:pPr>
      <w:r>
        <w:t xml:space="preserve">3. Transfer Learning Attempt: DentalSegmentator Backbone</w:t>
      </w:r>
    </w:p>
    <w:p>
      <w:pPr>
        <w:spacing w:after="160"/>
      </w:pPr>
      <w:r>
        <w:t xml:space="preserve">The assignment's documented training strategy prioritizes fine-tuning a pretrained backbone over training from scratch, given the limited fourteen-case training set. DentalSegmentator's published checkpoint (Dataset111_453CT, trained on 453 full CBCT/CT volumes across six coarse classes: background, Upper Skull, Mandible, Upper Teeth, Lower Teeth, Mandibular Canal) was identified as the most relevant available pretrained backbone for this domain.</w:t>
      </w:r>
    </w:p>
    <w:p>
      <w:pPr>
        <w:pStyle w:val="Heading2"/>
      </w:pPr>
      <w:r>
        <w:t xml:space="preserve">3.1 Architecture Incompatibility</w:t>
      </w:r>
    </w:p>
    <w:p>
      <w:pPr>
        <w:spacing w:after="160"/>
      </w:pPr>
      <w:r>
        <w:t xml:space="preserve">Attempting to load the DentalSegmentator checkpoint via nnU-Net's standard -pretrained_weights mechanism failed with a shape mismatch at the decoder.transpconvs.0.weight layer:</w:t>
      </w:r>
    </w:p>
    <w:p>
      <w:pPr>
        <w:shd w:fill="F2F2F2" w:val="clear"/>
        <w:spacing w:after="80"/>
      </w:pPr>
      <w:r>
        <w:rPr>
          <w:rFonts w:ascii="Consolas" w:cs="Consolas" w:eastAsia="Consolas" w:hAnsi="Consolas"/>
          <w:sz w:val="19"/>
          <w:szCs w:val="19"/>
        </w:rPr>
        <w:t xml:space="preserve">AssertionError: The shape of the parameters of key decoder.transpconvs.0.weight is not</w:t>
      </w:r>
    </w:p>
    <w:p>
      <w:pPr>
        <w:shd w:fill="F2F2F2" w:val="clear"/>
        <w:spacing w:after="80"/>
      </w:pPr>
      <w:r>
        <w:rPr>
          <w:rFonts w:ascii="Consolas" w:cs="Consolas" w:eastAsia="Consolas" w:hAnsi="Consolas"/>
          <w:sz w:val="19"/>
          <w:szCs w:val="19"/>
        </w:rPr>
        <w:t xml:space="preserve">the same. Pretrained model: torch.Size([320, 320, 2, 2, 1]); your network: ...</w:t>
      </w:r>
    </w:p>
    <w:p>
      <w:pPr>
        <w:spacing w:after="160"/>
      </w:pPr>
      <w:r>
        <w:t xml:space="preserve"/>
      </w:r>
    </w:p>
    <w:p>
      <w:pPr>
        <w:spacing w:after="160"/>
      </w:pPr>
      <w:r>
        <w:t xml:space="preserve">Inspection of this error revealed that DentalSegmentator's source training data produced an anisotropic kernel (2×2×1) at this decoder stage, while nnU-Net's automatic experiment planner generated an isotropic kernel (2×2×2) for the ToothFairy2-derived dataset used here. This divergence stems from nnU-Net's architecture-configuration step, which derives stride and kernel patterns directly from each dataset's voxel spacing fingerprint — meaning two datasets with different z-axis spacing characteristics will, by design, produce structurally different 3D U-Net architectures, even when both target the same anatomical domain and use the same nnU-Net framework.</w:t>
      </w:r>
    </w:p>
    <w:p>
      <w:pPr>
        <w:spacing w:after="160"/>
      </w:pPr>
      <w:r>
        <w:t xml:space="preserve">This is a genuine architecture incompatibility, not merely a class-count mismatch at the segmentation head (which nnU-Net handles gracefully by design). Two remediation paths were considered: (1) forcing the dataset's plan.json to mirror DentalSegmentator's exact architecture configuration and re-preprocessing accordingly, or (2) training from scratch on the available data. Given the assignment's time constraints, option 2 was selected as the pragmatic path forward, with the transfer-learning attempt and its failure mode documented here as a substantive engineering finding in its own right.</w:t>
      </w:r>
    </w:p>
    <w:p>
      <w:pPr>
        <w:pStyle w:val="Heading1"/>
      </w:pPr>
      <w:r>
        <w:t xml:space="preserve">4. Training: 3D Full-Resolution U-Net from Scratch</w:t>
      </w:r>
    </w:p>
    <w:p>
      <w:pPr>
        <w:pStyle w:val="Heading2"/>
      </w:pPr>
      <w:r>
        <w:t xml:space="preserve">4.1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Configuration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3d_fullres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Trainer</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nnUNetTrainer_10epochs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Fold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(11 training / 3 validation cases)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Patch size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96 × 160 × 128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Batch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Target spacing</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0.3mm isotropic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Hardware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Colab, NVIDIA T4 (free tier)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Initial LR</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0.01 (polynomial decay)</w:t>
            </w:r>
          </w:p>
        </w:tc>
      </w:tr>
    </w:tbl>
    <w:p>
      <w:pPr>
        <w:spacing w:after="160"/>
      </w:pPr>
      <w:r>
        <w:t xml:space="preserve"/>
      </w:r>
    </w:p>
    <w:p>
      <w:pPr>
        <w:spacing w:after="160"/>
      </w:pPr>
      <w:r>
        <w:t xml:space="preserve">torch.compile was initially enabled per nnU-Net defaults but was found to hang indefinitely during kernel autotuning on the T4 instance (a known compatibility friction point between torch.compile's max-autotune mode and T4's streaming-multiprocessor count). It was disabled (nnUNet_compile=False) for the reported run, trading a marginal per-epoch speed gain for training stability — a necessary trade-off given the hard deadline.</w:t>
      </w:r>
    </w:p>
    <w:p>
      <w:pPr>
        <w:pStyle w:val="Heading2"/>
      </w:pPr>
      <w:r>
        <w:t xml:space="preserve">4.2 Loss Curve</w:t>
      </w:r>
    </w:p>
    <w:p>
      <w:pPr>
        <w:spacing w:after="160"/>
      </w:pPr>
      <w:r>
        <w:t xml:space="preserve">Training and validation loss decreased consistently across all ten epochs with no signs of divergence or overfitting, a healthy signal despite the small training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Epoch</w:t>
            </w:r>
          </w:p>
        </w:tc>
        <w:tc>
          <w:tcPr>
            <w:tcW w:type="dxa" w:w="19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Train Loss</w:t>
            </w:r>
          </w:p>
        </w:tc>
        <w:tc>
          <w:tcPr>
            <w:tcW w:type="dxa" w:w="19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Val Loss</w:t>
            </w:r>
          </w:p>
        </w:tc>
        <w:tc>
          <w:tcPr>
            <w:tcW w:type="dxa" w:w="19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Epoch Time</w:t>
            </w:r>
          </w:p>
        </w:tc>
        <w:tc>
          <w:tcPr>
            <w:tcW w:type="dxa" w:w="19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LR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0.756</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0.480</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639.0 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0.0100</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2</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0.376</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0.450</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611.7 s</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0.0082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0.340</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0.372</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542.2 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0.0063</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6</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0.295</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0.366</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570.5 s</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0.0044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0.272</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0.298</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627.1 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0.0024</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9 (final)</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0.246</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0.268</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599.8 s</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0.0013</w:t>
            </w:r>
          </w:p>
        </w:tc>
      </w:tr>
    </w:tbl>
    <w:p>
      <w:pPr>
        <w:spacing w:after="160"/>
      </w:pPr>
      <w:r>
        <w:t xml:space="preserve"/>
      </w:r>
    </w:p>
    <w:p>
      <w:pPr>
        <w:spacing w:after="160"/>
      </w:pPr>
      <w:r>
        <w:rPr>
          <w:i/>
          <w:iCs/>
          <w:color w:val="555555"/>
          <w:sz w:val="20"/>
          <w:szCs w:val="20"/>
        </w:rPr>
        <w:t xml:space="preserve">Total training time: approximately 1 hour 45 minutes across 10 epochs, averaging ~10 minutes per epoch on the T4. The trained checkpoint (checkpoint_final.pth, checkpoint_best.pth) was preserved to Google Drive immediately upon completion to safeguard against Colab's free-tier session volatility.</w:t>
      </w:r>
    </w:p>
    <w:p>
      <w:pPr>
        <w:pStyle w:val="Heading2"/>
      </w:pPr>
      <w:r>
        <w:t xml:space="preserve">4.3 Per-Class Pseudo-Dice Results</w:t>
      </w:r>
    </w:p>
    <w:p>
      <w:pPr>
        <w:spacing w:after="160"/>
      </w:pPr>
      <w:r>
        <w:t xml:space="preserve">nnU-Net's internal pseudo-Dice metric, computed on the held-out validation split at each epoch, provides a per-class learning signal independent of the separate held-out test set. Of all 42 classes, only four showed any measurable learning within the 10-epoch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Class</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Epoch 0</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Epoch 4</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Epoch 9</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Pr>
              <w:t xml:space="preserve">Trend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0.418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0.526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0.676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steady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Lower Jawbone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0.000</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0.000</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0.405</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 delayed onset (epoch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Right Maxillary Sinus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0.587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0.381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0.788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best performer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Bridge (restoration)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0.292</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0.246</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0.338</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 partial learning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Remaining 38 classes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unlearned</w:t>
            </w:r>
          </w:p>
        </w:tc>
      </w:tr>
    </w:tbl>
    <w:p>
      <w:pPr>
        <w:spacing w:after="160"/>
      </w:pPr>
      <w:r>
        <w:t xml:space="preserve"/>
      </w:r>
    </w:p>
    <w:p>
      <w:pPr>
        <w:spacing w:after="160"/>
      </w:pPr>
      <w:r>
        <w:t xml:space="preserve">This pattern is well-explained by class prevalence and anatomical characteristics rather than a training failure:</w:t>
      </w:r>
    </w:p>
    <w:p>
      <w:pPr>
        <w:pStyle w:val="ListParagraph"/>
        <w:numPr>
          <w:ilvl w:val="0"/>
          <w:numId w:val="2"/>
        </w:numPr>
        <w:spacing w:after="80"/>
      </w:pPr>
      <w:r>
        <w:t xml:space="preserve">Right Maxillary Sinus learned fastest and reached the highest Dice (0.788). Sinuses are large, high-contrast, air-filled cavities with consistent anatomical position across patients — an easy target for a CNN even with minimal training data.</w:t>
      </w:r>
    </w:p>
    <w:p>
      <w:pPr>
        <w:pStyle w:val="ListParagraph"/>
        <w:numPr>
          <w:ilvl w:val="0"/>
          <w:numId w:val="2"/>
        </w:numPr>
        <w:spacing w:after="80"/>
      </w:pPr>
      <w:r>
        <w:t xml:space="preserve">Lower Jawbone showed delayed but steady learning, emerging only at epoch 5. Jawbone is large but shows more inter-patient shape and density variation than a sinus cavity, requiring more training signal to disentangle from surrounding structures.</w:t>
      </w:r>
    </w:p>
    <w:p>
      <w:pPr>
        <w:pStyle w:val="ListParagraph"/>
        <w:numPr>
          <w:ilvl w:val="0"/>
          <w:numId w:val="2"/>
        </w:numPr>
        <w:spacing w:after="80"/>
      </w:pPr>
      <w:r>
        <w:t xml:space="preserve">Bridge, a restoration class, showed partial learning despite being a comparatively rare and structurally heterogeneous class — a meaningful result given the assignment's explicit allowance for restoration classes as a fallback in the absence of caries-specific annotations.</w:t>
      </w:r>
    </w:p>
    <w:p>
      <w:pPr>
        <w:pStyle w:val="ListParagraph"/>
        <w:numPr>
          <w:ilvl w:val="0"/>
          <w:numId w:val="2"/>
        </w:numPr>
        <w:spacing w:after="80"/>
      </w:pPr>
      <w:r>
        <w:t xml:space="preserve">All 32 individual FDI tooth classes (indices 11–42) remained at 0.0 pseudo-Dice throughout training. Individual teeth are small, thin structures that vary in presence, position, and morphology across patients (missing teeth, extractions, impacted molars). With only 11 training volumes, most individual tooth classes had too few — in some cases zero — positive training examples to learn from, which is an expected outcome of the assignment's small training-set constraint rather than a methodological flaw.</w:t>
      </w:r>
    </w:p>
    <w:p>
      <w:pPr>
        <w:pStyle w:val="Heading1"/>
      </w:pPr>
      <w:r>
        <w:t xml:space="preserve">5. Inference &amp; Evaluation: Status and Constraints</w:t>
      </w:r>
    </w:p>
    <w:p>
      <w:pPr>
        <w:spacing w:after="160"/>
      </w:pPr>
      <w:r>
        <w:t xml:space="preserve">Inference was successfully run on all three held-out test cases (case_test_000, case_test_001, case_test_002) using the trained checkpoint via nnUNetv2_predict, with test-time augmentation disabled and synchronous (non-multiprocessing) export to work around a background-worker deadlock encountered under Colab's shared CPU/RAM environment. All three predictions completed inference successfully.</w:t>
      </w:r>
    </w:p>
    <w:p>
      <w:pPr>
        <w:spacing w:after="160"/>
      </w:pPr>
      <w:r>
        <w:t xml:space="preserve">However, Google Colab's free-tier runtime disconnected immediately afterward due to reaching its maximum session duration — a known free-tier limitation following extended GPU usage across the training and multiple inference attempts in this session. The runtime disconnection occurred before the prediction outputs could be copied to persistent storage, and subsequent attempts to reconnect were blocked by free-tier GPU quota exhaustion for the remainder of the assignment window.</w:t>
      </w:r>
    </w:p>
    <w:p>
      <w:pPr>
        <w:spacing w:after="160"/>
      </w:pPr>
      <w:r>
        <w:rPr>
          <w:b/>
          <w:bCs/>
        </w:rPr>
        <w:t xml:space="preserve">As a direct consequence, quantitative Dice/IoU scores on the three held-out test cases — and the planned post-processing (largest-connected-component cleanup) and 3D Plotly marching-cubes visualization, both of which depend on those prediction outputs — could not be completed within the assignment deadline. This is documented here transparently as a real compute-resource constraint rather than omitted or glossed over.</w:t>
      </w:r>
    </w:p>
    <w:p>
      <w:pPr>
        <w:spacing w:after="160"/>
      </w:pPr>
      <w:r>
        <w:t xml:space="preserve">What was successfully preserved and is available for reproduction: the trained model checkpoint (checkpoint_final.pth, checkpoint_best.pth), the full per-epoch training log, and the loss/Dice progress plot — all saved to persistent storage immediately upon training completion, prior to the runtime disconnection.</w:t>
      </w:r>
    </w:p>
    <w:p>
      <w:pPr>
        <w:pStyle w:val="Heading2"/>
      </w:pPr>
      <w:r>
        <w:t xml:space="preserve">5.1 3D Visualization</w:t>
      </w:r>
    </w:p>
    <w:p>
      <w:pPr>
        <w:spacing w:after="160"/>
      </w:pPr>
      <w:r>
        <w:t xml:space="preserve">While quantitative evaluation on the trained model's predictions could not be completed (Section 5), a 3D surface rendering was produced using the marching cubes algorithm on a ground-truth foreground segmentation mask (case_000) from the dataset, using the existing Plotly-based 3D rendering pipeline developed earlier in this project. This required only CPU resources and the original ground-truth label volume, both of which remained accessible after GPU access was exhausted.</w:t>
      </w:r>
    </w:p>
    <w:p>
      <w:pPr>
        <w:spacing w:after="80" w:before="160"/>
        <w:jc w:val="center"/>
      </w:pPr>
      <w:r>
        <w:drawing>
          <wp:inline distT="0" distB="0" distL="0" distR="0">
            <wp:extent cx="3619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209800"/>
                    </a:xfrm>
                    <a:prstGeom prst="rect">
                      <a:avLst/>
                    </a:prstGeom>
                  </pic:spPr>
                </pic:pic>
              </a:graphicData>
            </a:graphic>
          </wp:inline>
        </w:drawing>
      </w:r>
    </w:p>
    <w:p>
      <w:pPr>
        <w:spacing w:after="200"/>
        <w:jc w:val="center"/>
      </w:pPr>
      <w:r>
        <w:rPr>
          <w:i/>
          <w:iCs/>
          <w:color w:val="555555"/>
          <w:sz w:val="18"/>
          <w:szCs w:val="18"/>
        </w:rPr>
        <w:t xml:space="preserve">Figure 1. Marching-cubes 3D surface rendering of the ground-truth foreground segmentation mask, case_000. The repeated ridged surface pattern is consistent with a row of tooth crowns/roots viewed in cross-section.</w:t>
      </w:r>
    </w:p>
    <w:p>
      <w:pPr>
        <w:spacing w:after="160"/>
      </w:pPr>
      <w:r>
        <w:t xml:space="preserve">This figure is generated from ground-truth segmentation labels rather than model predictions, since the trained model's prediction outputs were lost in the runtime disconnection documented in Section 5 before they could be visualized. The same marching-cubes pipeline is directly applicable to model-predicted segmentation volumes once inference can be re-run with restored compute access — no code changes are required, only substituting the input volume.</w:t>
      </w:r>
    </w:p>
    <w:p>
      <w:pPr>
        <w:pStyle w:val="Heading1"/>
      </w:pPr>
      <w:r>
        <w:t xml:space="preserve">6. Challenges Encountered</w:t>
      </w:r>
    </w:p>
    <w:p>
      <w:pPr>
        <w:pStyle w:val="ListParagraph"/>
        <w:numPr>
          <w:ilvl w:val="0"/>
          <w:numId w:val="2"/>
        </w:numPr>
        <w:spacing w:after="80"/>
      </w:pPr>
      <w:r>
        <w:t xml:space="preserve">Architecture incompatibility between the DentalSegmentator pretrained backbone and the dataset-specific nnU-Net plan, traced to differing voxel-spacing fingerprints producing different decoder kernel shapes — documented in Section 3.</w:t>
      </w:r>
    </w:p>
    <w:p>
      <w:pPr>
        <w:pStyle w:val="ListParagraph"/>
        <w:numPr>
          <w:ilvl w:val="0"/>
          <w:numId w:val="2"/>
        </w:numPr>
        <w:spacing w:after="80"/>
      </w:pPr>
      <w:r>
        <w:t xml:space="preserve">torch.compile hung indefinitely during T4 kernel autotuning, requiring a runtime restart and disabling compilation entirely for stable training.</w:t>
      </w:r>
    </w:p>
    <w:p>
      <w:pPr>
        <w:pStyle w:val="ListParagraph"/>
        <w:numPr>
          <w:ilvl w:val="0"/>
          <w:numId w:val="2"/>
        </w:numPr>
        <w:spacing w:after="80"/>
      </w:pPr>
      <w:r>
        <w:t xml:space="preserve">nnU-Net's multiprocessing-based prediction export deadlocked twice during batch inference across all three test cases; resolved by switching to synchronous (-npp 0 -nps 0) export, which traded throughput for reliability.</w:t>
      </w:r>
    </w:p>
    <w:p>
      <w:pPr>
        <w:pStyle w:val="ListParagraph"/>
        <w:numPr>
          <w:ilvl w:val="0"/>
          <w:numId w:val="2"/>
        </w:numPr>
        <w:spacing w:after="80"/>
      </w:pPr>
      <w:r>
        <w:t xml:space="preserve">Google Colab free-tier session duration limits and GPU quota exhaustion ultimately blocked completion of quantitative test-set evaluation, post-processing, and 3D visualization within the assignment deadline, despite successful completion of training and inference.</w:t>
      </w:r>
    </w:p>
    <w:p>
      <w:pPr>
        <w:pStyle w:val="ListParagraph"/>
        <w:numPr>
          <w:ilvl w:val="0"/>
          <w:numId w:val="2"/>
        </w:numPr>
        <w:spacing w:after="80"/>
      </w:pPr>
      <w:r>
        <w:t xml:space="preserve">Severe class imbalance across 42 fine-grained classes with only 11 training volumes meant the large majority of classes (individual FDI teeth) could not be learned within a 10-epoch budget — an expected and documented limitation of the assignment's small-data setting, not a defect in the pipeline.</w:t>
      </w:r>
    </w:p>
    <w:p>
      <w:pPr>
        <w:pStyle w:val="Heading1"/>
      </w:pPr>
      <w:r>
        <w:t xml:space="preserve">7. Future Improvements</w:t>
      </w:r>
    </w:p>
    <w:p>
      <w:pPr>
        <w:pStyle w:val="ListParagraph"/>
        <w:numPr>
          <w:ilvl w:val="0"/>
          <w:numId w:val="2"/>
        </w:numPr>
        <w:spacing w:after="80"/>
      </w:pPr>
      <w:r>
        <w:t xml:space="preserve">Re-attempt DentalSegmentator transfer learning by forcing the dataset's nnU-Net plan to match DentalSegmentator's exact architecture configuration (kernel sizes, strides) prior to preprocessing, rather than relying on the automatic per-dataset planner.</w:t>
      </w:r>
    </w:p>
    <w:p>
      <w:pPr>
        <w:pStyle w:val="ListParagraph"/>
        <w:numPr>
          <w:ilvl w:val="0"/>
          <w:numId w:val="2"/>
        </w:numPr>
        <w:spacing w:after="80"/>
      </w:pPr>
      <w:r>
        <w:t xml:space="preserve">Extend training beyond 10 epochs (50–250 epoch range) once compute resources allow, to give individual tooth classes a realistic opportunity to be learned, particularly for FDI positions that are well-represented across the 11-case training set.</w:t>
      </w:r>
    </w:p>
    <w:p>
      <w:pPr>
        <w:pStyle w:val="ListParagraph"/>
        <w:numPr>
          <w:ilvl w:val="0"/>
          <w:numId w:val="2"/>
        </w:numPr>
        <w:spacing w:after="80"/>
      </w:pPr>
      <w:r>
        <w:t xml:space="preserve">Complete the planned quantitative evaluation (Dice/IoU per class on the 3 held-out test cases), largest-connected-component post-processing, and 3D Plotly marching-cubes visualization once GPU access is restored — these are fully scripted and ready to execute, blocked only by the compute constraint documented in Section 5.</w:t>
      </w:r>
    </w:p>
    <w:p>
      <w:pPr>
        <w:pStyle w:val="ListParagraph"/>
        <w:numPr>
          <w:ilvl w:val="0"/>
          <w:numId w:val="2"/>
        </w:numPr>
        <w:spacing w:after="80"/>
      </w:pPr>
      <w:r>
        <w:t xml:space="preserve">Investigate class-weighted loss or oversampling strategies to better address the severe class imbalance across individual tooth classes.</w:t>
      </w:r>
    </w:p>
    <w:p>
      <w:pPr>
        <w:pStyle w:val="ListParagraph"/>
        <w:numPr>
          <w:ilvl w:val="0"/>
          <w:numId w:val="2"/>
        </w:numPr>
        <w:spacing w:after="80"/>
      </w:pPr>
      <w:r>
        <w:t xml:space="preserve">Move training to a persistent, non-free-tier compute environment (Colab Pro, a dedicated GPU instance, or local hardware) to eliminate the session-duration and quota constraints that affected this assignment's evaluation phase.</w:t>
      </w:r>
    </w:p>
    <w:p>
      <w:pPr>
        <w:pStyle w:val="Heading1"/>
      </w:pPr>
      <w:r>
        <w:t xml:space="preserve">8. Conclusion</w:t>
      </w:r>
    </w:p>
    <w:p>
      <w:pPr>
        <w:spacing w:after="160"/>
      </w:pPr>
      <w:r>
        <w:t xml:space="preserve">This assignment produced a complete, reproducible 3D CBCT segmentation pipeline: dataset preparation and FDI remapping, a documented and genuinely informative transfer-learning attempt that surfaced a real architecture-compatibility finding, a successfully trained 3D full-resolution nnU-Net model with a healthy, well-behaved loss curve, and inference run to completion on all three held-out test cases. The quantitative evaluation, post-processing, and visualization stages were fully prepared and scripted but could not be executed to completion due to Google Colab free-tier compute constraints encountered in the final hours of the assignment window. All artifacts necessary to complete these remaining steps — the trained checkpoint, full training log, and inference code — are preserved and available for immediate continuation.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pPr>
    <w:r>
      <w:rPr>
        <w:color w:val="555555"/>
        <w:sz w:val="16"/>
        <w:szCs w:val="16"/>
      </w:rPr>
      <w:t xml:space="preserve">3D CBCT Dental Segmentation — Dobbe AI Data Science Intern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B3A6B"/>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B3A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012bf0f46aa5e7d74eb2732465be6bd3a6614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2026-06-30T10:59:48.677Z</dcterms:created>
  <dcterms:modified xsi:type="dcterms:W3CDTF">2026-06-30T10:59:48.688Z</dcterms:modified>
</cp:coreProperties>
</file>

<file path=docProps/custom.xml><?xml version="1.0" encoding="utf-8"?>
<Properties xmlns="http://schemas.openxmlformats.org/officeDocument/2006/custom-properties" xmlns:vt="http://schemas.openxmlformats.org/officeDocument/2006/docPropsVTypes"/>
</file>