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86409" w14:textId="59E1ACC5" w:rsidR="00C05B1C" w:rsidRDefault="00F50C2A">
      <w:r>
        <w:t>1-</w:t>
      </w:r>
      <w:r>
        <w:t xml:space="preserve">Provide the list of markets in which customer "Atliq Exclusive" operates its business in the APAC region. </w:t>
      </w:r>
      <w:r>
        <w:br/>
      </w:r>
      <w:r>
        <w:t xml:space="preserve">market Australia Bangladesh India Indonesia Japan </w:t>
      </w:r>
      <w:proofErr w:type="spellStart"/>
      <w:r>
        <w:t>Newzealand</w:t>
      </w:r>
      <w:proofErr w:type="spellEnd"/>
      <w:r>
        <w:t xml:space="preserve"> </w:t>
      </w:r>
      <w:proofErr w:type="spellStart"/>
      <w:r>
        <w:t>Philiphines</w:t>
      </w:r>
      <w:proofErr w:type="spellEnd"/>
      <w:r>
        <w:t xml:space="preserve"> South Korea</w:t>
      </w:r>
      <w:r>
        <w:br/>
      </w:r>
    </w:p>
    <w:p w14:paraId="7E6DED5D" w14:textId="77777777" w:rsidR="00F50C2A" w:rsidRPr="00F50C2A" w:rsidRDefault="00F50C2A" w:rsidP="00F50C2A">
      <w:pPr>
        <w:pStyle w:val="Heading3"/>
        <w:rPr>
          <w:rFonts w:ascii="Times New Roman" w:eastAsia="Times New Roman" w:hAnsi="Times New Roman" w:cs="Times New Roman"/>
          <w:b/>
          <w:bCs/>
          <w:color w:val="auto"/>
          <w:kern w:val="0"/>
          <w:sz w:val="27"/>
          <w:szCs w:val="27"/>
          <w:lang w:eastAsia="en-IN"/>
          <w14:ligatures w14:val="none"/>
        </w:rPr>
      </w:pPr>
      <w:r>
        <w:t>2-</w:t>
      </w:r>
      <w:r>
        <w:t xml:space="preserve">Percentage Increase in Unique Products: What is the percentage of unique product increase in 2021 vs. 2020? The final output contains these fields: - unique_products_2020 - unique_products_2021 - </w:t>
      </w:r>
      <w:proofErr w:type="spellStart"/>
      <w:r>
        <w:t>percentage_chg</w:t>
      </w:r>
      <w:proofErr w:type="spellEnd"/>
      <w:r>
        <w:t xml:space="preserve">  </w:t>
      </w:r>
      <w:r>
        <w:br/>
      </w:r>
      <w:r w:rsidRPr="00F50C2A">
        <w:rPr>
          <w:rFonts w:ascii="Times New Roman" w:eastAsia="Times New Roman" w:hAnsi="Times New Roman" w:cs="Times New Roman"/>
          <w:b/>
          <w:bCs/>
          <w:color w:val="auto"/>
          <w:kern w:val="0"/>
          <w:sz w:val="27"/>
          <w:szCs w:val="27"/>
          <w:lang w:eastAsia="en-IN"/>
          <w14:ligatures w14:val="none"/>
        </w:rPr>
        <w:t>Insights:</w:t>
      </w:r>
    </w:p>
    <w:p w14:paraId="5A37FE0C" w14:textId="77777777" w:rsidR="00F50C2A" w:rsidRPr="00F50C2A" w:rsidRDefault="00F50C2A" w:rsidP="00F50C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b/>
          <w:bCs/>
          <w:kern w:val="0"/>
          <w:sz w:val="24"/>
          <w:szCs w:val="24"/>
          <w:lang w:eastAsia="en-IN"/>
          <w14:ligatures w14:val="none"/>
        </w:rPr>
        <w:t>Significant Growth in Product Portfolio</w:t>
      </w:r>
      <w:r w:rsidRPr="00F50C2A">
        <w:rPr>
          <w:rFonts w:ascii="Times New Roman" w:eastAsia="Times New Roman" w:hAnsi="Times New Roman" w:cs="Times New Roman"/>
          <w:kern w:val="0"/>
          <w:sz w:val="24"/>
          <w:szCs w:val="24"/>
          <w:lang w:eastAsia="en-IN"/>
          <w14:ligatures w14:val="none"/>
        </w:rPr>
        <w:t>:</w:t>
      </w:r>
    </w:p>
    <w:p w14:paraId="3119F68A" w14:textId="77777777" w:rsidR="00F50C2A" w:rsidRPr="00F50C2A" w:rsidRDefault="00F50C2A" w:rsidP="00F50C2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kern w:val="0"/>
          <w:sz w:val="24"/>
          <w:szCs w:val="24"/>
          <w:lang w:eastAsia="en-IN"/>
          <w14:ligatures w14:val="none"/>
        </w:rPr>
        <w:t xml:space="preserve">The number of unique products increased by </w:t>
      </w:r>
      <w:r w:rsidRPr="00F50C2A">
        <w:rPr>
          <w:rFonts w:ascii="Times New Roman" w:eastAsia="Times New Roman" w:hAnsi="Times New Roman" w:cs="Times New Roman"/>
          <w:b/>
          <w:bCs/>
          <w:kern w:val="0"/>
          <w:sz w:val="24"/>
          <w:szCs w:val="24"/>
          <w:lang w:eastAsia="en-IN"/>
          <w14:ligatures w14:val="none"/>
        </w:rPr>
        <w:t>36.33%</w:t>
      </w:r>
      <w:r w:rsidRPr="00F50C2A">
        <w:rPr>
          <w:rFonts w:ascii="Times New Roman" w:eastAsia="Times New Roman" w:hAnsi="Times New Roman" w:cs="Times New Roman"/>
          <w:kern w:val="0"/>
          <w:sz w:val="24"/>
          <w:szCs w:val="24"/>
          <w:lang w:eastAsia="en-IN"/>
          <w14:ligatures w14:val="none"/>
        </w:rPr>
        <w:t xml:space="preserve"> in 2021 compared to 2020.</w:t>
      </w:r>
    </w:p>
    <w:p w14:paraId="4C13E05A" w14:textId="77777777" w:rsidR="00F50C2A" w:rsidRPr="00F50C2A" w:rsidRDefault="00F50C2A" w:rsidP="00F50C2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kern w:val="0"/>
          <w:sz w:val="24"/>
          <w:szCs w:val="24"/>
          <w:lang w:eastAsia="en-IN"/>
          <w14:ligatures w14:val="none"/>
        </w:rPr>
        <w:t>This indicates an expansion of the product portfolio, potentially due to new launches or diversification strategies.</w:t>
      </w:r>
    </w:p>
    <w:p w14:paraId="3192BCD4" w14:textId="77777777" w:rsidR="00F50C2A" w:rsidRPr="00F50C2A" w:rsidRDefault="00F50C2A" w:rsidP="00F50C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b/>
          <w:bCs/>
          <w:kern w:val="0"/>
          <w:sz w:val="24"/>
          <w:szCs w:val="24"/>
          <w:lang w:eastAsia="en-IN"/>
          <w14:ligatures w14:val="none"/>
        </w:rPr>
        <w:t>Improved Market Coverage</w:t>
      </w:r>
      <w:r w:rsidRPr="00F50C2A">
        <w:rPr>
          <w:rFonts w:ascii="Times New Roman" w:eastAsia="Times New Roman" w:hAnsi="Times New Roman" w:cs="Times New Roman"/>
          <w:kern w:val="0"/>
          <w:sz w:val="24"/>
          <w:szCs w:val="24"/>
          <w:lang w:eastAsia="en-IN"/>
          <w14:ligatures w14:val="none"/>
        </w:rPr>
        <w:t>:</w:t>
      </w:r>
    </w:p>
    <w:p w14:paraId="6562EC93" w14:textId="77777777" w:rsidR="00F50C2A" w:rsidRPr="00F50C2A" w:rsidRDefault="00F50C2A" w:rsidP="00F50C2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kern w:val="0"/>
          <w:sz w:val="24"/>
          <w:szCs w:val="24"/>
          <w:lang w:eastAsia="en-IN"/>
          <w14:ligatures w14:val="none"/>
        </w:rPr>
        <w:t>A broader range of products could cater to different customer needs, enhancing market penetration and competitiveness.</w:t>
      </w:r>
    </w:p>
    <w:p w14:paraId="1F1AC242" w14:textId="77777777" w:rsidR="00F50C2A" w:rsidRPr="00F50C2A" w:rsidRDefault="00F50C2A" w:rsidP="00F50C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b/>
          <w:bCs/>
          <w:kern w:val="0"/>
          <w:sz w:val="24"/>
          <w:szCs w:val="24"/>
          <w:lang w:eastAsia="en-IN"/>
          <w14:ligatures w14:val="none"/>
        </w:rPr>
        <w:t>Alignment with Industry Trends</w:t>
      </w:r>
      <w:r w:rsidRPr="00F50C2A">
        <w:rPr>
          <w:rFonts w:ascii="Times New Roman" w:eastAsia="Times New Roman" w:hAnsi="Times New Roman" w:cs="Times New Roman"/>
          <w:kern w:val="0"/>
          <w:sz w:val="24"/>
          <w:szCs w:val="24"/>
          <w:lang w:eastAsia="en-IN"/>
          <w14:ligatures w14:val="none"/>
        </w:rPr>
        <w:t>:</w:t>
      </w:r>
    </w:p>
    <w:p w14:paraId="609B254E" w14:textId="77777777" w:rsidR="00F50C2A" w:rsidRPr="00F50C2A" w:rsidRDefault="00F50C2A" w:rsidP="00F50C2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kern w:val="0"/>
          <w:sz w:val="24"/>
          <w:szCs w:val="24"/>
          <w:lang w:eastAsia="en-IN"/>
          <w14:ligatures w14:val="none"/>
        </w:rPr>
        <w:t>The growth might align with industry trends, such as demand for more product variants or upgrades.</w:t>
      </w:r>
    </w:p>
    <w:p w14:paraId="3AF31E8B" w14:textId="77777777" w:rsidR="00F50C2A" w:rsidRPr="00F50C2A" w:rsidRDefault="00F50C2A" w:rsidP="00F50C2A">
      <w:pPr>
        <w:spacing w:after="0"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kern w:val="0"/>
          <w:sz w:val="24"/>
          <w:szCs w:val="24"/>
          <w:lang w:eastAsia="en-IN"/>
          <w14:ligatures w14:val="none"/>
        </w:rPr>
        <w:pict w14:anchorId="435A68A9">
          <v:rect id="_x0000_i1025" style="width:0;height:1.5pt" o:hralign="center" o:hrstd="t" o:hr="t" fillcolor="#a0a0a0" stroked="f"/>
        </w:pict>
      </w:r>
    </w:p>
    <w:p w14:paraId="1BE781FB" w14:textId="77777777" w:rsidR="00F50C2A" w:rsidRPr="00F50C2A" w:rsidRDefault="00F50C2A" w:rsidP="00F50C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50C2A">
        <w:rPr>
          <w:rFonts w:ascii="Times New Roman" w:eastAsia="Times New Roman" w:hAnsi="Times New Roman" w:cs="Times New Roman"/>
          <w:b/>
          <w:bCs/>
          <w:kern w:val="0"/>
          <w:sz w:val="27"/>
          <w:szCs w:val="27"/>
          <w:lang w:eastAsia="en-IN"/>
          <w14:ligatures w14:val="none"/>
        </w:rPr>
        <w:t>Recommendations:</w:t>
      </w:r>
    </w:p>
    <w:p w14:paraId="1B72389A" w14:textId="77777777" w:rsidR="00F50C2A" w:rsidRPr="00F50C2A" w:rsidRDefault="00F50C2A" w:rsidP="00F50C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b/>
          <w:bCs/>
          <w:kern w:val="0"/>
          <w:sz w:val="24"/>
          <w:szCs w:val="24"/>
          <w:lang w:eastAsia="en-IN"/>
          <w14:ligatures w14:val="none"/>
        </w:rPr>
        <w:t>Evaluate Product Performance</w:t>
      </w:r>
      <w:r w:rsidRPr="00F50C2A">
        <w:rPr>
          <w:rFonts w:ascii="Times New Roman" w:eastAsia="Times New Roman" w:hAnsi="Times New Roman" w:cs="Times New Roman"/>
          <w:kern w:val="0"/>
          <w:sz w:val="24"/>
          <w:szCs w:val="24"/>
          <w:lang w:eastAsia="en-IN"/>
          <w14:ligatures w14:val="none"/>
        </w:rPr>
        <w:t>:</w:t>
      </w:r>
    </w:p>
    <w:p w14:paraId="07F22B30" w14:textId="77777777" w:rsidR="00F50C2A" w:rsidRPr="00F50C2A" w:rsidRDefault="00F50C2A" w:rsidP="00F50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50C2A">
        <w:rPr>
          <w:rFonts w:ascii="Times New Roman" w:eastAsia="Times New Roman" w:hAnsi="Times New Roman" w:cs="Times New Roman"/>
          <w:kern w:val="0"/>
          <w:sz w:val="24"/>
          <w:szCs w:val="24"/>
          <w:lang w:eastAsia="en-IN"/>
          <w14:ligatures w14:val="none"/>
        </w:rPr>
        <w:t>Analyze</w:t>
      </w:r>
      <w:proofErr w:type="spellEnd"/>
      <w:r w:rsidRPr="00F50C2A">
        <w:rPr>
          <w:rFonts w:ascii="Times New Roman" w:eastAsia="Times New Roman" w:hAnsi="Times New Roman" w:cs="Times New Roman"/>
          <w:kern w:val="0"/>
          <w:sz w:val="24"/>
          <w:szCs w:val="24"/>
          <w:lang w:eastAsia="en-IN"/>
          <w14:ligatures w14:val="none"/>
        </w:rPr>
        <w:t xml:space="preserve"> the sales performance of newly added products to identify top-performing categories or segments.</w:t>
      </w:r>
    </w:p>
    <w:p w14:paraId="706F8F99" w14:textId="77777777" w:rsidR="00F50C2A" w:rsidRPr="00F50C2A" w:rsidRDefault="00F50C2A" w:rsidP="00F50C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b/>
          <w:bCs/>
          <w:kern w:val="0"/>
          <w:sz w:val="24"/>
          <w:szCs w:val="24"/>
          <w:lang w:eastAsia="en-IN"/>
          <w14:ligatures w14:val="none"/>
        </w:rPr>
        <w:t>Customer Segmentation</w:t>
      </w:r>
      <w:r w:rsidRPr="00F50C2A">
        <w:rPr>
          <w:rFonts w:ascii="Times New Roman" w:eastAsia="Times New Roman" w:hAnsi="Times New Roman" w:cs="Times New Roman"/>
          <w:kern w:val="0"/>
          <w:sz w:val="24"/>
          <w:szCs w:val="24"/>
          <w:lang w:eastAsia="en-IN"/>
          <w14:ligatures w14:val="none"/>
        </w:rPr>
        <w:t>:</w:t>
      </w:r>
    </w:p>
    <w:p w14:paraId="02E4E582" w14:textId="77777777" w:rsidR="00F50C2A" w:rsidRPr="00F50C2A" w:rsidRDefault="00F50C2A" w:rsidP="00F50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kern w:val="0"/>
          <w:sz w:val="24"/>
          <w:szCs w:val="24"/>
          <w:lang w:eastAsia="en-IN"/>
          <w14:ligatures w14:val="none"/>
        </w:rPr>
        <w:t>Understand which customer groups are driving demand for new products and focus marketing efforts accordingly.</w:t>
      </w:r>
    </w:p>
    <w:p w14:paraId="224568B2" w14:textId="77777777" w:rsidR="00F50C2A" w:rsidRPr="00F50C2A" w:rsidRDefault="00F50C2A" w:rsidP="00F50C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b/>
          <w:bCs/>
          <w:kern w:val="0"/>
          <w:sz w:val="24"/>
          <w:szCs w:val="24"/>
          <w:lang w:eastAsia="en-IN"/>
          <w14:ligatures w14:val="none"/>
        </w:rPr>
        <w:t>Inventory Management</w:t>
      </w:r>
      <w:r w:rsidRPr="00F50C2A">
        <w:rPr>
          <w:rFonts w:ascii="Times New Roman" w:eastAsia="Times New Roman" w:hAnsi="Times New Roman" w:cs="Times New Roman"/>
          <w:kern w:val="0"/>
          <w:sz w:val="24"/>
          <w:szCs w:val="24"/>
          <w:lang w:eastAsia="en-IN"/>
          <w14:ligatures w14:val="none"/>
        </w:rPr>
        <w:t>:</w:t>
      </w:r>
    </w:p>
    <w:p w14:paraId="5BCE3E8B" w14:textId="77777777" w:rsidR="00F50C2A" w:rsidRPr="00F50C2A" w:rsidRDefault="00F50C2A" w:rsidP="00F50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kern w:val="0"/>
          <w:sz w:val="24"/>
          <w:szCs w:val="24"/>
          <w:lang w:eastAsia="en-IN"/>
          <w14:ligatures w14:val="none"/>
        </w:rPr>
        <w:t>Ensure sufficient inventory levels for high-demand new products to avoid stockouts and maximize revenue.</w:t>
      </w:r>
    </w:p>
    <w:p w14:paraId="12424F16" w14:textId="77777777" w:rsidR="00F50C2A" w:rsidRPr="00F50C2A" w:rsidRDefault="00F50C2A" w:rsidP="00F50C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b/>
          <w:bCs/>
          <w:kern w:val="0"/>
          <w:sz w:val="24"/>
          <w:szCs w:val="24"/>
          <w:lang w:eastAsia="en-IN"/>
          <w14:ligatures w14:val="none"/>
        </w:rPr>
        <w:t>Feedback and Innovation</w:t>
      </w:r>
      <w:r w:rsidRPr="00F50C2A">
        <w:rPr>
          <w:rFonts w:ascii="Times New Roman" w:eastAsia="Times New Roman" w:hAnsi="Times New Roman" w:cs="Times New Roman"/>
          <w:kern w:val="0"/>
          <w:sz w:val="24"/>
          <w:szCs w:val="24"/>
          <w:lang w:eastAsia="en-IN"/>
          <w14:ligatures w14:val="none"/>
        </w:rPr>
        <w:t>:</w:t>
      </w:r>
    </w:p>
    <w:p w14:paraId="14E0CABF" w14:textId="77777777" w:rsidR="00F50C2A" w:rsidRPr="00F50C2A" w:rsidRDefault="00F50C2A" w:rsidP="00F50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kern w:val="0"/>
          <w:sz w:val="24"/>
          <w:szCs w:val="24"/>
          <w:lang w:eastAsia="en-IN"/>
          <w14:ligatures w14:val="none"/>
        </w:rPr>
        <w:t>Collect customer feedback on the new products to identify improvement opportunities and sustain growth.</w:t>
      </w:r>
    </w:p>
    <w:p w14:paraId="0ECECD5E" w14:textId="77777777" w:rsidR="00F50C2A" w:rsidRPr="00F50C2A" w:rsidRDefault="00F50C2A" w:rsidP="00F50C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b/>
          <w:bCs/>
          <w:kern w:val="0"/>
          <w:sz w:val="24"/>
          <w:szCs w:val="24"/>
          <w:lang w:eastAsia="en-IN"/>
          <w14:ligatures w14:val="none"/>
        </w:rPr>
        <w:t>Leverage the Growth</w:t>
      </w:r>
      <w:r w:rsidRPr="00F50C2A">
        <w:rPr>
          <w:rFonts w:ascii="Times New Roman" w:eastAsia="Times New Roman" w:hAnsi="Times New Roman" w:cs="Times New Roman"/>
          <w:kern w:val="0"/>
          <w:sz w:val="24"/>
          <w:szCs w:val="24"/>
          <w:lang w:eastAsia="en-IN"/>
          <w14:ligatures w14:val="none"/>
        </w:rPr>
        <w:t>:</w:t>
      </w:r>
    </w:p>
    <w:p w14:paraId="2EA949AB" w14:textId="77777777" w:rsidR="00F50C2A" w:rsidRPr="00F50C2A" w:rsidRDefault="00F50C2A" w:rsidP="00F50C2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2A">
        <w:rPr>
          <w:rFonts w:ascii="Times New Roman" w:eastAsia="Times New Roman" w:hAnsi="Times New Roman" w:cs="Times New Roman"/>
          <w:kern w:val="0"/>
          <w:sz w:val="24"/>
          <w:szCs w:val="24"/>
          <w:lang w:eastAsia="en-IN"/>
          <w14:ligatures w14:val="none"/>
        </w:rPr>
        <w:t>Highlight the increased product portfolio in marketing campaigns to strengthen brand image and attract new customers.</w:t>
      </w:r>
    </w:p>
    <w:p w14:paraId="37E8C21B" w14:textId="77777777" w:rsidR="00F50C2A" w:rsidRDefault="00F50C2A" w:rsidP="00F50C2A">
      <w:pPr>
        <w:pStyle w:val="Heading3"/>
      </w:pPr>
      <w:r>
        <w:lastRenderedPageBreak/>
        <w:t>3-</w:t>
      </w:r>
      <w:r>
        <w:t xml:space="preserve">Unique Products by Segment: Provide a report with all the unique product counts for each segment and sort them in descending order of product counts. The final output contains these fields: - segment - </w:t>
      </w:r>
      <w:proofErr w:type="spellStart"/>
      <w:r>
        <w:t>product_count</w:t>
      </w:r>
      <w:proofErr w:type="spellEnd"/>
      <w:r>
        <w:t xml:space="preserve">  </w:t>
      </w:r>
      <w:r>
        <w:br/>
      </w:r>
      <w:r>
        <w:t>Report: Unique Products by Segment (Sorted by Product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2083"/>
        <w:gridCol w:w="2533"/>
      </w:tblGrid>
      <w:tr w:rsidR="00F50C2A" w14:paraId="351C425C" w14:textId="77777777" w:rsidTr="00F50C2A">
        <w:trPr>
          <w:tblHeader/>
          <w:tblCellSpacing w:w="15" w:type="dxa"/>
        </w:trPr>
        <w:tc>
          <w:tcPr>
            <w:tcW w:w="0" w:type="auto"/>
            <w:vAlign w:val="center"/>
            <w:hideMark/>
          </w:tcPr>
          <w:p w14:paraId="776B5CF2" w14:textId="77777777" w:rsidR="00F50C2A" w:rsidRDefault="00F50C2A">
            <w:pPr>
              <w:jc w:val="center"/>
              <w:rPr>
                <w:b/>
                <w:bCs/>
              </w:rPr>
            </w:pPr>
            <w:r>
              <w:rPr>
                <w:rStyle w:val="Strong"/>
              </w:rPr>
              <w:t>Segment</w:t>
            </w:r>
          </w:p>
        </w:tc>
        <w:tc>
          <w:tcPr>
            <w:tcW w:w="0" w:type="auto"/>
            <w:vAlign w:val="center"/>
            <w:hideMark/>
          </w:tcPr>
          <w:p w14:paraId="6CD9B9A1" w14:textId="77777777" w:rsidR="00F50C2A" w:rsidRDefault="00F50C2A">
            <w:pPr>
              <w:jc w:val="center"/>
              <w:rPr>
                <w:b/>
                <w:bCs/>
              </w:rPr>
            </w:pPr>
            <w:r>
              <w:rPr>
                <w:rStyle w:val="Strong"/>
              </w:rPr>
              <w:t>Unique Product Count</w:t>
            </w:r>
          </w:p>
        </w:tc>
        <w:tc>
          <w:tcPr>
            <w:tcW w:w="0" w:type="auto"/>
            <w:vAlign w:val="center"/>
            <w:hideMark/>
          </w:tcPr>
          <w:p w14:paraId="77B3504B" w14:textId="77777777" w:rsidR="00F50C2A" w:rsidRDefault="00F50C2A">
            <w:pPr>
              <w:jc w:val="center"/>
              <w:rPr>
                <w:b/>
                <w:bCs/>
              </w:rPr>
            </w:pPr>
            <w:r>
              <w:rPr>
                <w:rStyle w:val="Strong"/>
              </w:rPr>
              <w:t>% of Total Unique Products</w:t>
            </w:r>
          </w:p>
        </w:tc>
      </w:tr>
      <w:tr w:rsidR="00F50C2A" w14:paraId="3DC89C2D" w14:textId="77777777" w:rsidTr="00F50C2A">
        <w:trPr>
          <w:tblCellSpacing w:w="15" w:type="dxa"/>
        </w:trPr>
        <w:tc>
          <w:tcPr>
            <w:tcW w:w="0" w:type="auto"/>
            <w:vAlign w:val="center"/>
            <w:hideMark/>
          </w:tcPr>
          <w:p w14:paraId="182A99AB" w14:textId="77777777" w:rsidR="00F50C2A" w:rsidRDefault="00F50C2A">
            <w:r>
              <w:rPr>
                <w:rStyle w:val="Strong"/>
              </w:rPr>
              <w:t>Notebook</w:t>
            </w:r>
          </w:p>
        </w:tc>
        <w:tc>
          <w:tcPr>
            <w:tcW w:w="0" w:type="auto"/>
            <w:vAlign w:val="center"/>
            <w:hideMark/>
          </w:tcPr>
          <w:p w14:paraId="3555EB38" w14:textId="77777777" w:rsidR="00F50C2A" w:rsidRDefault="00F50C2A">
            <w:r>
              <w:t>32.49%</w:t>
            </w:r>
          </w:p>
        </w:tc>
        <w:tc>
          <w:tcPr>
            <w:tcW w:w="0" w:type="auto"/>
            <w:vAlign w:val="center"/>
            <w:hideMark/>
          </w:tcPr>
          <w:p w14:paraId="3C2DA2BA" w14:textId="77777777" w:rsidR="00F50C2A" w:rsidRDefault="00F50C2A">
            <w:r>
              <w:t>32.49%</w:t>
            </w:r>
          </w:p>
        </w:tc>
      </w:tr>
      <w:tr w:rsidR="00F50C2A" w14:paraId="45865498" w14:textId="77777777" w:rsidTr="00F50C2A">
        <w:trPr>
          <w:tblCellSpacing w:w="15" w:type="dxa"/>
        </w:trPr>
        <w:tc>
          <w:tcPr>
            <w:tcW w:w="0" w:type="auto"/>
            <w:vAlign w:val="center"/>
            <w:hideMark/>
          </w:tcPr>
          <w:p w14:paraId="541C45AF" w14:textId="77777777" w:rsidR="00F50C2A" w:rsidRDefault="00F50C2A">
            <w:r>
              <w:rPr>
                <w:rStyle w:val="Strong"/>
              </w:rPr>
              <w:t>Accessories</w:t>
            </w:r>
          </w:p>
        </w:tc>
        <w:tc>
          <w:tcPr>
            <w:tcW w:w="0" w:type="auto"/>
            <w:vAlign w:val="center"/>
            <w:hideMark/>
          </w:tcPr>
          <w:p w14:paraId="5BAA3485" w14:textId="77777777" w:rsidR="00F50C2A" w:rsidRDefault="00F50C2A">
            <w:r>
              <w:t>29.22%</w:t>
            </w:r>
          </w:p>
        </w:tc>
        <w:tc>
          <w:tcPr>
            <w:tcW w:w="0" w:type="auto"/>
            <w:vAlign w:val="center"/>
            <w:hideMark/>
          </w:tcPr>
          <w:p w14:paraId="2BADCC60" w14:textId="77777777" w:rsidR="00F50C2A" w:rsidRDefault="00F50C2A">
            <w:r>
              <w:t>29.22%</w:t>
            </w:r>
          </w:p>
        </w:tc>
      </w:tr>
      <w:tr w:rsidR="00F50C2A" w14:paraId="1E8617CF" w14:textId="77777777" w:rsidTr="00F50C2A">
        <w:trPr>
          <w:tblCellSpacing w:w="15" w:type="dxa"/>
        </w:trPr>
        <w:tc>
          <w:tcPr>
            <w:tcW w:w="0" w:type="auto"/>
            <w:vAlign w:val="center"/>
            <w:hideMark/>
          </w:tcPr>
          <w:p w14:paraId="4D681D44" w14:textId="77777777" w:rsidR="00F50C2A" w:rsidRDefault="00F50C2A">
            <w:r>
              <w:rPr>
                <w:rStyle w:val="Strong"/>
              </w:rPr>
              <w:t>Peripherals</w:t>
            </w:r>
          </w:p>
        </w:tc>
        <w:tc>
          <w:tcPr>
            <w:tcW w:w="0" w:type="auto"/>
            <w:vAlign w:val="center"/>
            <w:hideMark/>
          </w:tcPr>
          <w:p w14:paraId="2E378F93" w14:textId="77777777" w:rsidR="00F50C2A" w:rsidRDefault="00F50C2A">
            <w:r>
              <w:t>21.16%</w:t>
            </w:r>
          </w:p>
        </w:tc>
        <w:tc>
          <w:tcPr>
            <w:tcW w:w="0" w:type="auto"/>
            <w:vAlign w:val="center"/>
            <w:hideMark/>
          </w:tcPr>
          <w:p w14:paraId="248BB406" w14:textId="77777777" w:rsidR="00F50C2A" w:rsidRDefault="00F50C2A">
            <w:r>
              <w:t>21.16%</w:t>
            </w:r>
          </w:p>
        </w:tc>
      </w:tr>
      <w:tr w:rsidR="00F50C2A" w14:paraId="470C98A2" w14:textId="77777777" w:rsidTr="00F50C2A">
        <w:trPr>
          <w:tblCellSpacing w:w="15" w:type="dxa"/>
        </w:trPr>
        <w:tc>
          <w:tcPr>
            <w:tcW w:w="0" w:type="auto"/>
            <w:vAlign w:val="center"/>
            <w:hideMark/>
          </w:tcPr>
          <w:p w14:paraId="194C1A92" w14:textId="77777777" w:rsidR="00F50C2A" w:rsidRDefault="00F50C2A">
            <w:r>
              <w:rPr>
                <w:rStyle w:val="Strong"/>
              </w:rPr>
              <w:t>Desktop</w:t>
            </w:r>
          </w:p>
        </w:tc>
        <w:tc>
          <w:tcPr>
            <w:tcW w:w="0" w:type="auto"/>
            <w:vAlign w:val="center"/>
            <w:hideMark/>
          </w:tcPr>
          <w:p w14:paraId="17A419A0" w14:textId="77777777" w:rsidR="00F50C2A" w:rsidRDefault="00F50C2A">
            <w:r>
              <w:t>8.06%</w:t>
            </w:r>
          </w:p>
        </w:tc>
        <w:tc>
          <w:tcPr>
            <w:tcW w:w="0" w:type="auto"/>
            <w:vAlign w:val="center"/>
            <w:hideMark/>
          </w:tcPr>
          <w:p w14:paraId="0D77C6A6" w14:textId="77777777" w:rsidR="00F50C2A" w:rsidRDefault="00F50C2A">
            <w:r>
              <w:t>8.06%</w:t>
            </w:r>
          </w:p>
        </w:tc>
      </w:tr>
      <w:tr w:rsidR="00F50C2A" w14:paraId="6C625298" w14:textId="77777777" w:rsidTr="00F50C2A">
        <w:trPr>
          <w:tblCellSpacing w:w="15" w:type="dxa"/>
        </w:trPr>
        <w:tc>
          <w:tcPr>
            <w:tcW w:w="0" w:type="auto"/>
            <w:vAlign w:val="center"/>
            <w:hideMark/>
          </w:tcPr>
          <w:p w14:paraId="49485FE2" w14:textId="77777777" w:rsidR="00F50C2A" w:rsidRDefault="00F50C2A">
            <w:r>
              <w:rPr>
                <w:rStyle w:val="Strong"/>
              </w:rPr>
              <w:t>Storage</w:t>
            </w:r>
          </w:p>
        </w:tc>
        <w:tc>
          <w:tcPr>
            <w:tcW w:w="0" w:type="auto"/>
            <w:vAlign w:val="center"/>
            <w:hideMark/>
          </w:tcPr>
          <w:p w14:paraId="7893438E" w14:textId="77777777" w:rsidR="00F50C2A" w:rsidRDefault="00F50C2A">
            <w:r>
              <w:t>6.80%</w:t>
            </w:r>
          </w:p>
        </w:tc>
        <w:tc>
          <w:tcPr>
            <w:tcW w:w="0" w:type="auto"/>
            <w:vAlign w:val="center"/>
            <w:hideMark/>
          </w:tcPr>
          <w:p w14:paraId="4493925A" w14:textId="77777777" w:rsidR="00F50C2A" w:rsidRDefault="00F50C2A">
            <w:r>
              <w:t>6.80%</w:t>
            </w:r>
          </w:p>
        </w:tc>
      </w:tr>
      <w:tr w:rsidR="00F50C2A" w14:paraId="0E3FC2EA" w14:textId="77777777" w:rsidTr="00F50C2A">
        <w:trPr>
          <w:tblCellSpacing w:w="15" w:type="dxa"/>
        </w:trPr>
        <w:tc>
          <w:tcPr>
            <w:tcW w:w="0" w:type="auto"/>
            <w:vAlign w:val="center"/>
            <w:hideMark/>
          </w:tcPr>
          <w:p w14:paraId="13079180" w14:textId="77777777" w:rsidR="00F50C2A" w:rsidRDefault="00F50C2A">
            <w:r>
              <w:rPr>
                <w:rStyle w:val="Strong"/>
              </w:rPr>
              <w:t>Networking</w:t>
            </w:r>
          </w:p>
        </w:tc>
        <w:tc>
          <w:tcPr>
            <w:tcW w:w="0" w:type="auto"/>
            <w:vAlign w:val="center"/>
            <w:hideMark/>
          </w:tcPr>
          <w:p w14:paraId="24658DC7" w14:textId="77777777" w:rsidR="00F50C2A" w:rsidRDefault="00F50C2A">
            <w:r>
              <w:t>2.27%</w:t>
            </w:r>
          </w:p>
        </w:tc>
        <w:tc>
          <w:tcPr>
            <w:tcW w:w="0" w:type="auto"/>
            <w:vAlign w:val="center"/>
            <w:hideMark/>
          </w:tcPr>
          <w:p w14:paraId="66FCE08F" w14:textId="77777777" w:rsidR="00F50C2A" w:rsidRDefault="00F50C2A">
            <w:r>
              <w:t>2.27%</w:t>
            </w:r>
          </w:p>
        </w:tc>
      </w:tr>
    </w:tbl>
    <w:p w14:paraId="3F25533D" w14:textId="77777777" w:rsidR="00F50C2A" w:rsidRDefault="00F50C2A" w:rsidP="00F50C2A">
      <w:r>
        <w:pict w14:anchorId="17E44EDA">
          <v:rect id="_x0000_i1027" style="width:0;height:1.5pt" o:hralign="center" o:hrstd="t" o:hr="t" fillcolor="#a0a0a0" stroked="f"/>
        </w:pict>
      </w:r>
    </w:p>
    <w:p w14:paraId="15F728E6" w14:textId="77777777" w:rsidR="00F50C2A" w:rsidRDefault="00F50C2A" w:rsidP="00F50C2A">
      <w:pPr>
        <w:pStyle w:val="Heading3"/>
      </w:pPr>
      <w:r>
        <w:t>Insights:</w:t>
      </w:r>
    </w:p>
    <w:p w14:paraId="45E8BBF2" w14:textId="77777777" w:rsidR="00F50C2A" w:rsidRDefault="00F50C2A" w:rsidP="00F50C2A">
      <w:pPr>
        <w:pStyle w:val="NormalWeb"/>
        <w:numPr>
          <w:ilvl w:val="0"/>
          <w:numId w:val="3"/>
        </w:numPr>
      </w:pPr>
      <w:r>
        <w:rPr>
          <w:rStyle w:val="Strong"/>
          <w:rFonts w:eastAsiaTheme="majorEastAsia"/>
        </w:rPr>
        <w:t>Dominant Segments:</w:t>
      </w:r>
    </w:p>
    <w:p w14:paraId="0C7F1C31" w14:textId="77777777" w:rsidR="00F50C2A" w:rsidRDefault="00F50C2A" w:rsidP="00F50C2A">
      <w:pPr>
        <w:numPr>
          <w:ilvl w:val="1"/>
          <w:numId w:val="3"/>
        </w:numPr>
        <w:spacing w:before="100" w:beforeAutospacing="1" w:after="100" w:afterAutospacing="1" w:line="240" w:lineRule="auto"/>
      </w:pPr>
      <w:r>
        <w:rPr>
          <w:rStyle w:val="Strong"/>
        </w:rPr>
        <w:t>Notebook</w:t>
      </w:r>
      <w:r>
        <w:t xml:space="preserve"> and </w:t>
      </w:r>
      <w:r>
        <w:rPr>
          <w:rStyle w:val="Strong"/>
        </w:rPr>
        <w:t>Accessories</w:t>
      </w:r>
      <w:r>
        <w:t xml:space="preserve"> are the leading segments, making up </w:t>
      </w:r>
      <w:r>
        <w:rPr>
          <w:rStyle w:val="Strong"/>
        </w:rPr>
        <w:t>32.49%</w:t>
      </w:r>
      <w:r>
        <w:t xml:space="preserve"> and </w:t>
      </w:r>
      <w:r>
        <w:rPr>
          <w:rStyle w:val="Strong"/>
        </w:rPr>
        <w:t>29.22%</w:t>
      </w:r>
      <w:r>
        <w:t xml:space="preserve"> of the total unique product count, respectively.</w:t>
      </w:r>
    </w:p>
    <w:p w14:paraId="03693F26" w14:textId="77777777" w:rsidR="00F50C2A" w:rsidRDefault="00F50C2A" w:rsidP="00F50C2A">
      <w:pPr>
        <w:numPr>
          <w:ilvl w:val="1"/>
          <w:numId w:val="3"/>
        </w:numPr>
        <w:spacing w:before="100" w:beforeAutospacing="1" w:after="100" w:afterAutospacing="1" w:line="240" w:lineRule="auto"/>
      </w:pPr>
      <w:r>
        <w:t xml:space="preserve">These segments contribute nearly </w:t>
      </w:r>
      <w:r>
        <w:rPr>
          <w:rStyle w:val="Strong"/>
        </w:rPr>
        <w:t>61.7%</w:t>
      </w:r>
      <w:r>
        <w:t xml:space="preserve"> of the entire product portfolio, indicating they play a key role in your offerings and sales.</w:t>
      </w:r>
    </w:p>
    <w:p w14:paraId="77A842E2" w14:textId="77777777" w:rsidR="00F50C2A" w:rsidRDefault="00F50C2A" w:rsidP="00F50C2A">
      <w:pPr>
        <w:pStyle w:val="NormalWeb"/>
        <w:numPr>
          <w:ilvl w:val="0"/>
          <w:numId w:val="3"/>
        </w:numPr>
      </w:pPr>
      <w:r>
        <w:rPr>
          <w:rStyle w:val="Strong"/>
          <w:rFonts w:eastAsiaTheme="majorEastAsia"/>
        </w:rPr>
        <w:t>High-Margin Segments:</w:t>
      </w:r>
    </w:p>
    <w:p w14:paraId="0D1ACD25" w14:textId="77777777" w:rsidR="00F50C2A" w:rsidRDefault="00F50C2A" w:rsidP="00F50C2A">
      <w:pPr>
        <w:numPr>
          <w:ilvl w:val="1"/>
          <w:numId w:val="3"/>
        </w:numPr>
        <w:spacing w:before="100" w:beforeAutospacing="1" w:after="100" w:afterAutospacing="1" w:line="240" w:lineRule="auto"/>
      </w:pPr>
      <w:r>
        <w:t xml:space="preserve">The </w:t>
      </w:r>
      <w:r>
        <w:rPr>
          <w:rStyle w:val="Strong"/>
        </w:rPr>
        <w:t>Desktop</w:t>
      </w:r>
      <w:r>
        <w:t xml:space="preserve"> and </w:t>
      </w:r>
      <w:r>
        <w:rPr>
          <w:rStyle w:val="Strong"/>
        </w:rPr>
        <w:t>Networking</w:t>
      </w:r>
      <w:r>
        <w:t xml:space="preserve"> segments have relatively lower unique product counts (8.06% and 2.27%, respectively), but they show relatively higher average gross sales (AVG GS).</w:t>
      </w:r>
    </w:p>
    <w:p w14:paraId="583CAD6D" w14:textId="77777777" w:rsidR="00F50C2A" w:rsidRDefault="00F50C2A" w:rsidP="00F50C2A">
      <w:pPr>
        <w:numPr>
          <w:ilvl w:val="1"/>
          <w:numId w:val="3"/>
        </w:numPr>
        <w:spacing w:before="100" w:beforeAutospacing="1" w:after="100" w:afterAutospacing="1" w:line="240" w:lineRule="auto"/>
      </w:pPr>
      <w:r>
        <w:t xml:space="preserve">For example, </w:t>
      </w:r>
      <w:r>
        <w:rPr>
          <w:rStyle w:val="Strong"/>
        </w:rPr>
        <w:t>Networking</w:t>
      </w:r>
      <w:r>
        <w:t xml:space="preserve"> has an average gross sale of </w:t>
      </w:r>
      <w:r>
        <w:rPr>
          <w:rStyle w:val="Strong"/>
        </w:rPr>
        <w:t>$5105.63</w:t>
      </w:r>
      <w:r>
        <w:t>, the highest among all segments.</w:t>
      </w:r>
    </w:p>
    <w:p w14:paraId="2AD61626" w14:textId="77777777" w:rsidR="00F50C2A" w:rsidRDefault="00F50C2A" w:rsidP="00F50C2A">
      <w:pPr>
        <w:pStyle w:val="NormalWeb"/>
        <w:numPr>
          <w:ilvl w:val="0"/>
          <w:numId w:val="3"/>
        </w:numPr>
      </w:pPr>
      <w:r>
        <w:rPr>
          <w:rStyle w:val="Strong"/>
          <w:rFonts w:eastAsiaTheme="majorEastAsia"/>
        </w:rPr>
        <w:t>Product Diversity in Storage:</w:t>
      </w:r>
    </w:p>
    <w:p w14:paraId="721C8AB1" w14:textId="77777777" w:rsidR="00F50C2A" w:rsidRDefault="00F50C2A" w:rsidP="00F50C2A">
      <w:pPr>
        <w:numPr>
          <w:ilvl w:val="1"/>
          <w:numId w:val="3"/>
        </w:numPr>
        <w:spacing w:before="100" w:beforeAutospacing="1" w:after="100" w:afterAutospacing="1" w:line="240" w:lineRule="auto"/>
      </w:pPr>
      <w:r>
        <w:t xml:space="preserve">The </w:t>
      </w:r>
      <w:r>
        <w:rPr>
          <w:rStyle w:val="Strong"/>
        </w:rPr>
        <w:t>Storage</w:t>
      </w:r>
      <w:r>
        <w:t xml:space="preserve"> segment includes multiple categories, such as </w:t>
      </w:r>
      <w:r>
        <w:rPr>
          <w:rStyle w:val="Strong"/>
        </w:rPr>
        <w:t xml:space="preserve">External </w:t>
      </w:r>
      <w:proofErr w:type="gramStart"/>
      <w:r>
        <w:rPr>
          <w:rStyle w:val="Strong"/>
        </w:rPr>
        <w:t>Solid State</w:t>
      </w:r>
      <w:proofErr w:type="gramEnd"/>
      <w:r>
        <w:rPr>
          <w:rStyle w:val="Strong"/>
        </w:rPr>
        <w:t xml:space="preserve"> Drives</w:t>
      </w:r>
      <w:r>
        <w:t xml:space="preserve"> and </w:t>
      </w:r>
      <w:r>
        <w:rPr>
          <w:rStyle w:val="Strong"/>
        </w:rPr>
        <w:t>USB Flash Drives</w:t>
      </w:r>
      <w:r>
        <w:t>, each contributing to the overall growth of the segment.</w:t>
      </w:r>
    </w:p>
    <w:p w14:paraId="4C018ECD" w14:textId="77777777" w:rsidR="00F50C2A" w:rsidRDefault="00F50C2A" w:rsidP="00F50C2A">
      <w:pPr>
        <w:spacing w:after="0"/>
      </w:pPr>
      <w:r>
        <w:pict w14:anchorId="2CB1B13A">
          <v:rect id="_x0000_i1028" style="width:0;height:1.5pt" o:hralign="center" o:hrstd="t" o:hr="t" fillcolor="#a0a0a0" stroked="f"/>
        </w:pict>
      </w:r>
    </w:p>
    <w:p w14:paraId="72D03AE4" w14:textId="77777777" w:rsidR="00F50C2A" w:rsidRDefault="00F50C2A" w:rsidP="00F50C2A">
      <w:pPr>
        <w:pStyle w:val="Heading3"/>
      </w:pPr>
      <w:r>
        <w:t>Recommendations:</w:t>
      </w:r>
    </w:p>
    <w:p w14:paraId="397036AA" w14:textId="77777777" w:rsidR="00F50C2A" w:rsidRDefault="00F50C2A" w:rsidP="00F50C2A">
      <w:pPr>
        <w:pStyle w:val="NormalWeb"/>
        <w:numPr>
          <w:ilvl w:val="0"/>
          <w:numId w:val="4"/>
        </w:numPr>
      </w:pPr>
      <w:r>
        <w:rPr>
          <w:rStyle w:val="Strong"/>
          <w:rFonts w:eastAsiaTheme="majorEastAsia"/>
        </w:rPr>
        <w:t>Focus on High-Impact Segments:</w:t>
      </w:r>
    </w:p>
    <w:p w14:paraId="20EDD8B9" w14:textId="77777777" w:rsidR="00F50C2A" w:rsidRDefault="00F50C2A" w:rsidP="00F50C2A">
      <w:pPr>
        <w:numPr>
          <w:ilvl w:val="1"/>
          <w:numId w:val="4"/>
        </w:numPr>
        <w:spacing w:before="100" w:beforeAutospacing="1" w:after="100" w:afterAutospacing="1" w:line="240" w:lineRule="auto"/>
      </w:pPr>
      <w:r>
        <w:t xml:space="preserve">Consider prioritizing the </w:t>
      </w:r>
      <w:r>
        <w:rPr>
          <w:rStyle w:val="Strong"/>
        </w:rPr>
        <w:t>Notebook</w:t>
      </w:r>
      <w:r>
        <w:t xml:space="preserve"> and </w:t>
      </w:r>
      <w:r>
        <w:rPr>
          <w:rStyle w:val="Strong"/>
        </w:rPr>
        <w:t>Accessories</w:t>
      </w:r>
      <w:r>
        <w:t xml:space="preserve"> segments in marketing and sales campaigns as they account for the largest share of unique products.</w:t>
      </w:r>
    </w:p>
    <w:p w14:paraId="5F9FF730" w14:textId="77777777" w:rsidR="00F50C2A" w:rsidRDefault="00F50C2A" w:rsidP="00F50C2A">
      <w:pPr>
        <w:numPr>
          <w:ilvl w:val="1"/>
          <w:numId w:val="4"/>
        </w:numPr>
        <w:spacing w:before="100" w:beforeAutospacing="1" w:after="100" w:afterAutospacing="1" w:line="240" w:lineRule="auto"/>
      </w:pPr>
      <w:r>
        <w:t>These segments might benefit from tailored promotions or bundling strategies.</w:t>
      </w:r>
    </w:p>
    <w:p w14:paraId="16DADF4E" w14:textId="77777777" w:rsidR="00F50C2A" w:rsidRDefault="00F50C2A" w:rsidP="00F50C2A">
      <w:pPr>
        <w:pStyle w:val="NormalWeb"/>
        <w:numPr>
          <w:ilvl w:val="0"/>
          <w:numId w:val="4"/>
        </w:numPr>
      </w:pPr>
      <w:r>
        <w:rPr>
          <w:rStyle w:val="Strong"/>
          <w:rFonts w:eastAsiaTheme="majorEastAsia"/>
        </w:rPr>
        <w:t>Maximize Profits from High-Gross Margin Segments:</w:t>
      </w:r>
    </w:p>
    <w:p w14:paraId="65B57845" w14:textId="77777777" w:rsidR="00F50C2A" w:rsidRDefault="00F50C2A" w:rsidP="00F50C2A">
      <w:pPr>
        <w:numPr>
          <w:ilvl w:val="1"/>
          <w:numId w:val="4"/>
        </w:numPr>
        <w:spacing w:before="100" w:beforeAutospacing="1" w:after="100" w:afterAutospacing="1" w:line="240" w:lineRule="auto"/>
      </w:pPr>
      <w:r>
        <w:t xml:space="preserve">The </w:t>
      </w:r>
      <w:r>
        <w:rPr>
          <w:rStyle w:val="Strong"/>
        </w:rPr>
        <w:t>Networking</w:t>
      </w:r>
      <w:r>
        <w:t xml:space="preserve"> and </w:t>
      </w:r>
      <w:r>
        <w:rPr>
          <w:rStyle w:val="Strong"/>
        </w:rPr>
        <w:t>Desktop</w:t>
      </w:r>
      <w:r>
        <w:t xml:space="preserve"> segments show strong gross margins (over </w:t>
      </w:r>
      <w:r>
        <w:rPr>
          <w:rStyle w:val="Strong"/>
        </w:rPr>
        <w:t>69%</w:t>
      </w:r>
      <w:r>
        <w:t>). Focus on promoting high-ticket products in these segments to improve profitability.</w:t>
      </w:r>
    </w:p>
    <w:p w14:paraId="7DD3CD19" w14:textId="77777777" w:rsidR="00F50C2A" w:rsidRDefault="00F50C2A" w:rsidP="00F50C2A">
      <w:pPr>
        <w:pStyle w:val="NormalWeb"/>
        <w:numPr>
          <w:ilvl w:val="0"/>
          <w:numId w:val="4"/>
        </w:numPr>
      </w:pPr>
      <w:r>
        <w:rPr>
          <w:rStyle w:val="Strong"/>
          <w:rFonts w:eastAsiaTheme="majorEastAsia"/>
        </w:rPr>
        <w:t>Product Development in Storage:</w:t>
      </w:r>
    </w:p>
    <w:p w14:paraId="417036B6" w14:textId="77777777" w:rsidR="00F50C2A" w:rsidRDefault="00F50C2A" w:rsidP="00F50C2A">
      <w:pPr>
        <w:numPr>
          <w:ilvl w:val="1"/>
          <w:numId w:val="4"/>
        </w:numPr>
        <w:spacing w:before="100" w:beforeAutospacing="1" w:after="100" w:afterAutospacing="1" w:line="240" w:lineRule="auto"/>
      </w:pPr>
      <w:r>
        <w:t xml:space="preserve">The </w:t>
      </w:r>
      <w:r>
        <w:rPr>
          <w:rStyle w:val="Strong"/>
        </w:rPr>
        <w:t>Storage</w:t>
      </w:r>
      <w:r>
        <w:t xml:space="preserve"> segment shows promise, with products like </w:t>
      </w:r>
      <w:r>
        <w:rPr>
          <w:rStyle w:val="Strong"/>
        </w:rPr>
        <w:t xml:space="preserve">External </w:t>
      </w:r>
      <w:proofErr w:type="gramStart"/>
      <w:r>
        <w:rPr>
          <w:rStyle w:val="Strong"/>
        </w:rPr>
        <w:t>Solid State</w:t>
      </w:r>
      <w:proofErr w:type="gramEnd"/>
      <w:r>
        <w:rPr>
          <w:rStyle w:val="Strong"/>
        </w:rPr>
        <w:t xml:space="preserve"> Drives</w:t>
      </w:r>
      <w:r>
        <w:t xml:space="preserve"> and </w:t>
      </w:r>
      <w:r>
        <w:rPr>
          <w:rStyle w:val="Strong"/>
        </w:rPr>
        <w:t>USB Flash Drives</w:t>
      </w:r>
      <w:r>
        <w:t>. Consider expanding this segment by introducing new storage solutions, especially given the increasing demand for data storage.</w:t>
      </w:r>
    </w:p>
    <w:p w14:paraId="08EFBD10" w14:textId="77777777" w:rsidR="00F50C2A" w:rsidRDefault="00F50C2A" w:rsidP="00F50C2A">
      <w:pPr>
        <w:pStyle w:val="NormalWeb"/>
        <w:numPr>
          <w:ilvl w:val="0"/>
          <w:numId w:val="4"/>
        </w:numPr>
      </w:pPr>
      <w:r>
        <w:rPr>
          <w:rStyle w:val="Strong"/>
          <w:rFonts w:eastAsiaTheme="majorEastAsia"/>
        </w:rPr>
        <w:t>Increase Focus on Low-Performing Segments:</w:t>
      </w:r>
    </w:p>
    <w:p w14:paraId="7034B33A" w14:textId="77777777" w:rsidR="00F50C2A" w:rsidRDefault="00F50C2A" w:rsidP="00F50C2A">
      <w:pPr>
        <w:numPr>
          <w:ilvl w:val="1"/>
          <w:numId w:val="4"/>
        </w:numPr>
        <w:spacing w:before="100" w:beforeAutospacing="1" w:after="100" w:afterAutospacing="1" w:line="240" w:lineRule="auto"/>
      </w:pPr>
      <w:r>
        <w:t xml:space="preserve">The </w:t>
      </w:r>
      <w:r>
        <w:rPr>
          <w:rStyle w:val="Strong"/>
        </w:rPr>
        <w:t>Networking</w:t>
      </w:r>
      <w:r>
        <w:t xml:space="preserve"> segment, despite having the lowest unique product count, has the highest average gross sale. It could benefit from a strategy to increase the product portfolio within this category.</w:t>
      </w:r>
    </w:p>
    <w:p w14:paraId="30CC9C8D" w14:textId="77777777" w:rsidR="00F50C2A" w:rsidRDefault="00F50C2A" w:rsidP="00F50C2A">
      <w:pPr>
        <w:pStyle w:val="NormalWeb"/>
        <w:numPr>
          <w:ilvl w:val="0"/>
          <w:numId w:val="4"/>
        </w:numPr>
      </w:pPr>
      <w:r>
        <w:rPr>
          <w:rStyle w:val="Strong"/>
          <w:rFonts w:eastAsiaTheme="majorEastAsia"/>
        </w:rPr>
        <w:t>Evaluate Profitability Per Product:</w:t>
      </w:r>
    </w:p>
    <w:p w14:paraId="349E9707" w14:textId="77777777" w:rsidR="00F50C2A" w:rsidRDefault="00F50C2A" w:rsidP="00F50C2A">
      <w:pPr>
        <w:numPr>
          <w:ilvl w:val="1"/>
          <w:numId w:val="4"/>
        </w:numPr>
        <w:spacing w:before="100" w:beforeAutospacing="1" w:after="100" w:afterAutospacing="1" w:line="240" w:lineRule="auto"/>
      </w:pPr>
      <w:r>
        <w:t xml:space="preserve">Monitor the </w:t>
      </w:r>
      <w:r>
        <w:rPr>
          <w:rStyle w:val="Strong"/>
        </w:rPr>
        <w:t>Gross Margin %</w:t>
      </w:r>
      <w:r>
        <w:t xml:space="preserve"> for each segment and align pricing strategies to ensure high-margin products like </w:t>
      </w:r>
      <w:r>
        <w:rPr>
          <w:rStyle w:val="Strong"/>
        </w:rPr>
        <w:t>Desktop</w:t>
      </w:r>
      <w:r>
        <w:t xml:space="preserve"> and </w:t>
      </w:r>
      <w:r>
        <w:rPr>
          <w:rStyle w:val="Strong"/>
        </w:rPr>
        <w:t>Networking</w:t>
      </w:r>
      <w:r>
        <w:t xml:space="preserve"> continue to perform well.</w:t>
      </w:r>
    </w:p>
    <w:p w14:paraId="4314BE29" w14:textId="77777777" w:rsidR="00F50C2A" w:rsidRDefault="00F50C2A" w:rsidP="00F50C2A">
      <w:pPr>
        <w:pStyle w:val="NormalWeb"/>
        <w:numPr>
          <w:ilvl w:val="0"/>
          <w:numId w:val="4"/>
        </w:numPr>
      </w:pPr>
      <w:r>
        <w:rPr>
          <w:rStyle w:val="Strong"/>
          <w:rFonts w:eastAsiaTheme="majorEastAsia"/>
        </w:rPr>
        <w:t>Diversify Across Segments:</w:t>
      </w:r>
    </w:p>
    <w:p w14:paraId="0DD003D6" w14:textId="77777777" w:rsidR="00F50C2A" w:rsidRDefault="00F50C2A" w:rsidP="00F50C2A">
      <w:pPr>
        <w:numPr>
          <w:ilvl w:val="1"/>
          <w:numId w:val="4"/>
        </w:numPr>
        <w:spacing w:before="100" w:beforeAutospacing="1" w:after="100" w:afterAutospacing="1" w:line="240" w:lineRule="auto"/>
      </w:pPr>
      <w:r>
        <w:t xml:space="preserve">If the goal is to diversify, expanding the </w:t>
      </w:r>
      <w:r>
        <w:rPr>
          <w:rStyle w:val="Strong"/>
        </w:rPr>
        <w:t>Storage</w:t>
      </w:r>
      <w:r>
        <w:t xml:space="preserve"> and </w:t>
      </w:r>
      <w:r>
        <w:rPr>
          <w:rStyle w:val="Strong"/>
        </w:rPr>
        <w:t>Peripherals</w:t>
      </w:r>
      <w:r>
        <w:t xml:space="preserve"> segments could provide new revenue streams. Additionally, tapping into niche product categories (like those in </w:t>
      </w:r>
      <w:r>
        <w:rPr>
          <w:rStyle w:val="Strong"/>
        </w:rPr>
        <w:t>Desktop</w:t>
      </w:r>
      <w:r>
        <w:t xml:space="preserve"> and </w:t>
      </w:r>
      <w:r>
        <w:rPr>
          <w:rStyle w:val="Strong"/>
        </w:rPr>
        <w:t>Networking</w:t>
      </w:r>
      <w:r>
        <w:t>) could generate higher average sales.</w:t>
      </w:r>
    </w:p>
    <w:p w14:paraId="27D3807E" w14:textId="77777777" w:rsidR="00F50C2A" w:rsidRDefault="00F50C2A" w:rsidP="00F50C2A">
      <w:pPr>
        <w:pStyle w:val="Heading3"/>
      </w:pPr>
      <w:r>
        <w:t>4-</w:t>
      </w:r>
      <w:r>
        <w:t xml:space="preserve">Which segment had the most increase in unique products in 2021 vs. 2020? The final output contains these fields: - segment - product_count_2020 - product_count_2021 </w:t>
      </w:r>
      <w:r>
        <w:t>–</w:t>
      </w:r>
      <w:r>
        <w:t xml:space="preserve"> difference</w:t>
      </w:r>
      <w:r>
        <w:br/>
      </w:r>
      <w:r>
        <w:t>Segment with the Most Increase in Unique Products (2021 vs. 2020)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1866"/>
        <w:gridCol w:w="1866"/>
        <w:gridCol w:w="1000"/>
        <w:gridCol w:w="1813"/>
      </w:tblGrid>
      <w:tr w:rsidR="00F50C2A" w14:paraId="4A9A947F" w14:textId="77777777" w:rsidTr="00F50C2A">
        <w:trPr>
          <w:tblHeader/>
          <w:tblCellSpacing w:w="15" w:type="dxa"/>
        </w:trPr>
        <w:tc>
          <w:tcPr>
            <w:tcW w:w="0" w:type="auto"/>
            <w:vAlign w:val="center"/>
            <w:hideMark/>
          </w:tcPr>
          <w:p w14:paraId="77F52DAC" w14:textId="77777777" w:rsidR="00F50C2A" w:rsidRDefault="00F50C2A">
            <w:pPr>
              <w:jc w:val="center"/>
              <w:rPr>
                <w:b/>
                <w:bCs/>
              </w:rPr>
            </w:pPr>
            <w:r>
              <w:rPr>
                <w:rStyle w:val="Strong"/>
              </w:rPr>
              <w:t>Segment</w:t>
            </w:r>
          </w:p>
        </w:tc>
        <w:tc>
          <w:tcPr>
            <w:tcW w:w="0" w:type="auto"/>
            <w:vAlign w:val="center"/>
            <w:hideMark/>
          </w:tcPr>
          <w:p w14:paraId="13E61FC4" w14:textId="77777777" w:rsidR="00F50C2A" w:rsidRDefault="00F50C2A">
            <w:pPr>
              <w:jc w:val="center"/>
              <w:rPr>
                <w:b/>
                <w:bCs/>
              </w:rPr>
            </w:pPr>
            <w:r>
              <w:rPr>
                <w:rStyle w:val="Strong"/>
              </w:rPr>
              <w:t>Product Count 2020</w:t>
            </w:r>
          </w:p>
        </w:tc>
        <w:tc>
          <w:tcPr>
            <w:tcW w:w="0" w:type="auto"/>
            <w:vAlign w:val="center"/>
            <w:hideMark/>
          </w:tcPr>
          <w:p w14:paraId="7E5D547A" w14:textId="77777777" w:rsidR="00F50C2A" w:rsidRDefault="00F50C2A">
            <w:pPr>
              <w:jc w:val="center"/>
              <w:rPr>
                <w:b/>
                <w:bCs/>
              </w:rPr>
            </w:pPr>
            <w:r>
              <w:rPr>
                <w:rStyle w:val="Strong"/>
              </w:rPr>
              <w:t>Product Count 2021</w:t>
            </w:r>
          </w:p>
        </w:tc>
        <w:tc>
          <w:tcPr>
            <w:tcW w:w="0" w:type="auto"/>
            <w:vAlign w:val="center"/>
            <w:hideMark/>
          </w:tcPr>
          <w:p w14:paraId="5D7EC7F3" w14:textId="77777777" w:rsidR="00F50C2A" w:rsidRDefault="00F50C2A">
            <w:pPr>
              <w:jc w:val="center"/>
              <w:rPr>
                <w:b/>
                <w:bCs/>
              </w:rPr>
            </w:pPr>
            <w:r>
              <w:rPr>
                <w:rStyle w:val="Strong"/>
              </w:rPr>
              <w:t>Difference</w:t>
            </w:r>
          </w:p>
        </w:tc>
        <w:tc>
          <w:tcPr>
            <w:tcW w:w="0" w:type="auto"/>
            <w:vAlign w:val="center"/>
            <w:hideMark/>
          </w:tcPr>
          <w:p w14:paraId="63C9AA63" w14:textId="77777777" w:rsidR="00F50C2A" w:rsidRDefault="00F50C2A">
            <w:pPr>
              <w:jc w:val="center"/>
              <w:rPr>
                <w:b/>
                <w:bCs/>
              </w:rPr>
            </w:pPr>
            <w:r>
              <w:rPr>
                <w:rStyle w:val="Strong"/>
              </w:rPr>
              <w:t>Percentage Change</w:t>
            </w:r>
          </w:p>
        </w:tc>
      </w:tr>
      <w:tr w:rsidR="00F50C2A" w14:paraId="53ED0CE0" w14:textId="77777777" w:rsidTr="00F50C2A">
        <w:trPr>
          <w:tblCellSpacing w:w="15" w:type="dxa"/>
        </w:trPr>
        <w:tc>
          <w:tcPr>
            <w:tcW w:w="0" w:type="auto"/>
            <w:vAlign w:val="center"/>
            <w:hideMark/>
          </w:tcPr>
          <w:p w14:paraId="273FA1A2" w14:textId="77777777" w:rsidR="00F50C2A" w:rsidRDefault="00F50C2A">
            <w:r>
              <w:rPr>
                <w:rStyle w:val="Strong"/>
              </w:rPr>
              <w:t>Desktop</w:t>
            </w:r>
          </w:p>
        </w:tc>
        <w:tc>
          <w:tcPr>
            <w:tcW w:w="0" w:type="auto"/>
            <w:vAlign w:val="center"/>
            <w:hideMark/>
          </w:tcPr>
          <w:p w14:paraId="4F2880FE" w14:textId="77777777" w:rsidR="00F50C2A" w:rsidRDefault="00F50C2A">
            <w:r>
              <w:t>7</w:t>
            </w:r>
          </w:p>
        </w:tc>
        <w:tc>
          <w:tcPr>
            <w:tcW w:w="0" w:type="auto"/>
            <w:vAlign w:val="center"/>
            <w:hideMark/>
          </w:tcPr>
          <w:p w14:paraId="5FE97281" w14:textId="77777777" w:rsidR="00F50C2A" w:rsidRDefault="00F50C2A">
            <w:r>
              <w:t>22</w:t>
            </w:r>
          </w:p>
        </w:tc>
        <w:tc>
          <w:tcPr>
            <w:tcW w:w="0" w:type="auto"/>
            <w:vAlign w:val="center"/>
            <w:hideMark/>
          </w:tcPr>
          <w:p w14:paraId="19DA9DBA" w14:textId="77777777" w:rsidR="00F50C2A" w:rsidRDefault="00F50C2A">
            <w:r>
              <w:t>15</w:t>
            </w:r>
          </w:p>
        </w:tc>
        <w:tc>
          <w:tcPr>
            <w:tcW w:w="0" w:type="auto"/>
            <w:vAlign w:val="center"/>
            <w:hideMark/>
          </w:tcPr>
          <w:p w14:paraId="72E19A65" w14:textId="77777777" w:rsidR="00F50C2A" w:rsidRDefault="00F50C2A">
            <w:r>
              <w:t>214.29%</w:t>
            </w:r>
          </w:p>
        </w:tc>
      </w:tr>
    </w:tbl>
    <w:p w14:paraId="4813D4B3" w14:textId="77777777" w:rsidR="00F50C2A" w:rsidRDefault="00F50C2A" w:rsidP="00F50C2A">
      <w:r>
        <w:pict w14:anchorId="6614AC5C">
          <v:rect id="_x0000_i1031" style="width:0;height:1.5pt" o:hralign="center" o:hrstd="t" o:hr="t" fillcolor="#a0a0a0" stroked="f"/>
        </w:pict>
      </w:r>
    </w:p>
    <w:p w14:paraId="3BD3C360" w14:textId="77777777" w:rsidR="00F50C2A" w:rsidRDefault="00F50C2A" w:rsidP="00F50C2A">
      <w:pPr>
        <w:pStyle w:val="Heading3"/>
      </w:pPr>
      <w:r>
        <w:t>Insights:</w:t>
      </w:r>
    </w:p>
    <w:p w14:paraId="45FB0660" w14:textId="77777777" w:rsidR="00F50C2A" w:rsidRDefault="00F50C2A" w:rsidP="00F50C2A">
      <w:pPr>
        <w:pStyle w:val="NormalWeb"/>
        <w:numPr>
          <w:ilvl w:val="0"/>
          <w:numId w:val="5"/>
        </w:numPr>
      </w:pPr>
      <w:r>
        <w:rPr>
          <w:rStyle w:val="Strong"/>
          <w:rFonts w:eastAsiaTheme="majorEastAsia"/>
        </w:rPr>
        <w:t>Desktop Segment's Exceptional Growth:</w:t>
      </w:r>
    </w:p>
    <w:p w14:paraId="4A307C2C" w14:textId="77777777" w:rsidR="00F50C2A" w:rsidRDefault="00F50C2A" w:rsidP="00F50C2A">
      <w:pPr>
        <w:numPr>
          <w:ilvl w:val="1"/>
          <w:numId w:val="5"/>
        </w:numPr>
        <w:spacing w:before="100" w:beforeAutospacing="1" w:after="100" w:afterAutospacing="1" w:line="240" w:lineRule="auto"/>
      </w:pPr>
      <w:r>
        <w:t xml:space="preserve">The </w:t>
      </w:r>
      <w:r>
        <w:rPr>
          <w:rStyle w:val="Strong"/>
        </w:rPr>
        <w:t>Desktop</w:t>
      </w:r>
      <w:r>
        <w:t xml:space="preserve"> segment saw the </w:t>
      </w:r>
      <w:r>
        <w:rPr>
          <w:rStyle w:val="Strong"/>
        </w:rPr>
        <w:t>largest increase</w:t>
      </w:r>
      <w:r>
        <w:t xml:space="preserve"> in unique products, with a </w:t>
      </w:r>
      <w:r>
        <w:rPr>
          <w:rStyle w:val="Strong"/>
        </w:rPr>
        <w:t>214.29%</w:t>
      </w:r>
      <w:r>
        <w:t xml:space="preserve"> growth from </w:t>
      </w:r>
      <w:r>
        <w:rPr>
          <w:rStyle w:val="Strong"/>
        </w:rPr>
        <w:t>7 products</w:t>
      </w:r>
      <w:r>
        <w:t xml:space="preserve"> in 2020 to </w:t>
      </w:r>
      <w:r>
        <w:rPr>
          <w:rStyle w:val="Strong"/>
        </w:rPr>
        <w:t>22 products</w:t>
      </w:r>
      <w:r>
        <w:t xml:space="preserve"> in 2021.</w:t>
      </w:r>
    </w:p>
    <w:p w14:paraId="41188205" w14:textId="77777777" w:rsidR="00F50C2A" w:rsidRDefault="00F50C2A" w:rsidP="00F50C2A">
      <w:pPr>
        <w:numPr>
          <w:ilvl w:val="1"/>
          <w:numId w:val="5"/>
        </w:numPr>
        <w:spacing w:before="100" w:beforeAutospacing="1" w:after="100" w:afterAutospacing="1" w:line="240" w:lineRule="auto"/>
      </w:pPr>
      <w:r>
        <w:t>This sharp increase indicates that Atliq Hardware has likely expanded its desktop product offerings significantly in the past year.</w:t>
      </w:r>
    </w:p>
    <w:p w14:paraId="6440D214" w14:textId="77777777" w:rsidR="00F50C2A" w:rsidRDefault="00F50C2A" w:rsidP="00F50C2A">
      <w:pPr>
        <w:pStyle w:val="NormalWeb"/>
        <w:numPr>
          <w:ilvl w:val="0"/>
          <w:numId w:val="5"/>
        </w:numPr>
      </w:pPr>
      <w:r>
        <w:rPr>
          <w:rStyle w:val="Strong"/>
          <w:rFonts w:eastAsiaTheme="majorEastAsia"/>
        </w:rPr>
        <w:t>Accessories and Peripherals:</w:t>
      </w:r>
    </w:p>
    <w:p w14:paraId="25C8486C" w14:textId="77777777" w:rsidR="00F50C2A" w:rsidRDefault="00F50C2A" w:rsidP="00F50C2A">
      <w:pPr>
        <w:numPr>
          <w:ilvl w:val="1"/>
          <w:numId w:val="5"/>
        </w:numPr>
        <w:spacing w:before="100" w:beforeAutospacing="1" w:after="100" w:afterAutospacing="1" w:line="240" w:lineRule="auto"/>
      </w:pPr>
      <w:r>
        <w:rPr>
          <w:rStyle w:val="Strong"/>
        </w:rPr>
        <w:t>Accessories</w:t>
      </w:r>
      <w:r>
        <w:t xml:space="preserve"> and </w:t>
      </w:r>
      <w:r>
        <w:rPr>
          <w:rStyle w:val="Strong"/>
        </w:rPr>
        <w:t>Peripherals</w:t>
      </w:r>
      <w:r>
        <w:t xml:space="preserve"> also saw notable increases (49.28% and 27.12%, respectively), but the </w:t>
      </w:r>
      <w:r>
        <w:rPr>
          <w:rStyle w:val="Strong"/>
        </w:rPr>
        <w:t>Desktop</w:t>
      </w:r>
      <w:r>
        <w:t xml:space="preserve"> segment's growth outpaces them by a large margin.</w:t>
      </w:r>
    </w:p>
    <w:p w14:paraId="0F8F1414" w14:textId="77777777" w:rsidR="00F50C2A" w:rsidRDefault="00F50C2A" w:rsidP="00F50C2A">
      <w:pPr>
        <w:numPr>
          <w:ilvl w:val="1"/>
          <w:numId w:val="5"/>
        </w:numPr>
        <w:spacing w:before="100" w:beforeAutospacing="1" w:after="100" w:afterAutospacing="1" w:line="240" w:lineRule="auto"/>
      </w:pPr>
      <w:r>
        <w:t>These two segments could benefit from similar expansion strategies to continue growing at a high rate.</w:t>
      </w:r>
    </w:p>
    <w:p w14:paraId="7F02099F" w14:textId="77777777" w:rsidR="00F50C2A" w:rsidRDefault="00F50C2A" w:rsidP="00F50C2A">
      <w:pPr>
        <w:pStyle w:val="NormalWeb"/>
        <w:numPr>
          <w:ilvl w:val="0"/>
          <w:numId w:val="5"/>
        </w:numPr>
      </w:pPr>
      <w:r>
        <w:rPr>
          <w:rStyle w:val="Strong"/>
          <w:rFonts w:eastAsiaTheme="majorEastAsia"/>
        </w:rPr>
        <w:t>Smaller Increases in Storage and Networking:</w:t>
      </w:r>
    </w:p>
    <w:p w14:paraId="0C38081C" w14:textId="77777777" w:rsidR="00F50C2A" w:rsidRDefault="00F50C2A" w:rsidP="00F50C2A">
      <w:pPr>
        <w:numPr>
          <w:ilvl w:val="1"/>
          <w:numId w:val="5"/>
        </w:numPr>
        <w:spacing w:before="100" w:beforeAutospacing="1" w:after="100" w:afterAutospacing="1" w:line="240" w:lineRule="auto"/>
      </w:pPr>
      <w:r>
        <w:rPr>
          <w:rStyle w:val="Strong"/>
        </w:rPr>
        <w:t>Networking</w:t>
      </w:r>
      <w:r>
        <w:t xml:space="preserve"> and </w:t>
      </w:r>
      <w:r>
        <w:rPr>
          <w:rStyle w:val="Strong"/>
        </w:rPr>
        <w:t>Storage</w:t>
      </w:r>
      <w:r>
        <w:t xml:space="preserve"> showed moderate increases of </w:t>
      </w:r>
      <w:r>
        <w:rPr>
          <w:rStyle w:val="Strong"/>
        </w:rPr>
        <w:t>50%</w:t>
      </w:r>
      <w:r>
        <w:t xml:space="preserve"> and </w:t>
      </w:r>
      <w:r>
        <w:rPr>
          <w:rStyle w:val="Strong"/>
        </w:rPr>
        <w:t>41.67%</w:t>
      </w:r>
      <w:r>
        <w:t>, respectively. While growth is positive, it's more gradual compared to other segments.</w:t>
      </w:r>
    </w:p>
    <w:p w14:paraId="5C9BCAA6" w14:textId="77777777" w:rsidR="00F50C2A" w:rsidRDefault="00F50C2A" w:rsidP="00F50C2A">
      <w:pPr>
        <w:pStyle w:val="NormalWeb"/>
        <w:numPr>
          <w:ilvl w:val="0"/>
          <w:numId w:val="5"/>
        </w:numPr>
      </w:pPr>
      <w:r>
        <w:rPr>
          <w:rStyle w:val="Strong"/>
          <w:rFonts w:eastAsiaTheme="majorEastAsia"/>
        </w:rPr>
        <w:t>Notebook Segment:</w:t>
      </w:r>
    </w:p>
    <w:p w14:paraId="5FBA3026" w14:textId="77777777" w:rsidR="00F50C2A" w:rsidRDefault="00F50C2A" w:rsidP="00F50C2A">
      <w:pPr>
        <w:numPr>
          <w:ilvl w:val="1"/>
          <w:numId w:val="5"/>
        </w:numPr>
        <w:spacing w:before="100" w:beforeAutospacing="1" w:after="100" w:afterAutospacing="1" w:line="240" w:lineRule="auto"/>
      </w:pPr>
      <w:r>
        <w:rPr>
          <w:rStyle w:val="Strong"/>
        </w:rPr>
        <w:t>Notebook</w:t>
      </w:r>
      <w:r>
        <w:t xml:space="preserve"> saw a growth of </w:t>
      </w:r>
      <w:r>
        <w:rPr>
          <w:rStyle w:val="Strong"/>
        </w:rPr>
        <w:t>17.39%</w:t>
      </w:r>
      <w:r>
        <w:t>, the lowest among the segments. However, the base number of products in 2020 was the largest (</w:t>
      </w:r>
      <w:r>
        <w:rPr>
          <w:rStyle w:val="Strong"/>
        </w:rPr>
        <w:t>92 products</w:t>
      </w:r>
      <w:r>
        <w:t>), indicating that this segment still remains a key area for the company.</w:t>
      </w:r>
    </w:p>
    <w:p w14:paraId="04D60696" w14:textId="77777777" w:rsidR="00F50C2A" w:rsidRDefault="00F50C2A" w:rsidP="00F50C2A">
      <w:pPr>
        <w:spacing w:after="0"/>
      </w:pPr>
      <w:r>
        <w:pict w14:anchorId="422530F2">
          <v:rect id="_x0000_i1032" style="width:0;height:1.5pt" o:hralign="center" o:hrstd="t" o:hr="t" fillcolor="#a0a0a0" stroked="f"/>
        </w:pict>
      </w:r>
    </w:p>
    <w:p w14:paraId="21C767BC" w14:textId="77777777" w:rsidR="00F50C2A" w:rsidRDefault="00F50C2A" w:rsidP="00F50C2A">
      <w:pPr>
        <w:pStyle w:val="Heading3"/>
      </w:pPr>
      <w:r>
        <w:t>Recommendations:</w:t>
      </w:r>
    </w:p>
    <w:p w14:paraId="79E35675" w14:textId="77777777" w:rsidR="00F50C2A" w:rsidRDefault="00F50C2A" w:rsidP="00F50C2A">
      <w:pPr>
        <w:pStyle w:val="NormalWeb"/>
        <w:numPr>
          <w:ilvl w:val="0"/>
          <w:numId w:val="6"/>
        </w:numPr>
      </w:pPr>
      <w:r>
        <w:rPr>
          <w:rStyle w:val="Strong"/>
          <w:rFonts w:eastAsiaTheme="majorEastAsia"/>
        </w:rPr>
        <w:t>Capitalize on Desktop Growth:</w:t>
      </w:r>
    </w:p>
    <w:p w14:paraId="2178CB6E" w14:textId="77777777" w:rsidR="00F50C2A" w:rsidRDefault="00F50C2A" w:rsidP="00F50C2A">
      <w:pPr>
        <w:numPr>
          <w:ilvl w:val="1"/>
          <w:numId w:val="6"/>
        </w:numPr>
        <w:spacing w:before="100" w:beforeAutospacing="1" w:after="100" w:afterAutospacing="1" w:line="240" w:lineRule="auto"/>
      </w:pPr>
      <w:r>
        <w:t xml:space="preserve">Given the significant expansion in the </w:t>
      </w:r>
      <w:r>
        <w:rPr>
          <w:rStyle w:val="Strong"/>
        </w:rPr>
        <w:t>Desktop</w:t>
      </w:r>
      <w:r>
        <w:t xml:space="preserve"> segment, Atliq Hardware should continue to invest in this area. Introduce new models, accessories, or features, and potentially target new customer segments such as business or enterprise users.</w:t>
      </w:r>
    </w:p>
    <w:p w14:paraId="3220F76E" w14:textId="77777777" w:rsidR="00F50C2A" w:rsidRDefault="00F50C2A" w:rsidP="00F50C2A">
      <w:pPr>
        <w:pStyle w:val="NormalWeb"/>
        <w:numPr>
          <w:ilvl w:val="0"/>
          <w:numId w:val="6"/>
        </w:numPr>
      </w:pPr>
      <w:r>
        <w:rPr>
          <w:rStyle w:val="Strong"/>
          <w:rFonts w:eastAsiaTheme="majorEastAsia"/>
        </w:rPr>
        <w:t>Expand Accessories and Peripherals:</w:t>
      </w:r>
    </w:p>
    <w:p w14:paraId="35C100D7" w14:textId="77777777" w:rsidR="00F50C2A" w:rsidRDefault="00F50C2A" w:rsidP="00F50C2A">
      <w:pPr>
        <w:numPr>
          <w:ilvl w:val="1"/>
          <w:numId w:val="6"/>
        </w:numPr>
        <w:spacing w:before="100" w:beforeAutospacing="1" w:after="100" w:afterAutospacing="1" w:line="240" w:lineRule="auto"/>
      </w:pPr>
      <w:r>
        <w:t xml:space="preserve">Focus on expanding the </w:t>
      </w:r>
      <w:r>
        <w:rPr>
          <w:rStyle w:val="Strong"/>
        </w:rPr>
        <w:t>Accessories</w:t>
      </w:r>
      <w:r>
        <w:t xml:space="preserve"> and </w:t>
      </w:r>
      <w:r>
        <w:rPr>
          <w:rStyle w:val="Strong"/>
        </w:rPr>
        <w:t>Peripherals</w:t>
      </w:r>
      <w:r>
        <w:t xml:space="preserve"> segments to capitalize on their growth. Consider bundling these products with other high-demand products like notebooks or desktops.</w:t>
      </w:r>
    </w:p>
    <w:p w14:paraId="484A15B1" w14:textId="77777777" w:rsidR="00F50C2A" w:rsidRDefault="00F50C2A" w:rsidP="00F50C2A">
      <w:pPr>
        <w:pStyle w:val="NormalWeb"/>
        <w:numPr>
          <w:ilvl w:val="0"/>
          <w:numId w:val="6"/>
        </w:numPr>
      </w:pPr>
      <w:r>
        <w:rPr>
          <w:rStyle w:val="Strong"/>
          <w:rFonts w:eastAsiaTheme="majorEastAsia"/>
        </w:rPr>
        <w:t>Focus on High-Growth Segments:</w:t>
      </w:r>
    </w:p>
    <w:p w14:paraId="5D2EFC1E" w14:textId="77777777" w:rsidR="00F50C2A" w:rsidRDefault="00F50C2A" w:rsidP="00F50C2A">
      <w:pPr>
        <w:numPr>
          <w:ilvl w:val="1"/>
          <w:numId w:val="6"/>
        </w:numPr>
        <w:spacing w:before="100" w:beforeAutospacing="1" w:after="100" w:afterAutospacing="1" w:line="240" w:lineRule="auto"/>
      </w:pPr>
      <w:r>
        <w:t xml:space="preserve">The </w:t>
      </w:r>
      <w:r>
        <w:rPr>
          <w:rStyle w:val="Strong"/>
        </w:rPr>
        <w:t>Networking</w:t>
      </w:r>
      <w:r>
        <w:t xml:space="preserve"> and </w:t>
      </w:r>
      <w:r>
        <w:rPr>
          <w:rStyle w:val="Strong"/>
        </w:rPr>
        <w:t>Storage</w:t>
      </w:r>
      <w:r>
        <w:t xml:space="preserve"> segments have shown steady growth. Atliq could introduce more diverse products in these segments or focus on premium offerings to increase sales and margins.</w:t>
      </w:r>
    </w:p>
    <w:p w14:paraId="6E8AFC6A" w14:textId="77777777" w:rsidR="00F50C2A" w:rsidRDefault="00F50C2A" w:rsidP="00F50C2A">
      <w:pPr>
        <w:pStyle w:val="NormalWeb"/>
        <w:numPr>
          <w:ilvl w:val="0"/>
          <w:numId w:val="6"/>
        </w:numPr>
      </w:pPr>
      <w:r>
        <w:rPr>
          <w:rStyle w:val="Strong"/>
          <w:rFonts w:eastAsiaTheme="majorEastAsia"/>
        </w:rPr>
        <w:t>Reevaluate the Notebook Strategy:</w:t>
      </w:r>
    </w:p>
    <w:p w14:paraId="65024F77" w14:textId="77777777" w:rsidR="00F50C2A" w:rsidRDefault="00F50C2A" w:rsidP="00F50C2A">
      <w:pPr>
        <w:numPr>
          <w:ilvl w:val="1"/>
          <w:numId w:val="6"/>
        </w:numPr>
        <w:spacing w:before="100" w:beforeAutospacing="1" w:after="100" w:afterAutospacing="1" w:line="240" w:lineRule="auto"/>
      </w:pPr>
      <w:r>
        <w:t xml:space="preserve">While the </w:t>
      </w:r>
      <w:r>
        <w:rPr>
          <w:rStyle w:val="Strong"/>
        </w:rPr>
        <w:t>Notebook</w:t>
      </w:r>
      <w:r>
        <w:t xml:space="preserve"> segment remains important, the relatively slow growth in 2021 suggests a need for a refreshed strategy. This might include updating product features, enhancing marketing efforts, or exploring new customer demographics.</w:t>
      </w:r>
    </w:p>
    <w:p w14:paraId="24AF63DF" w14:textId="77777777" w:rsidR="00F50C2A" w:rsidRDefault="00F50C2A" w:rsidP="00F50C2A">
      <w:pPr>
        <w:pStyle w:val="NormalWeb"/>
        <w:numPr>
          <w:ilvl w:val="0"/>
          <w:numId w:val="6"/>
        </w:numPr>
      </w:pPr>
      <w:r>
        <w:rPr>
          <w:rStyle w:val="Strong"/>
          <w:rFonts w:eastAsiaTheme="majorEastAsia"/>
        </w:rPr>
        <w:t>Monitor Product Portfolio Balance:</w:t>
      </w:r>
    </w:p>
    <w:p w14:paraId="77971B1B" w14:textId="77777777" w:rsidR="00F50C2A" w:rsidRDefault="00F50C2A" w:rsidP="00F50C2A">
      <w:pPr>
        <w:numPr>
          <w:ilvl w:val="1"/>
          <w:numId w:val="6"/>
        </w:numPr>
        <w:spacing w:before="100" w:beforeAutospacing="1" w:after="100" w:afterAutospacing="1" w:line="240" w:lineRule="auto"/>
      </w:pPr>
      <w:r>
        <w:t>With some segments showing rapid growth and others showing more modest increases, it’s important to assess the overall product portfolio balance to ensure resources are being directed where the most promising growth is happening.</w:t>
      </w:r>
    </w:p>
    <w:p w14:paraId="27031F1E" w14:textId="77777777" w:rsidR="00F50C2A" w:rsidRDefault="00F50C2A" w:rsidP="00F50C2A">
      <w:pPr>
        <w:pStyle w:val="Heading3"/>
      </w:pPr>
      <w:r>
        <w:t>5-</w:t>
      </w:r>
      <w:r>
        <w:t xml:space="preserve">Lowest Manufacturing Cost Products: Get the products that have the highest and lowest manufacturing costs. The final output should contain these fields: - </w:t>
      </w:r>
      <w:proofErr w:type="spellStart"/>
      <w:r>
        <w:t>product_code</w:t>
      </w:r>
      <w:proofErr w:type="spellEnd"/>
      <w:r>
        <w:t xml:space="preserve"> - product - </w:t>
      </w:r>
      <w:proofErr w:type="spellStart"/>
      <w:r>
        <w:t>manufacturing_cost</w:t>
      </w:r>
      <w:proofErr w:type="spellEnd"/>
      <w:r>
        <w:t xml:space="preserve">  </w:t>
      </w:r>
      <w:r>
        <w:br/>
      </w:r>
      <w:r>
        <w:t>Lowest and Highest Manufacturing Cost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4"/>
        <w:gridCol w:w="1303"/>
        <w:gridCol w:w="2154"/>
        <w:gridCol w:w="1874"/>
      </w:tblGrid>
      <w:tr w:rsidR="00F50C2A" w14:paraId="1A1C54E4" w14:textId="77777777" w:rsidTr="00F50C2A">
        <w:trPr>
          <w:tblHeader/>
          <w:tblCellSpacing w:w="15" w:type="dxa"/>
        </w:trPr>
        <w:tc>
          <w:tcPr>
            <w:tcW w:w="0" w:type="auto"/>
            <w:vAlign w:val="center"/>
            <w:hideMark/>
          </w:tcPr>
          <w:p w14:paraId="3DCD7F7D" w14:textId="77777777" w:rsidR="00F50C2A" w:rsidRDefault="00F50C2A">
            <w:pPr>
              <w:jc w:val="center"/>
              <w:rPr>
                <w:b/>
                <w:bCs/>
              </w:rPr>
            </w:pPr>
            <w:r>
              <w:rPr>
                <w:rStyle w:val="Strong"/>
              </w:rPr>
              <w:t>Metric</w:t>
            </w:r>
          </w:p>
        </w:tc>
        <w:tc>
          <w:tcPr>
            <w:tcW w:w="0" w:type="auto"/>
            <w:vAlign w:val="center"/>
            <w:hideMark/>
          </w:tcPr>
          <w:p w14:paraId="0FA0C417" w14:textId="77777777" w:rsidR="00F50C2A" w:rsidRDefault="00F50C2A">
            <w:pPr>
              <w:jc w:val="center"/>
              <w:rPr>
                <w:b/>
                <w:bCs/>
              </w:rPr>
            </w:pPr>
            <w:r>
              <w:rPr>
                <w:rStyle w:val="Strong"/>
              </w:rPr>
              <w:t>Product Code</w:t>
            </w:r>
          </w:p>
        </w:tc>
        <w:tc>
          <w:tcPr>
            <w:tcW w:w="0" w:type="auto"/>
            <w:vAlign w:val="center"/>
            <w:hideMark/>
          </w:tcPr>
          <w:p w14:paraId="258F6C7E" w14:textId="77777777" w:rsidR="00F50C2A" w:rsidRDefault="00F50C2A">
            <w:pPr>
              <w:jc w:val="center"/>
              <w:rPr>
                <w:b/>
                <w:bCs/>
              </w:rPr>
            </w:pPr>
            <w:r>
              <w:rPr>
                <w:rStyle w:val="Strong"/>
              </w:rPr>
              <w:t>Product</w:t>
            </w:r>
          </w:p>
        </w:tc>
        <w:tc>
          <w:tcPr>
            <w:tcW w:w="0" w:type="auto"/>
            <w:vAlign w:val="center"/>
            <w:hideMark/>
          </w:tcPr>
          <w:p w14:paraId="0A41D1DA" w14:textId="77777777" w:rsidR="00F50C2A" w:rsidRDefault="00F50C2A">
            <w:pPr>
              <w:jc w:val="center"/>
              <w:rPr>
                <w:b/>
                <w:bCs/>
              </w:rPr>
            </w:pPr>
            <w:r>
              <w:rPr>
                <w:rStyle w:val="Strong"/>
              </w:rPr>
              <w:t>Manufacturing Cost</w:t>
            </w:r>
          </w:p>
        </w:tc>
      </w:tr>
      <w:tr w:rsidR="00F50C2A" w14:paraId="352A78E2" w14:textId="77777777" w:rsidTr="00F50C2A">
        <w:trPr>
          <w:tblCellSpacing w:w="15" w:type="dxa"/>
        </w:trPr>
        <w:tc>
          <w:tcPr>
            <w:tcW w:w="0" w:type="auto"/>
            <w:vAlign w:val="center"/>
            <w:hideMark/>
          </w:tcPr>
          <w:p w14:paraId="4BF16740" w14:textId="77777777" w:rsidR="00F50C2A" w:rsidRDefault="00F50C2A">
            <w:r>
              <w:rPr>
                <w:rStyle w:val="Strong"/>
              </w:rPr>
              <w:t>Max Manufacturing Cost</w:t>
            </w:r>
          </w:p>
        </w:tc>
        <w:tc>
          <w:tcPr>
            <w:tcW w:w="0" w:type="auto"/>
            <w:vAlign w:val="center"/>
            <w:hideMark/>
          </w:tcPr>
          <w:p w14:paraId="0712D37A" w14:textId="77777777" w:rsidR="00F50C2A" w:rsidRDefault="00F50C2A">
            <w:r>
              <w:t>A6120110206</w:t>
            </w:r>
          </w:p>
        </w:tc>
        <w:tc>
          <w:tcPr>
            <w:tcW w:w="0" w:type="auto"/>
            <w:vAlign w:val="center"/>
            <w:hideMark/>
          </w:tcPr>
          <w:p w14:paraId="78479EE6" w14:textId="77777777" w:rsidR="00F50C2A" w:rsidRDefault="00F50C2A">
            <w:r>
              <w:t>AQ HOME Allin1 Gen 2</w:t>
            </w:r>
          </w:p>
        </w:tc>
        <w:tc>
          <w:tcPr>
            <w:tcW w:w="0" w:type="auto"/>
            <w:vAlign w:val="center"/>
            <w:hideMark/>
          </w:tcPr>
          <w:p w14:paraId="6EA7C481" w14:textId="77777777" w:rsidR="00F50C2A" w:rsidRDefault="00F50C2A">
            <w:r>
              <w:t>$240.54</w:t>
            </w:r>
          </w:p>
        </w:tc>
      </w:tr>
      <w:tr w:rsidR="00F50C2A" w14:paraId="3D4BB952" w14:textId="77777777" w:rsidTr="00F50C2A">
        <w:trPr>
          <w:tblCellSpacing w:w="15" w:type="dxa"/>
        </w:trPr>
        <w:tc>
          <w:tcPr>
            <w:tcW w:w="0" w:type="auto"/>
            <w:vAlign w:val="center"/>
            <w:hideMark/>
          </w:tcPr>
          <w:p w14:paraId="396C3EDC" w14:textId="77777777" w:rsidR="00F50C2A" w:rsidRDefault="00F50C2A">
            <w:r>
              <w:rPr>
                <w:rStyle w:val="Strong"/>
              </w:rPr>
              <w:t>Min Manufacturing Cost</w:t>
            </w:r>
          </w:p>
        </w:tc>
        <w:tc>
          <w:tcPr>
            <w:tcW w:w="0" w:type="auto"/>
            <w:vAlign w:val="center"/>
            <w:hideMark/>
          </w:tcPr>
          <w:p w14:paraId="08B43FB6" w14:textId="77777777" w:rsidR="00F50C2A" w:rsidRDefault="00F50C2A">
            <w:r>
              <w:t>A2118150101</w:t>
            </w:r>
          </w:p>
        </w:tc>
        <w:tc>
          <w:tcPr>
            <w:tcW w:w="0" w:type="auto"/>
            <w:vAlign w:val="center"/>
            <w:hideMark/>
          </w:tcPr>
          <w:p w14:paraId="05FCEF07" w14:textId="77777777" w:rsidR="00F50C2A" w:rsidRDefault="00F50C2A">
            <w:r>
              <w:t>AQ Master wired x1 Ms</w:t>
            </w:r>
          </w:p>
        </w:tc>
        <w:tc>
          <w:tcPr>
            <w:tcW w:w="0" w:type="auto"/>
            <w:vAlign w:val="center"/>
            <w:hideMark/>
          </w:tcPr>
          <w:p w14:paraId="536AA513" w14:textId="77777777" w:rsidR="00F50C2A" w:rsidRDefault="00F50C2A">
            <w:r>
              <w:t>$0.89</w:t>
            </w:r>
          </w:p>
        </w:tc>
      </w:tr>
    </w:tbl>
    <w:p w14:paraId="1D115C74" w14:textId="77777777" w:rsidR="00F50C2A" w:rsidRDefault="00F50C2A" w:rsidP="00F50C2A">
      <w:r>
        <w:pict w14:anchorId="6D77B8E7">
          <v:rect id="_x0000_i1035" style="width:0;height:1.5pt" o:hralign="center" o:hrstd="t" o:hr="t" fillcolor="#a0a0a0" stroked="f"/>
        </w:pict>
      </w:r>
    </w:p>
    <w:p w14:paraId="3E148391" w14:textId="77777777" w:rsidR="00F50C2A" w:rsidRDefault="00F50C2A" w:rsidP="00F50C2A">
      <w:pPr>
        <w:pStyle w:val="Heading3"/>
      </w:pPr>
      <w:r>
        <w:t>Insights:</w:t>
      </w:r>
    </w:p>
    <w:p w14:paraId="340818B5" w14:textId="77777777" w:rsidR="00F50C2A" w:rsidRDefault="00F50C2A" w:rsidP="00F50C2A">
      <w:pPr>
        <w:pStyle w:val="NormalWeb"/>
        <w:numPr>
          <w:ilvl w:val="0"/>
          <w:numId w:val="7"/>
        </w:numPr>
      </w:pPr>
      <w:r>
        <w:rPr>
          <w:rStyle w:val="Strong"/>
          <w:rFonts w:eastAsiaTheme="majorEastAsia"/>
        </w:rPr>
        <w:t>Max Manufacturing Cost – AQ HOME Allin1 Gen 2 ($240.54):</w:t>
      </w:r>
    </w:p>
    <w:p w14:paraId="35A8B916" w14:textId="77777777" w:rsidR="00F50C2A" w:rsidRDefault="00F50C2A" w:rsidP="00F50C2A">
      <w:pPr>
        <w:numPr>
          <w:ilvl w:val="1"/>
          <w:numId w:val="7"/>
        </w:numPr>
        <w:spacing w:before="100" w:beforeAutospacing="1" w:after="100" w:afterAutospacing="1" w:line="240" w:lineRule="auto"/>
      </w:pPr>
      <w:r>
        <w:t>This product has the highest manufacturing cost, likely due to its complexity, premium components, or high production overhead.</w:t>
      </w:r>
    </w:p>
    <w:p w14:paraId="24D158F6" w14:textId="77777777" w:rsidR="00F50C2A" w:rsidRDefault="00F50C2A" w:rsidP="00F50C2A">
      <w:pPr>
        <w:numPr>
          <w:ilvl w:val="1"/>
          <w:numId w:val="7"/>
        </w:numPr>
        <w:spacing w:before="100" w:beforeAutospacing="1" w:after="100" w:afterAutospacing="1" w:line="240" w:lineRule="auto"/>
      </w:pPr>
      <w:r>
        <w:t>It is likely positioned as a premium or specialized product, targeting a niche market segment.</w:t>
      </w:r>
    </w:p>
    <w:p w14:paraId="0E4E924A" w14:textId="77777777" w:rsidR="00F50C2A" w:rsidRDefault="00F50C2A" w:rsidP="00F50C2A">
      <w:pPr>
        <w:pStyle w:val="NormalWeb"/>
        <w:numPr>
          <w:ilvl w:val="0"/>
          <w:numId w:val="7"/>
        </w:numPr>
      </w:pPr>
      <w:r>
        <w:rPr>
          <w:rStyle w:val="Strong"/>
          <w:rFonts w:eastAsiaTheme="majorEastAsia"/>
        </w:rPr>
        <w:t>Min Manufacturing Cost – AQ Master wired x1 Ms ($0.89):</w:t>
      </w:r>
    </w:p>
    <w:p w14:paraId="774EC7D8" w14:textId="77777777" w:rsidR="00F50C2A" w:rsidRDefault="00F50C2A" w:rsidP="00F50C2A">
      <w:pPr>
        <w:numPr>
          <w:ilvl w:val="1"/>
          <w:numId w:val="7"/>
        </w:numPr>
        <w:spacing w:before="100" w:beforeAutospacing="1" w:after="100" w:afterAutospacing="1" w:line="240" w:lineRule="auto"/>
      </w:pPr>
      <w:r>
        <w:t>This product has the lowest manufacturing cost, indicating it may be a simple or mass-produced item like a basic wired mouse.</w:t>
      </w:r>
    </w:p>
    <w:p w14:paraId="245594B1" w14:textId="77777777" w:rsidR="00F50C2A" w:rsidRDefault="00F50C2A" w:rsidP="00F50C2A">
      <w:pPr>
        <w:numPr>
          <w:ilvl w:val="1"/>
          <w:numId w:val="7"/>
        </w:numPr>
        <w:spacing w:before="100" w:beforeAutospacing="1" w:after="100" w:afterAutospacing="1" w:line="240" w:lineRule="auto"/>
      </w:pPr>
      <w:r>
        <w:t>The low cost allows for high sales volumes and potentially higher margins depending on the selling price.</w:t>
      </w:r>
    </w:p>
    <w:p w14:paraId="02362172" w14:textId="77777777" w:rsidR="00F50C2A" w:rsidRDefault="00F50C2A" w:rsidP="00F50C2A">
      <w:pPr>
        <w:pStyle w:val="NormalWeb"/>
        <w:numPr>
          <w:ilvl w:val="0"/>
          <w:numId w:val="7"/>
        </w:numPr>
      </w:pPr>
      <w:r>
        <w:rPr>
          <w:rStyle w:val="Strong"/>
          <w:rFonts w:eastAsiaTheme="majorEastAsia"/>
        </w:rPr>
        <w:t>Manufacturing Cost Range:</w:t>
      </w:r>
    </w:p>
    <w:p w14:paraId="71ADCF67" w14:textId="77777777" w:rsidR="00F50C2A" w:rsidRDefault="00F50C2A" w:rsidP="00F50C2A">
      <w:pPr>
        <w:numPr>
          <w:ilvl w:val="1"/>
          <w:numId w:val="7"/>
        </w:numPr>
        <w:spacing w:before="100" w:beforeAutospacing="1" w:after="100" w:afterAutospacing="1" w:line="240" w:lineRule="auto"/>
      </w:pPr>
      <w:r>
        <w:t>The significant cost range ($0.89 to $240.54) highlights the diversity in Atliq Hardware’s product portfolio, covering both budget-friendly and high-end products.</w:t>
      </w:r>
    </w:p>
    <w:p w14:paraId="33FA9D14" w14:textId="77777777" w:rsidR="00F50C2A" w:rsidRDefault="00F50C2A" w:rsidP="00F50C2A">
      <w:pPr>
        <w:pStyle w:val="NormalWeb"/>
        <w:numPr>
          <w:ilvl w:val="0"/>
          <w:numId w:val="7"/>
        </w:numPr>
      </w:pPr>
      <w:r>
        <w:rPr>
          <w:rStyle w:val="Strong"/>
          <w:rFonts w:eastAsiaTheme="majorEastAsia"/>
        </w:rPr>
        <w:t>Product Portfolio Implication:</w:t>
      </w:r>
    </w:p>
    <w:p w14:paraId="3068E002" w14:textId="77777777" w:rsidR="00F50C2A" w:rsidRDefault="00F50C2A" w:rsidP="00F50C2A">
      <w:pPr>
        <w:numPr>
          <w:ilvl w:val="1"/>
          <w:numId w:val="7"/>
        </w:numPr>
        <w:spacing w:before="100" w:beforeAutospacing="1" w:after="100" w:afterAutospacing="1" w:line="240" w:lineRule="auto"/>
      </w:pPr>
      <w:r>
        <w:t>High-cost products like AQ HOME Allin1 Gen 2 likely contribute more significantly to gross revenue but may have lower profit margins.</w:t>
      </w:r>
    </w:p>
    <w:p w14:paraId="42667B1A" w14:textId="77777777" w:rsidR="00F50C2A" w:rsidRDefault="00F50C2A" w:rsidP="00F50C2A">
      <w:pPr>
        <w:numPr>
          <w:ilvl w:val="1"/>
          <w:numId w:val="7"/>
        </w:numPr>
        <w:spacing w:before="100" w:beforeAutospacing="1" w:after="100" w:afterAutospacing="1" w:line="240" w:lineRule="auto"/>
      </w:pPr>
      <w:r>
        <w:t>Low-cost products like AQ Master wired x1 Ms may yield high margins if sold in large quantities, but their contribution to gross revenue may be limited.</w:t>
      </w:r>
    </w:p>
    <w:p w14:paraId="708D6E22" w14:textId="77777777" w:rsidR="00F50C2A" w:rsidRDefault="00F50C2A" w:rsidP="00F50C2A">
      <w:pPr>
        <w:spacing w:after="0"/>
      </w:pPr>
      <w:r>
        <w:pict w14:anchorId="24FD5DC5">
          <v:rect id="_x0000_i1036" style="width:0;height:1.5pt" o:hralign="center" o:hrstd="t" o:hr="t" fillcolor="#a0a0a0" stroked="f"/>
        </w:pict>
      </w:r>
    </w:p>
    <w:p w14:paraId="7CC6F872" w14:textId="77777777" w:rsidR="00F50C2A" w:rsidRDefault="00F50C2A" w:rsidP="00F50C2A">
      <w:pPr>
        <w:pStyle w:val="Heading3"/>
      </w:pPr>
      <w:r>
        <w:t>Recommendations:</w:t>
      </w:r>
    </w:p>
    <w:p w14:paraId="78363568" w14:textId="77777777" w:rsidR="00F50C2A" w:rsidRDefault="00F50C2A" w:rsidP="00F50C2A">
      <w:pPr>
        <w:pStyle w:val="NormalWeb"/>
        <w:numPr>
          <w:ilvl w:val="0"/>
          <w:numId w:val="8"/>
        </w:numPr>
      </w:pPr>
      <w:r>
        <w:rPr>
          <w:rStyle w:val="Strong"/>
          <w:rFonts w:eastAsiaTheme="majorEastAsia"/>
        </w:rPr>
        <w:t>Maximize Margins for High-Cost Products:</w:t>
      </w:r>
    </w:p>
    <w:p w14:paraId="52ABCAB2" w14:textId="77777777" w:rsidR="00F50C2A" w:rsidRDefault="00F50C2A" w:rsidP="00F50C2A">
      <w:pPr>
        <w:numPr>
          <w:ilvl w:val="1"/>
          <w:numId w:val="8"/>
        </w:numPr>
        <w:spacing w:before="100" w:beforeAutospacing="1" w:after="100" w:afterAutospacing="1" w:line="240" w:lineRule="auto"/>
      </w:pPr>
      <w:r>
        <w:t xml:space="preserve">For products with high manufacturing costs, focus on </w:t>
      </w:r>
      <w:r>
        <w:rPr>
          <w:rStyle w:val="Strong"/>
        </w:rPr>
        <w:t>value-based pricing strategies</w:t>
      </w:r>
      <w:r>
        <w:t xml:space="preserve"> to ensure profitability. Highlight premium features in marketing campaigns to justify higher price points.</w:t>
      </w:r>
    </w:p>
    <w:p w14:paraId="238BE881" w14:textId="77777777" w:rsidR="00F50C2A" w:rsidRDefault="00F50C2A" w:rsidP="00F50C2A">
      <w:pPr>
        <w:pStyle w:val="NormalWeb"/>
        <w:numPr>
          <w:ilvl w:val="0"/>
          <w:numId w:val="8"/>
        </w:numPr>
      </w:pPr>
      <w:r>
        <w:rPr>
          <w:rStyle w:val="Strong"/>
          <w:rFonts w:eastAsiaTheme="majorEastAsia"/>
        </w:rPr>
        <w:t>Leverage Low-Cost Products for Volume Sales:</w:t>
      </w:r>
    </w:p>
    <w:p w14:paraId="49636E89" w14:textId="77777777" w:rsidR="00F50C2A" w:rsidRDefault="00F50C2A" w:rsidP="00F50C2A">
      <w:pPr>
        <w:numPr>
          <w:ilvl w:val="1"/>
          <w:numId w:val="8"/>
        </w:numPr>
        <w:spacing w:before="100" w:beforeAutospacing="1" w:after="100" w:afterAutospacing="1" w:line="240" w:lineRule="auto"/>
      </w:pPr>
      <w:r>
        <w:t>Low-cost items like AQ Master wired x1 Ms should be promoted aggressively in mass markets or bundled with other products to increase sales volumes and cross-selling opportunities.</w:t>
      </w:r>
    </w:p>
    <w:p w14:paraId="0694572A" w14:textId="77777777" w:rsidR="00F50C2A" w:rsidRDefault="00F50C2A" w:rsidP="00F50C2A">
      <w:pPr>
        <w:pStyle w:val="NormalWeb"/>
        <w:numPr>
          <w:ilvl w:val="0"/>
          <w:numId w:val="8"/>
        </w:numPr>
      </w:pPr>
      <w:r>
        <w:rPr>
          <w:rStyle w:val="Strong"/>
          <w:rFonts w:eastAsiaTheme="majorEastAsia"/>
        </w:rPr>
        <w:t>Optimize Manufacturing Costs:</w:t>
      </w:r>
    </w:p>
    <w:p w14:paraId="03E08E20" w14:textId="77777777" w:rsidR="00F50C2A" w:rsidRDefault="00F50C2A" w:rsidP="00F50C2A">
      <w:pPr>
        <w:numPr>
          <w:ilvl w:val="1"/>
          <w:numId w:val="8"/>
        </w:numPr>
        <w:spacing w:before="100" w:beforeAutospacing="1" w:after="100" w:afterAutospacing="1" w:line="240" w:lineRule="auto"/>
      </w:pPr>
      <w:r>
        <w:t>Investigate the production process for high-cost products to identify opportunities for cost reduction, such as bulk purchasing of materials or automation.</w:t>
      </w:r>
    </w:p>
    <w:p w14:paraId="58B90703" w14:textId="77777777" w:rsidR="00F50C2A" w:rsidRDefault="00F50C2A" w:rsidP="00F50C2A">
      <w:pPr>
        <w:pStyle w:val="NormalWeb"/>
        <w:numPr>
          <w:ilvl w:val="0"/>
          <w:numId w:val="8"/>
        </w:numPr>
      </w:pPr>
      <w:r>
        <w:rPr>
          <w:rStyle w:val="Strong"/>
          <w:rFonts w:eastAsiaTheme="majorEastAsia"/>
        </w:rPr>
        <w:t>Expand High-Margin Categories:</w:t>
      </w:r>
    </w:p>
    <w:p w14:paraId="4D4EF06E" w14:textId="77777777" w:rsidR="00F50C2A" w:rsidRDefault="00F50C2A" w:rsidP="00F50C2A">
      <w:pPr>
        <w:numPr>
          <w:ilvl w:val="1"/>
          <w:numId w:val="8"/>
        </w:numPr>
        <w:spacing w:before="100" w:beforeAutospacing="1" w:after="100" w:afterAutospacing="1" w:line="240" w:lineRule="auto"/>
      </w:pPr>
      <w:r>
        <w:t>Products with low manufacturing costs but strong demand should be expanded within the product lineup. Introduce variations or complementary accessories to enhance revenue.</w:t>
      </w:r>
    </w:p>
    <w:p w14:paraId="686A8CD7" w14:textId="77777777" w:rsidR="00F50C2A" w:rsidRDefault="00F50C2A" w:rsidP="00F50C2A">
      <w:pPr>
        <w:pStyle w:val="NormalWeb"/>
        <w:numPr>
          <w:ilvl w:val="0"/>
          <w:numId w:val="8"/>
        </w:numPr>
      </w:pPr>
      <w:r>
        <w:rPr>
          <w:rStyle w:val="Strong"/>
          <w:rFonts w:eastAsiaTheme="majorEastAsia"/>
        </w:rPr>
        <w:t>Monitor Cost Efficiency:</w:t>
      </w:r>
    </w:p>
    <w:p w14:paraId="5AAA0EFD" w14:textId="77777777" w:rsidR="00F50C2A" w:rsidRDefault="00F50C2A" w:rsidP="00F50C2A">
      <w:pPr>
        <w:numPr>
          <w:ilvl w:val="1"/>
          <w:numId w:val="8"/>
        </w:numPr>
        <w:spacing w:before="100" w:beforeAutospacing="1" w:after="100" w:afterAutospacing="1" w:line="240" w:lineRule="auto"/>
      </w:pPr>
      <w:r>
        <w:t>Regularly review the manufacturing costs across the product range to ensure they align with market demand and pricing strategies.</w:t>
      </w:r>
    </w:p>
    <w:p w14:paraId="490DD58E" w14:textId="77777777" w:rsidR="00F50C2A" w:rsidRDefault="00F50C2A" w:rsidP="00F50C2A">
      <w:pPr>
        <w:pStyle w:val="NormalWeb"/>
        <w:numPr>
          <w:ilvl w:val="0"/>
          <w:numId w:val="8"/>
        </w:numPr>
      </w:pPr>
      <w:r>
        <w:rPr>
          <w:rStyle w:val="Strong"/>
          <w:rFonts w:eastAsiaTheme="majorEastAsia"/>
        </w:rPr>
        <w:t>Category Differentiation:</w:t>
      </w:r>
    </w:p>
    <w:p w14:paraId="32C673AA" w14:textId="77777777" w:rsidR="00F50C2A" w:rsidRDefault="00F50C2A" w:rsidP="00F50C2A">
      <w:pPr>
        <w:numPr>
          <w:ilvl w:val="1"/>
          <w:numId w:val="8"/>
        </w:numPr>
        <w:spacing w:before="100" w:beforeAutospacing="1" w:after="100" w:afterAutospacing="1" w:line="240" w:lineRule="auto"/>
      </w:pPr>
      <w:r>
        <w:t>Promote the diversity of the portfolio by emphasizing both affordability and premium options to cater to a broad range of customers.</w:t>
      </w:r>
    </w:p>
    <w:p w14:paraId="651B2410" w14:textId="77777777" w:rsidR="00F50C2A" w:rsidRDefault="00F50C2A" w:rsidP="00F50C2A">
      <w:pPr>
        <w:pStyle w:val="Heading3"/>
      </w:pPr>
      <w:r>
        <w:t>6-</w:t>
      </w:r>
      <w:r>
        <w:t xml:space="preserve">Generate a report which contains the top 5 customers who received an average high pre-invoice discount pot for the fiscal year 2021 and in the Indian market. The final output contains these fields: - </w:t>
      </w:r>
      <w:proofErr w:type="spellStart"/>
      <w:r>
        <w:t>customer_code</w:t>
      </w:r>
      <w:proofErr w:type="spellEnd"/>
      <w:r>
        <w:t xml:space="preserve"> - customer - </w:t>
      </w:r>
      <w:proofErr w:type="spellStart"/>
      <w:r>
        <w:t>average_discount_percentage</w:t>
      </w:r>
      <w:proofErr w:type="spellEnd"/>
      <w:r>
        <w:t xml:space="preserve">  </w:t>
      </w:r>
      <w:r>
        <w:br/>
      </w:r>
      <w:r>
        <w:rPr>
          <w:rStyle w:val="Strong"/>
          <w:b w:val="0"/>
          <w:bCs w:val="0"/>
        </w:rPr>
        <w:t>Top 5 Customers with the Highest Average Pre-Invoice Discount Percentage in 2021 (Indian Market)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941"/>
        <w:gridCol w:w="2942"/>
      </w:tblGrid>
      <w:tr w:rsidR="00F50C2A" w14:paraId="5F52B25C" w14:textId="77777777" w:rsidTr="00F50C2A">
        <w:trPr>
          <w:tblHeader/>
          <w:tblCellSpacing w:w="15" w:type="dxa"/>
        </w:trPr>
        <w:tc>
          <w:tcPr>
            <w:tcW w:w="0" w:type="auto"/>
            <w:vAlign w:val="center"/>
            <w:hideMark/>
          </w:tcPr>
          <w:p w14:paraId="5D4369FB" w14:textId="77777777" w:rsidR="00F50C2A" w:rsidRDefault="00F50C2A">
            <w:pPr>
              <w:jc w:val="center"/>
              <w:rPr>
                <w:b/>
                <w:bCs/>
              </w:rPr>
            </w:pPr>
            <w:r>
              <w:rPr>
                <w:rStyle w:val="Strong"/>
              </w:rPr>
              <w:t>Customer Code</w:t>
            </w:r>
          </w:p>
        </w:tc>
        <w:tc>
          <w:tcPr>
            <w:tcW w:w="0" w:type="auto"/>
            <w:vAlign w:val="center"/>
            <w:hideMark/>
          </w:tcPr>
          <w:p w14:paraId="7E4598CC" w14:textId="77777777" w:rsidR="00F50C2A" w:rsidRDefault="00F50C2A">
            <w:pPr>
              <w:jc w:val="center"/>
              <w:rPr>
                <w:b/>
                <w:bCs/>
              </w:rPr>
            </w:pPr>
            <w:r>
              <w:rPr>
                <w:rStyle w:val="Strong"/>
              </w:rPr>
              <w:t>Customer</w:t>
            </w:r>
          </w:p>
        </w:tc>
        <w:tc>
          <w:tcPr>
            <w:tcW w:w="0" w:type="auto"/>
            <w:vAlign w:val="center"/>
            <w:hideMark/>
          </w:tcPr>
          <w:p w14:paraId="4F03C969" w14:textId="77777777" w:rsidR="00F50C2A" w:rsidRDefault="00F50C2A">
            <w:pPr>
              <w:jc w:val="center"/>
              <w:rPr>
                <w:b/>
                <w:bCs/>
              </w:rPr>
            </w:pPr>
            <w:r>
              <w:rPr>
                <w:rStyle w:val="Strong"/>
              </w:rPr>
              <w:t>Average Pre-Invoice Discount %</w:t>
            </w:r>
          </w:p>
        </w:tc>
      </w:tr>
      <w:tr w:rsidR="00F50C2A" w14:paraId="40A6CC90" w14:textId="77777777" w:rsidTr="00F50C2A">
        <w:trPr>
          <w:tblCellSpacing w:w="15" w:type="dxa"/>
        </w:trPr>
        <w:tc>
          <w:tcPr>
            <w:tcW w:w="0" w:type="auto"/>
            <w:vAlign w:val="center"/>
            <w:hideMark/>
          </w:tcPr>
          <w:p w14:paraId="02915EE0" w14:textId="77777777" w:rsidR="00F50C2A" w:rsidRDefault="00F50C2A">
            <w:r>
              <w:t>90002009</w:t>
            </w:r>
          </w:p>
        </w:tc>
        <w:tc>
          <w:tcPr>
            <w:tcW w:w="0" w:type="auto"/>
            <w:vAlign w:val="center"/>
            <w:hideMark/>
          </w:tcPr>
          <w:p w14:paraId="1DF1569F" w14:textId="77777777" w:rsidR="00F50C2A" w:rsidRDefault="00F50C2A">
            <w:r>
              <w:t>Flipkart</w:t>
            </w:r>
          </w:p>
        </w:tc>
        <w:tc>
          <w:tcPr>
            <w:tcW w:w="0" w:type="auto"/>
            <w:vAlign w:val="center"/>
            <w:hideMark/>
          </w:tcPr>
          <w:p w14:paraId="4E94E1C9" w14:textId="77777777" w:rsidR="00F50C2A" w:rsidRDefault="00F50C2A">
            <w:r>
              <w:t>30.83%</w:t>
            </w:r>
          </w:p>
        </w:tc>
      </w:tr>
      <w:tr w:rsidR="00F50C2A" w14:paraId="1D79341E" w14:textId="77777777" w:rsidTr="00F50C2A">
        <w:trPr>
          <w:tblCellSpacing w:w="15" w:type="dxa"/>
        </w:trPr>
        <w:tc>
          <w:tcPr>
            <w:tcW w:w="0" w:type="auto"/>
            <w:vAlign w:val="center"/>
            <w:hideMark/>
          </w:tcPr>
          <w:p w14:paraId="5A028368" w14:textId="77777777" w:rsidR="00F50C2A" w:rsidRDefault="00F50C2A">
            <w:r>
              <w:t>90002006</w:t>
            </w:r>
          </w:p>
        </w:tc>
        <w:tc>
          <w:tcPr>
            <w:tcW w:w="0" w:type="auto"/>
            <w:vAlign w:val="center"/>
            <w:hideMark/>
          </w:tcPr>
          <w:p w14:paraId="2D78177B" w14:textId="77777777" w:rsidR="00F50C2A" w:rsidRDefault="00F50C2A">
            <w:proofErr w:type="spellStart"/>
            <w:r>
              <w:t>Viveks</w:t>
            </w:r>
            <w:proofErr w:type="spellEnd"/>
          </w:p>
        </w:tc>
        <w:tc>
          <w:tcPr>
            <w:tcW w:w="0" w:type="auto"/>
            <w:vAlign w:val="center"/>
            <w:hideMark/>
          </w:tcPr>
          <w:p w14:paraId="73299655" w14:textId="77777777" w:rsidR="00F50C2A" w:rsidRDefault="00F50C2A">
            <w:r>
              <w:t>30.38%</w:t>
            </w:r>
          </w:p>
        </w:tc>
      </w:tr>
      <w:tr w:rsidR="00F50C2A" w14:paraId="7A5D60EE" w14:textId="77777777" w:rsidTr="00F50C2A">
        <w:trPr>
          <w:tblCellSpacing w:w="15" w:type="dxa"/>
        </w:trPr>
        <w:tc>
          <w:tcPr>
            <w:tcW w:w="0" w:type="auto"/>
            <w:vAlign w:val="center"/>
            <w:hideMark/>
          </w:tcPr>
          <w:p w14:paraId="4DD1127A" w14:textId="77777777" w:rsidR="00F50C2A" w:rsidRDefault="00F50C2A">
            <w:r>
              <w:t>90002003</w:t>
            </w:r>
          </w:p>
        </w:tc>
        <w:tc>
          <w:tcPr>
            <w:tcW w:w="0" w:type="auto"/>
            <w:vAlign w:val="center"/>
            <w:hideMark/>
          </w:tcPr>
          <w:p w14:paraId="68BEB945" w14:textId="77777777" w:rsidR="00F50C2A" w:rsidRDefault="00F50C2A">
            <w:r>
              <w:t>Ezone</w:t>
            </w:r>
          </w:p>
        </w:tc>
        <w:tc>
          <w:tcPr>
            <w:tcW w:w="0" w:type="auto"/>
            <w:vAlign w:val="center"/>
            <w:hideMark/>
          </w:tcPr>
          <w:p w14:paraId="77D67BEE" w14:textId="77777777" w:rsidR="00F50C2A" w:rsidRDefault="00F50C2A">
            <w:r>
              <w:t>30.28%</w:t>
            </w:r>
          </w:p>
        </w:tc>
      </w:tr>
      <w:tr w:rsidR="00F50C2A" w14:paraId="0118CD0C" w14:textId="77777777" w:rsidTr="00F50C2A">
        <w:trPr>
          <w:tblCellSpacing w:w="15" w:type="dxa"/>
        </w:trPr>
        <w:tc>
          <w:tcPr>
            <w:tcW w:w="0" w:type="auto"/>
            <w:vAlign w:val="center"/>
            <w:hideMark/>
          </w:tcPr>
          <w:p w14:paraId="6B5C73E2" w14:textId="77777777" w:rsidR="00F50C2A" w:rsidRDefault="00F50C2A">
            <w:r>
              <w:t>90002002</w:t>
            </w:r>
          </w:p>
        </w:tc>
        <w:tc>
          <w:tcPr>
            <w:tcW w:w="0" w:type="auto"/>
            <w:vAlign w:val="center"/>
            <w:hideMark/>
          </w:tcPr>
          <w:p w14:paraId="54D694D2" w14:textId="77777777" w:rsidR="00F50C2A" w:rsidRDefault="00F50C2A">
            <w:r>
              <w:t>Croma</w:t>
            </w:r>
          </w:p>
        </w:tc>
        <w:tc>
          <w:tcPr>
            <w:tcW w:w="0" w:type="auto"/>
            <w:vAlign w:val="center"/>
            <w:hideMark/>
          </w:tcPr>
          <w:p w14:paraId="47180F89" w14:textId="77777777" w:rsidR="00F50C2A" w:rsidRDefault="00F50C2A">
            <w:r>
              <w:t>30.25%</w:t>
            </w:r>
          </w:p>
        </w:tc>
      </w:tr>
      <w:tr w:rsidR="00F50C2A" w14:paraId="68E8E9EF" w14:textId="77777777" w:rsidTr="00F50C2A">
        <w:trPr>
          <w:tblCellSpacing w:w="15" w:type="dxa"/>
        </w:trPr>
        <w:tc>
          <w:tcPr>
            <w:tcW w:w="0" w:type="auto"/>
            <w:vAlign w:val="center"/>
            <w:hideMark/>
          </w:tcPr>
          <w:p w14:paraId="2F7EE368" w14:textId="77777777" w:rsidR="00F50C2A" w:rsidRDefault="00F50C2A">
            <w:r>
              <w:t>90002016</w:t>
            </w:r>
          </w:p>
        </w:tc>
        <w:tc>
          <w:tcPr>
            <w:tcW w:w="0" w:type="auto"/>
            <w:vAlign w:val="center"/>
            <w:hideMark/>
          </w:tcPr>
          <w:p w14:paraId="31E6E067" w14:textId="77777777" w:rsidR="00F50C2A" w:rsidRDefault="00F50C2A">
            <w:r>
              <w:t>Amazon</w:t>
            </w:r>
          </w:p>
        </w:tc>
        <w:tc>
          <w:tcPr>
            <w:tcW w:w="0" w:type="auto"/>
            <w:vAlign w:val="center"/>
            <w:hideMark/>
          </w:tcPr>
          <w:p w14:paraId="013BA9AC" w14:textId="77777777" w:rsidR="00F50C2A" w:rsidRDefault="00F50C2A">
            <w:r>
              <w:t>29.33%</w:t>
            </w:r>
          </w:p>
        </w:tc>
      </w:tr>
    </w:tbl>
    <w:p w14:paraId="4A637218" w14:textId="77777777" w:rsidR="00F50C2A" w:rsidRDefault="00F50C2A" w:rsidP="00F50C2A">
      <w:r>
        <w:pict w14:anchorId="1EC707E9">
          <v:rect id="_x0000_i1039" style="width:0;height:1.5pt" o:hralign="center" o:hrstd="t" o:hr="t" fillcolor="#a0a0a0" stroked="f"/>
        </w:pict>
      </w:r>
    </w:p>
    <w:p w14:paraId="641CDE81" w14:textId="77777777" w:rsidR="00F50C2A" w:rsidRDefault="00F50C2A" w:rsidP="00F50C2A">
      <w:pPr>
        <w:pStyle w:val="Heading3"/>
      </w:pPr>
      <w:r>
        <w:rPr>
          <w:rStyle w:val="Strong"/>
          <w:b w:val="0"/>
          <w:bCs w:val="0"/>
        </w:rPr>
        <w:t>Insights:</w:t>
      </w:r>
    </w:p>
    <w:p w14:paraId="4290E842" w14:textId="77777777" w:rsidR="00F50C2A" w:rsidRDefault="00F50C2A" w:rsidP="00F50C2A">
      <w:pPr>
        <w:pStyle w:val="NormalWeb"/>
        <w:numPr>
          <w:ilvl w:val="0"/>
          <w:numId w:val="9"/>
        </w:numPr>
      </w:pPr>
      <w:r>
        <w:rPr>
          <w:rStyle w:val="Strong"/>
          <w:rFonts w:eastAsiaTheme="majorEastAsia"/>
        </w:rPr>
        <w:t>Flipkart Leads:</w:t>
      </w:r>
    </w:p>
    <w:p w14:paraId="4C2B0D4F" w14:textId="77777777" w:rsidR="00F50C2A" w:rsidRDefault="00F50C2A" w:rsidP="00F50C2A">
      <w:pPr>
        <w:numPr>
          <w:ilvl w:val="1"/>
          <w:numId w:val="9"/>
        </w:numPr>
        <w:spacing w:before="100" w:beforeAutospacing="1" w:after="100" w:afterAutospacing="1" w:line="240" w:lineRule="auto"/>
      </w:pPr>
      <w:r>
        <w:t>Flipkart received the highest average pre-invoice discount at 30.83%, reflecting its bargaining power or significant bulk purchases.</w:t>
      </w:r>
    </w:p>
    <w:p w14:paraId="2AAA67AB" w14:textId="77777777" w:rsidR="00F50C2A" w:rsidRDefault="00F50C2A" w:rsidP="00F50C2A">
      <w:pPr>
        <w:pStyle w:val="NormalWeb"/>
        <w:numPr>
          <w:ilvl w:val="0"/>
          <w:numId w:val="9"/>
        </w:numPr>
      </w:pPr>
      <w:r>
        <w:rPr>
          <w:rStyle w:val="Strong"/>
          <w:rFonts w:eastAsiaTheme="majorEastAsia"/>
        </w:rPr>
        <w:t>Strong Presence of E-Commerce:</w:t>
      </w:r>
    </w:p>
    <w:p w14:paraId="6657C809" w14:textId="77777777" w:rsidR="00F50C2A" w:rsidRDefault="00F50C2A" w:rsidP="00F50C2A">
      <w:pPr>
        <w:numPr>
          <w:ilvl w:val="1"/>
          <w:numId w:val="9"/>
        </w:numPr>
        <w:spacing w:before="100" w:beforeAutospacing="1" w:after="100" w:afterAutospacing="1" w:line="240" w:lineRule="auto"/>
      </w:pPr>
      <w:r>
        <w:t>Three of the top five customers (Flipkart, Amazon, and Croma) operate on e-commerce or hybrid platforms, highlighting the importance of the online market in discount strategies.</w:t>
      </w:r>
    </w:p>
    <w:p w14:paraId="50A1F4F5" w14:textId="77777777" w:rsidR="00F50C2A" w:rsidRDefault="00F50C2A" w:rsidP="00F50C2A">
      <w:pPr>
        <w:pStyle w:val="NormalWeb"/>
        <w:numPr>
          <w:ilvl w:val="0"/>
          <w:numId w:val="9"/>
        </w:numPr>
      </w:pPr>
      <w:r>
        <w:rPr>
          <w:rStyle w:val="Strong"/>
          <w:rFonts w:eastAsiaTheme="majorEastAsia"/>
        </w:rPr>
        <w:t>Consistent Discounts:</w:t>
      </w:r>
    </w:p>
    <w:p w14:paraId="703F4639" w14:textId="77777777" w:rsidR="00F50C2A" w:rsidRDefault="00F50C2A" w:rsidP="00F50C2A">
      <w:pPr>
        <w:numPr>
          <w:ilvl w:val="1"/>
          <w:numId w:val="9"/>
        </w:numPr>
        <w:spacing w:before="100" w:beforeAutospacing="1" w:after="100" w:afterAutospacing="1" w:line="240" w:lineRule="auto"/>
      </w:pPr>
      <w:r>
        <w:t>The difference between the highest and fifth-highest discounts is less than 2%, suggesting that Atliq Hardware maintains a fairly uniform discount policy for its key customers in the Indian market.</w:t>
      </w:r>
    </w:p>
    <w:p w14:paraId="4675F623" w14:textId="77777777" w:rsidR="00F50C2A" w:rsidRDefault="00F50C2A" w:rsidP="00F50C2A">
      <w:pPr>
        <w:pStyle w:val="NormalWeb"/>
        <w:numPr>
          <w:ilvl w:val="0"/>
          <w:numId w:val="9"/>
        </w:numPr>
      </w:pPr>
      <w:r>
        <w:rPr>
          <w:rStyle w:val="Strong"/>
          <w:rFonts w:eastAsiaTheme="majorEastAsia"/>
        </w:rPr>
        <w:t>Retailers and Bulk Buyers:</w:t>
      </w:r>
    </w:p>
    <w:p w14:paraId="36707941" w14:textId="77777777" w:rsidR="00F50C2A" w:rsidRDefault="00F50C2A" w:rsidP="00F50C2A">
      <w:pPr>
        <w:numPr>
          <w:ilvl w:val="1"/>
          <w:numId w:val="9"/>
        </w:numPr>
        <w:spacing w:before="100" w:beforeAutospacing="1" w:after="100" w:afterAutospacing="1" w:line="240" w:lineRule="auto"/>
      </w:pPr>
      <w:r>
        <w:t xml:space="preserve">Customers like </w:t>
      </w:r>
      <w:proofErr w:type="spellStart"/>
      <w:r>
        <w:t>Viveks</w:t>
      </w:r>
      <w:proofErr w:type="spellEnd"/>
      <w:r>
        <w:t xml:space="preserve"> and Ezone, traditional retailers, also appear in the top 5, indicating that discounts are extended across both online and offline channels.</w:t>
      </w:r>
    </w:p>
    <w:p w14:paraId="13E8729B" w14:textId="77777777" w:rsidR="00F50C2A" w:rsidRDefault="00F50C2A" w:rsidP="00F50C2A">
      <w:pPr>
        <w:spacing w:after="0"/>
      </w:pPr>
      <w:r>
        <w:pict w14:anchorId="5487497D">
          <v:rect id="_x0000_i1040" style="width:0;height:1.5pt" o:hralign="center" o:hrstd="t" o:hr="t" fillcolor="#a0a0a0" stroked="f"/>
        </w:pict>
      </w:r>
    </w:p>
    <w:p w14:paraId="57815C6E" w14:textId="77777777" w:rsidR="00F50C2A" w:rsidRDefault="00F50C2A" w:rsidP="00F50C2A">
      <w:pPr>
        <w:pStyle w:val="Heading3"/>
      </w:pPr>
      <w:r>
        <w:rPr>
          <w:rStyle w:val="Strong"/>
          <w:b w:val="0"/>
          <w:bCs w:val="0"/>
        </w:rPr>
        <w:t>Recommendations:</w:t>
      </w:r>
    </w:p>
    <w:p w14:paraId="18C3C3AD" w14:textId="77777777" w:rsidR="00F50C2A" w:rsidRDefault="00F50C2A" w:rsidP="00F50C2A">
      <w:pPr>
        <w:pStyle w:val="NormalWeb"/>
        <w:numPr>
          <w:ilvl w:val="0"/>
          <w:numId w:val="10"/>
        </w:numPr>
      </w:pPr>
      <w:r>
        <w:rPr>
          <w:rStyle w:val="Strong"/>
          <w:rFonts w:eastAsiaTheme="majorEastAsia"/>
        </w:rPr>
        <w:t>Optimize Discount Strategies:</w:t>
      </w:r>
    </w:p>
    <w:p w14:paraId="293683EA" w14:textId="77777777" w:rsidR="00F50C2A" w:rsidRDefault="00F50C2A" w:rsidP="00F50C2A">
      <w:pPr>
        <w:numPr>
          <w:ilvl w:val="1"/>
          <w:numId w:val="10"/>
        </w:numPr>
        <w:spacing w:before="100" w:beforeAutospacing="1" w:after="100" w:afterAutospacing="1" w:line="240" w:lineRule="auto"/>
      </w:pPr>
      <w:r>
        <w:t>Reassess the profitability of the high discounts provided to major customers. Ensure that the volume of business compensates for reduced margins.</w:t>
      </w:r>
    </w:p>
    <w:p w14:paraId="2B6F6719" w14:textId="77777777" w:rsidR="00F50C2A" w:rsidRDefault="00F50C2A" w:rsidP="00F50C2A">
      <w:pPr>
        <w:pStyle w:val="NormalWeb"/>
        <w:numPr>
          <w:ilvl w:val="0"/>
          <w:numId w:val="10"/>
        </w:numPr>
      </w:pPr>
      <w:r>
        <w:rPr>
          <w:rStyle w:val="Strong"/>
          <w:rFonts w:eastAsiaTheme="majorEastAsia"/>
        </w:rPr>
        <w:t>Negotiate with High-Discount Customers:</w:t>
      </w:r>
    </w:p>
    <w:p w14:paraId="6BD301AC" w14:textId="77777777" w:rsidR="00F50C2A" w:rsidRDefault="00F50C2A" w:rsidP="00F50C2A">
      <w:pPr>
        <w:numPr>
          <w:ilvl w:val="1"/>
          <w:numId w:val="10"/>
        </w:numPr>
        <w:spacing w:before="100" w:beforeAutospacing="1" w:after="100" w:afterAutospacing="1" w:line="240" w:lineRule="auto"/>
      </w:pPr>
      <w:r>
        <w:t xml:space="preserve">Consider renegotiating terms with customers like Flipkart and </w:t>
      </w:r>
      <w:proofErr w:type="spellStart"/>
      <w:r>
        <w:t>Viveks</w:t>
      </w:r>
      <w:proofErr w:type="spellEnd"/>
      <w:r>
        <w:t xml:space="preserve"> to balance discounts with profitability. Explore volume-based incentives instead of flat discounts.</w:t>
      </w:r>
    </w:p>
    <w:p w14:paraId="18F40A4A" w14:textId="77777777" w:rsidR="00F50C2A" w:rsidRDefault="00F50C2A" w:rsidP="00F50C2A">
      <w:pPr>
        <w:pStyle w:val="NormalWeb"/>
        <w:numPr>
          <w:ilvl w:val="0"/>
          <w:numId w:val="10"/>
        </w:numPr>
      </w:pPr>
      <w:r>
        <w:rPr>
          <w:rStyle w:val="Strong"/>
          <w:rFonts w:eastAsiaTheme="majorEastAsia"/>
        </w:rPr>
        <w:t>Target High-Value E-Commerce Channels:</w:t>
      </w:r>
    </w:p>
    <w:p w14:paraId="653B7473" w14:textId="77777777" w:rsidR="00F50C2A" w:rsidRDefault="00F50C2A" w:rsidP="00F50C2A">
      <w:pPr>
        <w:numPr>
          <w:ilvl w:val="1"/>
          <w:numId w:val="10"/>
        </w:numPr>
        <w:spacing w:before="100" w:beforeAutospacing="1" w:after="100" w:afterAutospacing="1" w:line="240" w:lineRule="auto"/>
      </w:pPr>
      <w:r>
        <w:t>Leverage the growing trend of e-commerce by deepening partnerships with platforms like Flipkart and Amazon. Develop exclusive deals or product bundles to capture more market share.</w:t>
      </w:r>
    </w:p>
    <w:p w14:paraId="34EF4921" w14:textId="77777777" w:rsidR="00F50C2A" w:rsidRDefault="00F50C2A" w:rsidP="00F50C2A">
      <w:pPr>
        <w:pStyle w:val="NormalWeb"/>
        <w:numPr>
          <w:ilvl w:val="0"/>
          <w:numId w:val="10"/>
        </w:numPr>
      </w:pPr>
      <w:r>
        <w:rPr>
          <w:rStyle w:val="Strong"/>
          <w:rFonts w:eastAsiaTheme="majorEastAsia"/>
        </w:rPr>
        <w:t>Track Customer Profitability:</w:t>
      </w:r>
    </w:p>
    <w:p w14:paraId="5AD5394C" w14:textId="77777777" w:rsidR="00F50C2A" w:rsidRDefault="00F50C2A" w:rsidP="00F50C2A">
      <w:pPr>
        <w:numPr>
          <w:ilvl w:val="1"/>
          <w:numId w:val="10"/>
        </w:numPr>
        <w:spacing w:before="100" w:beforeAutospacing="1" w:after="100" w:afterAutospacing="1" w:line="240" w:lineRule="auto"/>
      </w:pPr>
      <w:r>
        <w:t>Evaluate the net profit contribution of these customers after applying discounts to identify whether they are truly profitable for the company.</w:t>
      </w:r>
    </w:p>
    <w:p w14:paraId="41040F4C" w14:textId="77777777" w:rsidR="00F50C2A" w:rsidRDefault="00F50C2A" w:rsidP="00F50C2A">
      <w:pPr>
        <w:pStyle w:val="NormalWeb"/>
        <w:numPr>
          <w:ilvl w:val="0"/>
          <w:numId w:val="10"/>
        </w:numPr>
      </w:pPr>
      <w:r>
        <w:rPr>
          <w:rStyle w:val="Strong"/>
          <w:rFonts w:eastAsiaTheme="majorEastAsia"/>
        </w:rPr>
        <w:t>Customer Segmentation:</w:t>
      </w:r>
    </w:p>
    <w:p w14:paraId="53CBA5A8" w14:textId="77777777" w:rsidR="00F50C2A" w:rsidRDefault="00F50C2A" w:rsidP="00F50C2A">
      <w:pPr>
        <w:numPr>
          <w:ilvl w:val="1"/>
          <w:numId w:val="10"/>
        </w:numPr>
        <w:spacing w:before="100" w:beforeAutospacing="1" w:after="100" w:afterAutospacing="1" w:line="240" w:lineRule="auto"/>
      </w:pPr>
      <w:r>
        <w:t>Divide customers into segments based on their purchasing patterns and discount needs. Offer targeted discount schemes to incentivize underperforming segments.</w:t>
      </w:r>
    </w:p>
    <w:p w14:paraId="469F1012" w14:textId="77777777" w:rsidR="00F50C2A" w:rsidRDefault="00F50C2A" w:rsidP="00F50C2A">
      <w:pPr>
        <w:pStyle w:val="NormalWeb"/>
        <w:numPr>
          <w:ilvl w:val="0"/>
          <w:numId w:val="10"/>
        </w:numPr>
      </w:pPr>
      <w:r>
        <w:rPr>
          <w:rStyle w:val="Strong"/>
          <w:rFonts w:eastAsiaTheme="majorEastAsia"/>
        </w:rPr>
        <w:t>Monitor Discount Trends:</w:t>
      </w:r>
    </w:p>
    <w:p w14:paraId="5F386DE9" w14:textId="77777777" w:rsidR="00F50C2A" w:rsidRDefault="00F50C2A" w:rsidP="00F50C2A">
      <w:pPr>
        <w:numPr>
          <w:ilvl w:val="1"/>
          <w:numId w:val="10"/>
        </w:numPr>
        <w:spacing w:before="100" w:beforeAutospacing="1" w:after="100" w:afterAutospacing="1" w:line="240" w:lineRule="auto"/>
      </w:pPr>
      <w:r>
        <w:t>Continuously monitor the effectiveness of discounts in driving sales and adjust policies as necessary to maximize ROI.</w:t>
      </w:r>
    </w:p>
    <w:p w14:paraId="0D5E1134" w14:textId="77777777" w:rsidR="00F50C2A" w:rsidRDefault="00F50C2A" w:rsidP="00F50C2A">
      <w:pPr>
        <w:pStyle w:val="Heading3"/>
      </w:pPr>
      <w:r>
        <w:t>7-</w:t>
      </w:r>
      <w:r>
        <w:t xml:space="preserve">Atliq Exclusive" Sales Report: Get the complete report of the Gross sales amount for the customer "Atliq Exclusive" for each month. This analysis helps to get an idea of low and high-performing months and take strategic decisions. The final report contains these columns: - Month - Year - </w:t>
      </w:r>
      <w:proofErr w:type="spellStart"/>
      <w:r>
        <w:t>Gross_sales_Amount</w:t>
      </w:r>
      <w:proofErr w:type="spellEnd"/>
      <w:r>
        <w:t xml:space="preserve">  </w:t>
      </w:r>
      <w:r>
        <w:br/>
      </w:r>
      <w:r>
        <w:rPr>
          <w:rStyle w:val="Strong"/>
          <w:b w:val="0"/>
          <w:bCs w:val="0"/>
        </w:rPr>
        <w:t>Atliq Exclusive Sales Report (2020-2021)</w:t>
      </w:r>
    </w:p>
    <w:p w14:paraId="6CC6B51B" w14:textId="77777777" w:rsidR="00F50C2A" w:rsidRDefault="00F50C2A" w:rsidP="00F50C2A">
      <w:pPr>
        <w:pStyle w:val="Heading4"/>
      </w:pPr>
      <w:r>
        <w:rPr>
          <w:rStyle w:val="Strong"/>
          <w:b w:val="0"/>
          <w:bCs w:val="0"/>
        </w:rPr>
        <w:t>Top 5 Gross Sales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1044"/>
        <w:gridCol w:w="2189"/>
      </w:tblGrid>
      <w:tr w:rsidR="00F50C2A" w14:paraId="25E66669" w14:textId="77777777" w:rsidTr="00F50C2A">
        <w:trPr>
          <w:tblHeader/>
          <w:tblCellSpacing w:w="15" w:type="dxa"/>
        </w:trPr>
        <w:tc>
          <w:tcPr>
            <w:tcW w:w="0" w:type="auto"/>
            <w:vAlign w:val="center"/>
            <w:hideMark/>
          </w:tcPr>
          <w:p w14:paraId="1E1EB603" w14:textId="77777777" w:rsidR="00F50C2A" w:rsidRDefault="00F50C2A">
            <w:pPr>
              <w:jc w:val="center"/>
              <w:rPr>
                <w:b/>
                <w:bCs/>
              </w:rPr>
            </w:pPr>
            <w:r>
              <w:rPr>
                <w:rStyle w:val="Strong"/>
              </w:rPr>
              <w:t>Year</w:t>
            </w:r>
          </w:p>
        </w:tc>
        <w:tc>
          <w:tcPr>
            <w:tcW w:w="0" w:type="auto"/>
            <w:vAlign w:val="center"/>
            <w:hideMark/>
          </w:tcPr>
          <w:p w14:paraId="1B394578" w14:textId="77777777" w:rsidR="00F50C2A" w:rsidRDefault="00F50C2A">
            <w:pPr>
              <w:jc w:val="center"/>
              <w:rPr>
                <w:b/>
                <w:bCs/>
              </w:rPr>
            </w:pPr>
            <w:r>
              <w:rPr>
                <w:rStyle w:val="Strong"/>
              </w:rPr>
              <w:t>Month</w:t>
            </w:r>
          </w:p>
        </w:tc>
        <w:tc>
          <w:tcPr>
            <w:tcW w:w="0" w:type="auto"/>
            <w:vAlign w:val="center"/>
            <w:hideMark/>
          </w:tcPr>
          <w:p w14:paraId="7F2ABECB" w14:textId="77777777" w:rsidR="00F50C2A" w:rsidRDefault="00F50C2A">
            <w:pPr>
              <w:jc w:val="center"/>
              <w:rPr>
                <w:b/>
                <w:bCs/>
              </w:rPr>
            </w:pPr>
            <w:r>
              <w:rPr>
                <w:rStyle w:val="Strong"/>
              </w:rPr>
              <w:t>Gross Sales Amount (₹)</w:t>
            </w:r>
          </w:p>
        </w:tc>
      </w:tr>
      <w:tr w:rsidR="00F50C2A" w14:paraId="4FBADC76" w14:textId="77777777" w:rsidTr="00F50C2A">
        <w:trPr>
          <w:tblCellSpacing w:w="15" w:type="dxa"/>
        </w:trPr>
        <w:tc>
          <w:tcPr>
            <w:tcW w:w="0" w:type="auto"/>
            <w:vAlign w:val="center"/>
            <w:hideMark/>
          </w:tcPr>
          <w:p w14:paraId="12F39CF2" w14:textId="77777777" w:rsidR="00F50C2A" w:rsidRDefault="00F50C2A">
            <w:r>
              <w:t>2021</w:t>
            </w:r>
          </w:p>
        </w:tc>
        <w:tc>
          <w:tcPr>
            <w:tcW w:w="0" w:type="auto"/>
            <w:vAlign w:val="center"/>
            <w:hideMark/>
          </w:tcPr>
          <w:p w14:paraId="26D89861" w14:textId="77777777" w:rsidR="00F50C2A" w:rsidRDefault="00F50C2A">
            <w:r>
              <w:t>November</w:t>
            </w:r>
          </w:p>
        </w:tc>
        <w:tc>
          <w:tcPr>
            <w:tcW w:w="0" w:type="auto"/>
            <w:vAlign w:val="center"/>
            <w:hideMark/>
          </w:tcPr>
          <w:p w14:paraId="5E5A7802" w14:textId="77777777" w:rsidR="00F50C2A" w:rsidRDefault="00F50C2A">
            <w:r>
              <w:t>₹44,323,279,847</w:t>
            </w:r>
          </w:p>
        </w:tc>
      </w:tr>
      <w:tr w:rsidR="00F50C2A" w14:paraId="61C5E64E" w14:textId="77777777" w:rsidTr="00F50C2A">
        <w:trPr>
          <w:tblCellSpacing w:w="15" w:type="dxa"/>
        </w:trPr>
        <w:tc>
          <w:tcPr>
            <w:tcW w:w="0" w:type="auto"/>
            <w:vAlign w:val="center"/>
            <w:hideMark/>
          </w:tcPr>
          <w:p w14:paraId="4EA87EBF" w14:textId="77777777" w:rsidR="00F50C2A" w:rsidRDefault="00F50C2A">
            <w:r>
              <w:t>2021</w:t>
            </w:r>
          </w:p>
        </w:tc>
        <w:tc>
          <w:tcPr>
            <w:tcW w:w="0" w:type="auto"/>
            <w:vAlign w:val="center"/>
            <w:hideMark/>
          </w:tcPr>
          <w:p w14:paraId="31134419" w14:textId="77777777" w:rsidR="00F50C2A" w:rsidRDefault="00F50C2A">
            <w:r>
              <w:t>October</w:t>
            </w:r>
          </w:p>
        </w:tc>
        <w:tc>
          <w:tcPr>
            <w:tcW w:w="0" w:type="auto"/>
            <w:vAlign w:val="center"/>
            <w:hideMark/>
          </w:tcPr>
          <w:p w14:paraId="4B283D56" w14:textId="77777777" w:rsidR="00F50C2A" w:rsidRDefault="00F50C2A">
            <w:r>
              <w:t>₹28,436,320,675</w:t>
            </w:r>
          </w:p>
        </w:tc>
      </w:tr>
      <w:tr w:rsidR="00F50C2A" w14:paraId="6B7A2D51" w14:textId="77777777" w:rsidTr="00F50C2A">
        <w:trPr>
          <w:tblCellSpacing w:w="15" w:type="dxa"/>
        </w:trPr>
        <w:tc>
          <w:tcPr>
            <w:tcW w:w="0" w:type="auto"/>
            <w:vAlign w:val="center"/>
            <w:hideMark/>
          </w:tcPr>
          <w:p w14:paraId="002124EB" w14:textId="77777777" w:rsidR="00F50C2A" w:rsidRDefault="00F50C2A">
            <w:r>
              <w:t>2021</w:t>
            </w:r>
          </w:p>
        </w:tc>
        <w:tc>
          <w:tcPr>
            <w:tcW w:w="0" w:type="auto"/>
            <w:vAlign w:val="center"/>
            <w:hideMark/>
          </w:tcPr>
          <w:p w14:paraId="1291F20A" w14:textId="77777777" w:rsidR="00F50C2A" w:rsidRDefault="00F50C2A">
            <w:r>
              <w:t>December</w:t>
            </w:r>
          </w:p>
        </w:tc>
        <w:tc>
          <w:tcPr>
            <w:tcW w:w="0" w:type="auto"/>
            <w:vAlign w:val="center"/>
            <w:hideMark/>
          </w:tcPr>
          <w:p w14:paraId="03FF12A0" w14:textId="77777777" w:rsidR="00F50C2A" w:rsidRDefault="00F50C2A">
            <w:r>
              <w:t>₹28,312,077,371</w:t>
            </w:r>
          </w:p>
        </w:tc>
      </w:tr>
      <w:tr w:rsidR="00F50C2A" w14:paraId="77D73664" w14:textId="77777777" w:rsidTr="00F50C2A">
        <w:trPr>
          <w:tblCellSpacing w:w="15" w:type="dxa"/>
        </w:trPr>
        <w:tc>
          <w:tcPr>
            <w:tcW w:w="0" w:type="auto"/>
            <w:vAlign w:val="center"/>
            <w:hideMark/>
          </w:tcPr>
          <w:p w14:paraId="49295A5E" w14:textId="77777777" w:rsidR="00F50C2A" w:rsidRDefault="00F50C2A">
            <w:r>
              <w:t>2021</w:t>
            </w:r>
          </w:p>
        </w:tc>
        <w:tc>
          <w:tcPr>
            <w:tcW w:w="0" w:type="auto"/>
            <w:vAlign w:val="center"/>
            <w:hideMark/>
          </w:tcPr>
          <w:p w14:paraId="527CA163" w14:textId="77777777" w:rsidR="00F50C2A" w:rsidRDefault="00F50C2A">
            <w:r>
              <w:t>September</w:t>
            </w:r>
          </w:p>
        </w:tc>
        <w:tc>
          <w:tcPr>
            <w:tcW w:w="0" w:type="auto"/>
            <w:vAlign w:val="center"/>
            <w:hideMark/>
          </w:tcPr>
          <w:p w14:paraId="1248399F" w14:textId="77777777" w:rsidR="00F50C2A" w:rsidRDefault="00F50C2A">
            <w:r>
              <w:t>₹26,661,897,130</w:t>
            </w:r>
          </w:p>
        </w:tc>
      </w:tr>
      <w:tr w:rsidR="00F50C2A" w14:paraId="696768B7" w14:textId="77777777" w:rsidTr="00F50C2A">
        <w:trPr>
          <w:tblCellSpacing w:w="15" w:type="dxa"/>
        </w:trPr>
        <w:tc>
          <w:tcPr>
            <w:tcW w:w="0" w:type="auto"/>
            <w:vAlign w:val="center"/>
            <w:hideMark/>
          </w:tcPr>
          <w:p w14:paraId="164E8BEC" w14:textId="77777777" w:rsidR="00F50C2A" w:rsidRDefault="00F50C2A">
            <w:r>
              <w:t>2021</w:t>
            </w:r>
          </w:p>
        </w:tc>
        <w:tc>
          <w:tcPr>
            <w:tcW w:w="0" w:type="auto"/>
            <w:vAlign w:val="center"/>
            <w:hideMark/>
          </w:tcPr>
          <w:p w14:paraId="5E5A9E4C" w14:textId="77777777" w:rsidR="00F50C2A" w:rsidRDefault="00F50C2A">
            <w:r>
              <w:t>May</w:t>
            </w:r>
          </w:p>
        </w:tc>
        <w:tc>
          <w:tcPr>
            <w:tcW w:w="0" w:type="auto"/>
            <w:vAlign w:val="center"/>
            <w:hideMark/>
          </w:tcPr>
          <w:p w14:paraId="5577A0FA" w14:textId="77777777" w:rsidR="00F50C2A" w:rsidRDefault="00F50C2A">
            <w:r>
              <w:t>₹26,672,495,406</w:t>
            </w:r>
          </w:p>
        </w:tc>
      </w:tr>
    </w:tbl>
    <w:p w14:paraId="3F2922C6" w14:textId="77777777" w:rsidR="00F50C2A" w:rsidRDefault="00F50C2A" w:rsidP="00F50C2A">
      <w:pPr>
        <w:pStyle w:val="Heading4"/>
      </w:pPr>
      <w:r>
        <w:rPr>
          <w:rStyle w:val="Strong"/>
          <w:b w:val="0"/>
          <w:bCs w:val="0"/>
        </w:rPr>
        <w:t>Bottom 5 Gross Sales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858"/>
        <w:gridCol w:w="2189"/>
      </w:tblGrid>
      <w:tr w:rsidR="00F50C2A" w14:paraId="6A61A960" w14:textId="77777777" w:rsidTr="00F50C2A">
        <w:trPr>
          <w:tblHeader/>
          <w:tblCellSpacing w:w="15" w:type="dxa"/>
        </w:trPr>
        <w:tc>
          <w:tcPr>
            <w:tcW w:w="0" w:type="auto"/>
            <w:vAlign w:val="center"/>
            <w:hideMark/>
          </w:tcPr>
          <w:p w14:paraId="2827EE28" w14:textId="77777777" w:rsidR="00F50C2A" w:rsidRDefault="00F50C2A">
            <w:pPr>
              <w:jc w:val="center"/>
              <w:rPr>
                <w:b/>
                <w:bCs/>
              </w:rPr>
            </w:pPr>
            <w:r>
              <w:rPr>
                <w:rStyle w:val="Strong"/>
              </w:rPr>
              <w:t>Year</w:t>
            </w:r>
          </w:p>
        </w:tc>
        <w:tc>
          <w:tcPr>
            <w:tcW w:w="0" w:type="auto"/>
            <w:vAlign w:val="center"/>
            <w:hideMark/>
          </w:tcPr>
          <w:p w14:paraId="1EE84169" w14:textId="77777777" w:rsidR="00F50C2A" w:rsidRDefault="00F50C2A">
            <w:pPr>
              <w:jc w:val="center"/>
              <w:rPr>
                <w:b/>
                <w:bCs/>
              </w:rPr>
            </w:pPr>
            <w:r>
              <w:rPr>
                <w:rStyle w:val="Strong"/>
              </w:rPr>
              <w:t>Month</w:t>
            </w:r>
          </w:p>
        </w:tc>
        <w:tc>
          <w:tcPr>
            <w:tcW w:w="0" w:type="auto"/>
            <w:vAlign w:val="center"/>
            <w:hideMark/>
          </w:tcPr>
          <w:p w14:paraId="4F221A8E" w14:textId="77777777" w:rsidR="00F50C2A" w:rsidRDefault="00F50C2A">
            <w:pPr>
              <w:jc w:val="center"/>
              <w:rPr>
                <w:b/>
                <w:bCs/>
              </w:rPr>
            </w:pPr>
            <w:r>
              <w:rPr>
                <w:rStyle w:val="Strong"/>
              </w:rPr>
              <w:t>Gross Sales Amount (₹)</w:t>
            </w:r>
          </w:p>
        </w:tc>
      </w:tr>
      <w:tr w:rsidR="00F50C2A" w14:paraId="2E8504CE" w14:textId="77777777" w:rsidTr="00F50C2A">
        <w:trPr>
          <w:tblCellSpacing w:w="15" w:type="dxa"/>
        </w:trPr>
        <w:tc>
          <w:tcPr>
            <w:tcW w:w="0" w:type="auto"/>
            <w:vAlign w:val="center"/>
            <w:hideMark/>
          </w:tcPr>
          <w:p w14:paraId="3FABC861" w14:textId="77777777" w:rsidR="00F50C2A" w:rsidRDefault="00F50C2A">
            <w:r>
              <w:t>2020</w:t>
            </w:r>
          </w:p>
        </w:tc>
        <w:tc>
          <w:tcPr>
            <w:tcW w:w="0" w:type="auto"/>
            <w:vAlign w:val="center"/>
            <w:hideMark/>
          </w:tcPr>
          <w:p w14:paraId="3C32F86C" w14:textId="77777777" w:rsidR="00F50C2A" w:rsidRDefault="00F50C2A">
            <w:r>
              <w:t>March</w:t>
            </w:r>
          </w:p>
        </w:tc>
        <w:tc>
          <w:tcPr>
            <w:tcW w:w="0" w:type="auto"/>
            <w:vAlign w:val="center"/>
            <w:hideMark/>
          </w:tcPr>
          <w:p w14:paraId="0A711025" w14:textId="77777777" w:rsidR="00F50C2A" w:rsidRDefault="00F50C2A">
            <w:r>
              <w:t>₹801,227,295.4</w:t>
            </w:r>
          </w:p>
        </w:tc>
      </w:tr>
      <w:tr w:rsidR="00F50C2A" w14:paraId="000476BE" w14:textId="77777777" w:rsidTr="00F50C2A">
        <w:trPr>
          <w:tblCellSpacing w:w="15" w:type="dxa"/>
        </w:trPr>
        <w:tc>
          <w:tcPr>
            <w:tcW w:w="0" w:type="auto"/>
            <w:vAlign w:val="center"/>
            <w:hideMark/>
          </w:tcPr>
          <w:p w14:paraId="40161081" w14:textId="77777777" w:rsidR="00F50C2A" w:rsidRDefault="00F50C2A">
            <w:r>
              <w:t>2020</w:t>
            </w:r>
          </w:p>
        </w:tc>
        <w:tc>
          <w:tcPr>
            <w:tcW w:w="0" w:type="auto"/>
            <w:vAlign w:val="center"/>
            <w:hideMark/>
          </w:tcPr>
          <w:p w14:paraId="2983EB26" w14:textId="77777777" w:rsidR="00F50C2A" w:rsidRDefault="00F50C2A">
            <w:r>
              <w:t>April</w:t>
            </w:r>
          </w:p>
        </w:tc>
        <w:tc>
          <w:tcPr>
            <w:tcW w:w="0" w:type="auto"/>
            <w:vAlign w:val="center"/>
            <w:hideMark/>
          </w:tcPr>
          <w:p w14:paraId="44E0D2D1" w14:textId="77777777" w:rsidR="00F50C2A" w:rsidRDefault="00F50C2A">
            <w:r>
              <w:t>₹803,612,042.4</w:t>
            </w:r>
          </w:p>
        </w:tc>
      </w:tr>
      <w:tr w:rsidR="00F50C2A" w14:paraId="421907BC" w14:textId="77777777" w:rsidTr="00F50C2A">
        <w:trPr>
          <w:tblCellSpacing w:w="15" w:type="dxa"/>
        </w:trPr>
        <w:tc>
          <w:tcPr>
            <w:tcW w:w="0" w:type="auto"/>
            <w:vAlign w:val="center"/>
            <w:hideMark/>
          </w:tcPr>
          <w:p w14:paraId="464C1032" w14:textId="77777777" w:rsidR="00F50C2A" w:rsidRDefault="00F50C2A">
            <w:r>
              <w:t>2020</w:t>
            </w:r>
          </w:p>
        </w:tc>
        <w:tc>
          <w:tcPr>
            <w:tcW w:w="0" w:type="auto"/>
            <w:vAlign w:val="center"/>
            <w:hideMark/>
          </w:tcPr>
          <w:p w14:paraId="6F161858" w14:textId="77777777" w:rsidR="00F50C2A" w:rsidRDefault="00F50C2A">
            <w:r>
              <w:t>May</w:t>
            </w:r>
          </w:p>
        </w:tc>
        <w:tc>
          <w:tcPr>
            <w:tcW w:w="0" w:type="auto"/>
            <w:vAlign w:val="center"/>
            <w:hideMark/>
          </w:tcPr>
          <w:p w14:paraId="3DB0C8ED" w14:textId="77777777" w:rsidR="00F50C2A" w:rsidRDefault="00F50C2A">
            <w:r>
              <w:t>₹1,523,948,720</w:t>
            </w:r>
          </w:p>
        </w:tc>
      </w:tr>
      <w:tr w:rsidR="00F50C2A" w14:paraId="7D39E87D" w14:textId="77777777" w:rsidTr="00F50C2A">
        <w:trPr>
          <w:tblCellSpacing w:w="15" w:type="dxa"/>
        </w:trPr>
        <w:tc>
          <w:tcPr>
            <w:tcW w:w="0" w:type="auto"/>
            <w:vAlign w:val="center"/>
            <w:hideMark/>
          </w:tcPr>
          <w:p w14:paraId="554A96C1" w14:textId="77777777" w:rsidR="00F50C2A" w:rsidRDefault="00F50C2A">
            <w:r>
              <w:t>2020</w:t>
            </w:r>
          </w:p>
        </w:tc>
        <w:tc>
          <w:tcPr>
            <w:tcW w:w="0" w:type="auto"/>
            <w:vAlign w:val="center"/>
            <w:hideMark/>
          </w:tcPr>
          <w:p w14:paraId="298653B0" w14:textId="77777777" w:rsidR="00F50C2A" w:rsidRDefault="00F50C2A">
            <w:r>
              <w:t>February</w:t>
            </w:r>
          </w:p>
        </w:tc>
        <w:tc>
          <w:tcPr>
            <w:tcW w:w="0" w:type="auto"/>
            <w:vAlign w:val="center"/>
            <w:hideMark/>
          </w:tcPr>
          <w:p w14:paraId="21455E28" w14:textId="77777777" w:rsidR="00F50C2A" w:rsidRDefault="00F50C2A">
            <w:r>
              <w:t>₹7,420,187,970</w:t>
            </w:r>
          </w:p>
        </w:tc>
      </w:tr>
      <w:tr w:rsidR="00F50C2A" w14:paraId="627C5F4A" w14:textId="77777777" w:rsidTr="00F50C2A">
        <w:trPr>
          <w:tblCellSpacing w:w="15" w:type="dxa"/>
        </w:trPr>
        <w:tc>
          <w:tcPr>
            <w:tcW w:w="0" w:type="auto"/>
            <w:vAlign w:val="center"/>
            <w:hideMark/>
          </w:tcPr>
          <w:p w14:paraId="3198F9F3" w14:textId="77777777" w:rsidR="00F50C2A" w:rsidRDefault="00F50C2A">
            <w:r>
              <w:t>2020</w:t>
            </w:r>
          </w:p>
        </w:tc>
        <w:tc>
          <w:tcPr>
            <w:tcW w:w="0" w:type="auto"/>
            <w:vAlign w:val="center"/>
            <w:hideMark/>
          </w:tcPr>
          <w:p w14:paraId="54B9A08A" w14:textId="77777777" w:rsidR="00F50C2A" w:rsidRDefault="00F50C2A">
            <w:r>
              <w:t>June</w:t>
            </w:r>
          </w:p>
        </w:tc>
        <w:tc>
          <w:tcPr>
            <w:tcW w:w="0" w:type="auto"/>
            <w:vAlign w:val="center"/>
            <w:hideMark/>
          </w:tcPr>
          <w:p w14:paraId="7050AFFD" w14:textId="77777777" w:rsidR="00F50C2A" w:rsidRDefault="00F50C2A">
            <w:r>
              <w:t>₹3,258,375,209</w:t>
            </w:r>
          </w:p>
        </w:tc>
      </w:tr>
    </w:tbl>
    <w:p w14:paraId="586086C1" w14:textId="77777777" w:rsidR="00F50C2A" w:rsidRDefault="00F50C2A" w:rsidP="00F50C2A">
      <w:r>
        <w:pict w14:anchorId="223E8BDD">
          <v:rect id="_x0000_i1043" style="width:0;height:1.5pt" o:hralign="center" o:hrstd="t" o:hr="t" fillcolor="#a0a0a0" stroked="f"/>
        </w:pict>
      </w:r>
    </w:p>
    <w:p w14:paraId="0A1E7109" w14:textId="77777777" w:rsidR="00F50C2A" w:rsidRDefault="00F50C2A" w:rsidP="00F50C2A">
      <w:pPr>
        <w:pStyle w:val="Heading3"/>
      </w:pPr>
      <w:r>
        <w:rPr>
          <w:rStyle w:val="Strong"/>
          <w:b w:val="0"/>
          <w:bCs w:val="0"/>
        </w:rPr>
        <w:t>Insights:</w:t>
      </w:r>
    </w:p>
    <w:p w14:paraId="4CE30E5B" w14:textId="77777777" w:rsidR="00F50C2A" w:rsidRDefault="00F50C2A" w:rsidP="00F50C2A">
      <w:pPr>
        <w:pStyle w:val="NormalWeb"/>
        <w:numPr>
          <w:ilvl w:val="0"/>
          <w:numId w:val="11"/>
        </w:numPr>
      </w:pPr>
      <w:r>
        <w:rPr>
          <w:rStyle w:val="Strong"/>
          <w:rFonts w:eastAsiaTheme="majorEastAsia"/>
        </w:rPr>
        <w:t>Year-on-Year Growth:</w:t>
      </w:r>
    </w:p>
    <w:p w14:paraId="3DAA99B7" w14:textId="77777777" w:rsidR="00F50C2A" w:rsidRDefault="00F50C2A" w:rsidP="00F50C2A">
      <w:pPr>
        <w:numPr>
          <w:ilvl w:val="1"/>
          <w:numId w:val="11"/>
        </w:numPr>
        <w:spacing w:before="100" w:beforeAutospacing="1" w:after="100" w:afterAutospacing="1" w:line="240" w:lineRule="auto"/>
      </w:pPr>
      <w:r>
        <w:t>There is a significant increase in gross sales in 2021 compared to 2020, with sales consistently peaking in the later months (Q4).</w:t>
      </w:r>
    </w:p>
    <w:p w14:paraId="54D7E775" w14:textId="77777777" w:rsidR="00F50C2A" w:rsidRDefault="00F50C2A" w:rsidP="00F50C2A">
      <w:pPr>
        <w:pStyle w:val="NormalWeb"/>
        <w:numPr>
          <w:ilvl w:val="0"/>
          <w:numId w:val="11"/>
        </w:numPr>
      </w:pPr>
      <w:r>
        <w:rPr>
          <w:rStyle w:val="Strong"/>
          <w:rFonts w:eastAsiaTheme="majorEastAsia"/>
        </w:rPr>
        <w:t>Seasonal Trends:</w:t>
      </w:r>
    </w:p>
    <w:p w14:paraId="79D75582" w14:textId="77777777" w:rsidR="00F50C2A" w:rsidRDefault="00F50C2A" w:rsidP="00F50C2A">
      <w:pPr>
        <w:numPr>
          <w:ilvl w:val="1"/>
          <w:numId w:val="11"/>
        </w:numPr>
        <w:spacing w:before="100" w:beforeAutospacing="1" w:after="100" w:afterAutospacing="1" w:line="240" w:lineRule="auto"/>
      </w:pPr>
      <w:r>
        <w:t>November 2021 recorded the highest gross sales at ₹44.3 billion, indicating strong seasonal demand, possibly due to festive or year-end promotional campaigns.</w:t>
      </w:r>
    </w:p>
    <w:p w14:paraId="54F84C8B" w14:textId="77777777" w:rsidR="00F50C2A" w:rsidRDefault="00F50C2A" w:rsidP="00F50C2A">
      <w:pPr>
        <w:pStyle w:val="NormalWeb"/>
        <w:numPr>
          <w:ilvl w:val="0"/>
          <w:numId w:val="11"/>
        </w:numPr>
      </w:pPr>
      <w:r>
        <w:rPr>
          <w:rStyle w:val="Strong"/>
          <w:rFonts w:eastAsiaTheme="majorEastAsia"/>
        </w:rPr>
        <w:t>Low Performance in Early 2020:</w:t>
      </w:r>
    </w:p>
    <w:p w14:paraId="549D5520" w14:textId="77777777" w:rsidR="00F50C2A" w:rsidRDefault="00F50C2A" w:rsidP="00F50C2A">
      <w:pPr>
        <w:numPr>
          <w:ilvl w:val="1"/>
          <w:numId w:val="11"/>
        </w:numPr>
        <w:spacing w:before="100" w:beforeAutospacing="1" w:after="100" w:afterAutospacing="1" w:line="240" w:lineRule="auto"/>
      </w:pPr>
      <w:r>
        <w:t>Sales in early 2020 (March and April) were exceptionally low, possibly impacted by external factors like the pandemic and related lockdowns.</w:t>
      </w:r>
    </w:p>
    <w:p w14:paraId="32D7844B" w14:textId="77777777" w:rsidR="00F50C2A" w:rsidRDefault="00F50C2A" w:rsidP="00F50C2A">
      <w:pPr>
        <w:pStyle w:val="NormalWeb"/>
        <w:numPr>
          <w:ilvl w:val="0"/>
          <w:numId w:val="11"/>
        </w:numPr>
      </w:pPr>
      <w:r>
        <w:rPr>
          <w:rStyle w:val="Strong"/>
          <w:rFonts w:eastAsiaTheme="majorEastAsia"/>
        </w:rPr>
        <w:t>Consistent Q3 and Q4 Growth in 2021:</w:t>
      </w:r>
    </w:p>
    <w:p w14:paraId="10FAF8A8" w14:textId="77777777" w:rsidR="00F50C2A" w:rsidRDefault="00F50C2A" w:rsidP="00F50C2A">
      <w:pPr>
        <w:numPr>
          <w:ilvl w:val="1"/>
          <w:numId w:val="11"/>
        </w:numPr>
        <w:spacing w:before="100" w:beforeAutospacing="1" w:after="100" w:afterAutospacing="1" w:line="240" w:lineRule="auto"/>
      </w:pPr>
      <w:r>
        <w:t>Sales from July 2021 onwards show consistent growth, suggesting effective strategies, increased demand, or better market conditions.</w:t>
      </w:r>
    </w:p>
    <w:p w14:paraId="0721FC7B" w14:textId="77777777" w:rsidR="00F50C2A" w:rsidRDefault="00F50C2A" w:rsidP="00F50C2A">
      <w:pPr>
        <w:pStyle w:val="NormalWeb"/>
        <w:numPr>
          <w:ilvl w:val="0"/>
          <w:numId w:val="11"/>
        </w:numPr>
      </w:pPr>
      <w:r>
        <w:rPr>
          <w:rStyle w:val="Strong"/>
          <w:rFonts w:eastAsiaTheme="majorEastAsia"/>
        </w:rPr>
        <w:t>Key Sales Contributors:</w:t>
      </w:r>
    </w:p>
    <w:p w14:paraId="3DDFBE0B" w14:textId="77777777" w:rsidR="00F50C2A" w:rsidRDefault="00F50C2A" w:rsidP="00F50C2A">
      <w:pPr>
        <w:numPr>
          <w:ilvl w:val="1"/>
          <w:numId w:val="11"/>
        </w:numPr>
        <w:spacing w:before="100" w:beforeAutospacing="1" w:after="100" w:afterAutospacing="1" w:line="240" w:lineRule="auto"/>
      </w:pPr>
      <w:r>
        <w:t>Peak sales during the festive or promotional season (September–December) underline the importance of strategic campaigns during these months.</w:t>
      </w:r>
    </w:p>
    <w:p w14:paraId="4B8A9126" w14:textId="77777777" w:rsidR="00F50C2A" w:rsidRDefault="00F50C2A" w:rsidP="00F50C2A">
      <w:pPr>
        <w:spacing w:after="0"/>
      </w:pPr>
      <w:r>
        <w:pict w14:anchorId="54885628">
          <v:rect id="_x0000_i1044" style="width:0;height:1.5pt" o:hralign="center" o:hrstd="t" o:hr="t" fillcolor="#a0a0a0" stroked="f"/>
        </w:pict>
      </w:r>
    </w:p>
    <w:p w14:paraId="1DEF40E3" w14:textId="77777777" w:rsidR="00F50C2A" w:rsidRDefault="00F50C2A" w:rsidP="00F50C2A">
      <w:pPr>
        <w:pStyle w:val="Heading3"/>
      </w:pPr>
      <w:r>
        <w:rPr>
          <w:rStyle w:val="Strong"/>
          <w:b w:val="0"/>
          <w:bCs w:val="0"/>
        </w:rPr>
        <w:t>Recommendations:</w:t>
      </w:r>
    </w:p>
    <w:p w14:paraId="7E991562" w14:textId="77777777" w:rsidR="00F50C2A" w:rsidRDefault="00F50C2A" w:rsidP="00F50C2A">
      <w:pPr>
        <w:pStyle w:val="NormalWeb"/>
        <w:numPr>
          <w:ilvl w:val="0"/>
          <w:numId w:val="12"/>
        </w:numPr>
      </w:pPr>
      <w:r>
        <w:rPr>
          <w:rStyle w:val="Strong"/>
          <w:rFonts w:eastAsiaTheme="majorEastAsia"/>
        </w:rPr>
        <w:t>Focus on Q4 Campaigns:</w:t>
      </w:r>
    </w:p>
    <w:p w14:paraId="51D65766" w14:textId="77777777" w:rsidR="00F50C2A" w:rsidRDefault="00F50C2A" w:rsidP="00F50C2A">
      <w:pPr>
        <w:numPr>
          <w:ilvl w:val="1"/>
          <w:numId w:val="12"/>
        </w:numPr>
        <w:spacing w:before="100" w:beforeAutospacing="1" w:after="100" w:afterAutospacing="1" w:line="240" w:lineRule="auto"/>
      </w:pPr>
      <w:r>
        <w:t>Allocate higher budgets and resources for promotional activities in Q4, leveraging the strong demand during this period.</w:t>
      </w:r>
    </w:p>
    <w:p w14:paraId="26E3B534" w14:textId="77777777" w:rsidR="00F50C2A" w:rsidRDefault="00F50C2A" w:rsidP="00F50C2A">
      <w:pPr>
        <w:pStyle w:val="NormalWeb"/>
        <w:numPr>
          <w:ilvl w:val="0"/>
          <w:numId w:val="12"/>
        </w:numPr>
      </w:pPr>
      <w:r>
        <w:rPr>
          <w:rStyle w:val="Strong"/>
          <w:rFonts w:eastAsiaTheme="majorEastAsia"/>
        </w:rPr>
        <w:t>Address Q1-Q2 Sales Gaps:</w:t>
      </w:r>
    </w:p>
    <w:p w14:paraId="08AB5ADE" w14:textId="77777777" w:rsidR="00F50C2A" w:rsidRDefault="00F50C2A" w:rsidP="00F50C2A">
      <w:pPr>
        <w:numPr>
          <w:ilvl w:val="1"/>
          <w:numId w:val="12"/>
        </w:numPr>
        <w:spacing w:before="100" w:beforeAutospacing="1" w:after="100" w:afterAutospacing="1" w:line="240" w:lineRule="auto"/>
      </w:pPr>
      <w:r>
        <w:t>Develop targeted marketing and promotional efforts for the first two quarters to bridge the sales gap. This could include introducing new products or early bird discounts.</w:t>
      </w:r>
    </w:p>
    <w:p w14:paraId="30C9BB5C" w14:textId="77777777" w:rsidR="00F50C2A" w:rsidRDefault="00F50C2A" w:rsidP="00F50C2A">
      <w:pPr>
        <w:pStyle w:val="NormalWeb"/>
        <w:numPr>
          <w:ilvl w:val="0"/>
          <w:numId w:val="12"/>
        </w:numPr>
      </w:pPr>
      <w:proofErr w:type="spellStart"/>
      <w:r>
        <w:rPr>
          <w:rStyle w:val="Strong"/>
          <w:rFonts w:eastAsiaTheme="majorEastAsia"/>
        </w:rPr>
        <w:t>Analyze</w:t>
      </w:r>
      <w:proofErr w:type="spellEnd"/>
      <w:r>
        <w:rPr>
          <w:rStyle w:val="Strong"/>
          <w:rFonts w:eastAsiaTheme="majorEastAsia"/>
        </w:rPr>
        <w:t xml:space="preserve"> High Sales in November 2021:</w:t>
      </w:r>
    </w:p>
    <w:p w14:paraId="4625818D" w14:textId="77777777" w:rsidR="00F50C2A" w:rsidRDefault="00F50C2A" w:rsidP="00F50C2A">
      <w:pPr>
        <w:numPr>
          <w:ilvl w:val="1"/>
          <w:numId w:val="12"/>
        </w:numPr>
        <w:spacing w:before="100" w:beforeAutospacing="1" w:after="100" w:afterAutospacing="1" w:line="240" w:lineRule="auto"/>
      </w:pPr>
      <w:r>
        <w:t>Investigate what drove the record-breaking sales in November 2021 and replicate or enhance those strategies in future campaigns.</w:t>
      </w:r>
    </w:p>
    <w:p w14:paraId="27E7E2DA" w14:textId="77777777" w:rsidR="00F50C2A" w:rsidRDefault="00F50C2A" w:rsidP="00F50C2A">
      <w:pPr>
        <w:pStyle w:val="NormalWeb"/>
        <w:numPr>
          <w:ilvl w:val="0"/>
          <w:numId w:val="12"/>
        </w:numPr>
      </w:pPr>
      <w:r>
        <w:rPr>
          <w:rStyle w:val="Strong"/>
          <w:rFonts w:eastAsiaTheme="majorEastAsia"/>
        </w:rPr>
        <w:t>Diversify Revenue Streams:</w:t>
      </w:r>
    </w:p>
    <w:p w14:paraId="05F69CDE" w14:textId="77777777" w:rsidR="00F50C2A" w:rsidRDefault="00F50C2A" w:rsidP="00F50C2A">
      <w:pPr>
        <w:numPr>
          <w:ilvl w:val="1"/>
          <w:numId w:val="12"/>
        </w:numPr>
        <w:spacing w:before="100" w:beforeAutospacing="1" w:after="100" w:afterAutospacing="1" w:line="240" w:lineRule="auto"/>
      </w:pPr>
      <w:r>
        <w:t>While sales are strong in the festive season, diversification into off-peak months can stabilize revenue streams. Early-year promotions and strategic tie-ups with other businesses could help.</w:t>
      </w:r>
    </w:p>
    <w:p w14:paraId="60EC91B1" w14:textId="77777777" w:rsidR="00F50C2A" w:rsidRDefault="00F50C2A" w:rsidP="00F50C2A">
      <w:pPr>
        <w:pStyle w:val="NormalWeb"/>
        <w:numPr>
          <w:ilvl w:val="0"/>
          <w:numId w:val="12"/>
        </w:numPr>
      </w:pPr>
      <w:r>
        <w:rPr>
          <w:rStyle w:val="Strong"/>
          <w:rFonts w:eastAsiaTheme="majorEastAsia"/>
        </w:rPr>
        <w:t>Leverage Data for Forecasting:</w:t>
      </w:r>
    </w:p>
    <w:p w14:paraId="6E9E111C" w14:textId="77777777" w:rsidR="00F50C2A" w:rsidRDefault="00F50C2A" w:rsidP="00F50C2A">
      <w:pPr>
        <w:numPr>
          <w:ilvl w:val="1"/>
          <w:numId w:val="12"/>
        </w:numPr>
        <w:spacing w:before="100" w:beforeAutospacing="1" w:after="100" w:afterAutospacing="1" w:line="240" w:lineRule="auto"/>
      </w:pPr>
      <w:r>
        <w:t>Utilize predictive analytics to forecast demand spikes and plan inventory, logistics, and promotional strategies accordingly.</w:t>
      </w:r>
    </w:p>
    <w:p w14:paraId="410348E5" w14:textId="77777777" w:rsidR="00F50C2A" w:rsidRDefault="00F50C2A" w:rsidP="00F50C2A">
      <w:pPr>
        <w:pStyle w:val="NormalWeb"/>
        <w:numPr>
          <w:ilvl w:val="0"/>
          <w:numId w:val="12"/>
        </w:numPr>
      </w:pPr>
      <w:r>
        <w:rPr>
          <w:rStyle w:val="Strong"/>
          <w:rFonts w:eastAsiaTheme="majorEastAsia"/>
        </w:rPr>
        <w:t>Monitor External Factors:</w:t>
      </w:r>
    </w:p>
    <w:p w14:paraId="36105E6C" w14:textId="77777777" w:rsidR="00F50C2A" w:rsidRDefault="00F50C2A" w:rsidP="00F50C2A">
      <w:pPr>
        <w:numPr>
          <w:ilvl w:val="1"/>
          <w:numId w:val="12"/>
        </w:numPr>
        <w:spacing w:before="100" w:beforeAutospacing="1" w:after="100" w:afterAutospacing="1" w:line="240" w:lineRule="auto"/>
      </w:pPr>
      <w:r>
        <w:t>Consider the potential impact of macroeconomic factors like pandemics or market disruptions and build contingency plans to mitigate risks during low-performing months.</w:t>
      </w:r>
    </w:p>
    <w:p w14:paraId="2AF27900" w14:textId="77777777" w:rsidR="00F50C2A" w:rsidRDefault="00F50C2A" w:rsidP="00F50C2A">
      <w:pPr>
        <w:pStyle w:val="Heading3"/>
      </w:pPr>
      <w:r>
        <w:t>8-</w:t>
      </w:r>
      <w:r>
        <w:t xml:space="preserve">Total Sold Quantity: In which quarter of 2020, got the maximum total sold quantity? The final output contains these fields sorted by the total </w:t>
      </w:r>
      <w:proofErr w:type="spellStart"/>
      <w:r>
        <w:t>sold_quantity</w:t>
      </w:r>
      <w:proofErr w:type="spellEnd"/>
      <w:r>
        <w:t xml:space="preserve">: - Quarter - </w:t>
      </w:r>
      <w:proofErr w:type="spellStart"/>
      <w:r>
        <w:t>total_sold_quantity</w:t>
      </w:r>
      <w:proofErr w:type="spellEnd"/>
      <w:r>
        <w:t xml:space="preserve">  </w:t>
      </w:r>
      <w:r>
        <w:br/>
      </w:r>
      <w:r>
        <w:rPr>
          <w:rStyle w:val="Strong"/>
          <w:b w:val="0"/>
          <w:bCs w:val="0"/>
        </w:rPr>
        <w:t>Quarterly Analysis of Total Sold Quantity in 2020</w:t>
      </w:r>
    </w:p>
    <w:p w14:paraId="3318C9E5" w14:textId="77777777" w:rsidR="00F50C2A" w:rsidRDefault="00F50C2A" w:rsidP="00F50C2A">
      <w:pPr>
        <w:pStyle w:val="Heading4"/>
      </w:pPr>
      <w:r>
        <w:rPr>
          <w:rStyle w:val="Strong"/>
          <w:b w:val="0"/>
          <w:bCs w:val="0"/>
        </w:rPr>
        <w:t>Quarterly Total Sold Quantity (Sorted)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817"/>
      </w:tblGrid>
      <w:tr w:rsidR="00F50C2A" w14:paraId="6CC9906A" w14:textId="77777777" w:rsidTr="00F50C2A">
        <w:trPr>
          <w:tblHeader/>
          <w:tblCellSpacing w:w="15" w:type="dxa"/>
        </w:trPr>
        <w:tc>
          <w:tcPr>
            <w:tcW w:w="0" w:type="auto"/>
            <w:vAlign w:val="center"/>
            <w:hideMark/>
          </w:tcPr>
          <w:p w14:paraId="59062850" w14:textId="77777777" w:rsidR="00F50C2A" w:rsidRDefault="00F50C2A">
            <w:pPr>
              <w:jc w:val="center"/>
              <w:rPr>
                <w:b/>
                <w:bCs/>
              </w:rPr>
            </w:pPr>
            <w:r>
              <w:rPr>
                <w:rStyle w:val="Strong"/>
              </w:rPr>
              <w:t>Fiscal Quarter</w:t>
            </w:r>
          </w:p>
        </w:tc>
        <w:tc>
          <w:tcPr>
            <w:tcW w:w="0" w:type="auto"/>
            <w:vAlign w:val="center"/>
            <w:hideMark/>
          </w:tcPr>
          <w:p w14:paraId="5C4561E6" w14:textId="77777777" w:rsidR="00F50C2A" w:rsidRDefault="00F50C2A">
            <w:pPr>
              <w:jc w:val="center"/>
              <w:rPr>
                <w:b/>
                <w:bCs/>
              </w:rPr>
            </w:pPr>
            <w:r>
              <w:rPr>
                <w:rStyle w:val="Strong"/>
              </w:rPr>
              <w:t>Total Sold Quantity</w:t>
            </w:r>
          </w:p>
        </w:tc>
      </w:tr>
      <w:tr w:rsidR="00F50C2A" w14:paraId="5FAA40EB" w14:textId="77777777" w:rsidTr="00F50C2A">
        <w:trPr>
          <w:tblCellSpacing w:w="15" w:type="dxa"/>
        </w:trPr>
        <w:tc>
          <w:tcPr>
            <w:tcW w:w="0" w:type="auto"/>
            <w:vAlign w:val="center"/>
            <w:hideMark/>
          </w:tcPr>
          <w:p w14:paraId="0BB626E0" w14:textId="77777777" w:rsidR="00F50C2A" w:rsidRDefault="00F50C2A">
            <w:r>
              <w:rPr>
                <w:rStyle w:val="Strong"/>
              </w:rPr>
              <w:t>Q1 (Sep-Nov)</w:t>
            </w:r>
          </w:p>
        </w:tc>
        <w:tc>
          <w:tcPr>
            <w:tcW w:w="0" w:type="auto"/>
            <w:vAlign w:val="center"/>
            <w:hideMark/>
          </w:tcPr>
          <w:p w14:paraId="65FE164C" w14:textId="77777777" w:rsidR="00F50C2A" w:rsidRDefault="00F50C2A">
            <w:r>
              <w:t>7,003,619</w:t>
            </w:r>
          </w:p>
        </w:tc>
      </w:tr>
      <w:tr w:rsidR="00F50C2A" w14:paraId="077E1BA7" w14:textId="77777777" w:rsidTr="00F50C2A">
        <w:trPr>
          <w:tblCellSpacing w:w="15" w:type="dxa"/>
        </w:trPr>
        <w:tc>
          <w:tcPr>
            <w:tcW w:w="0" w:type="auto"/>
            <w:vAlign w:val="center"/>
            <w:hideMark/>
          </w:tcPr>
          <w:p w14:paraId="21895303" w14:textId="77777777" w:rsidR="00F50C2A" w:rsidRDefault="00F50C2A">
            <w:r>
              <w:rPr>
                <w:rStyle w:val="Strong"/>
              </w:rPr>
              <w:t>Q2 (Dec-Feb)</w:t>
            </w:r>
          </w:p>
        </w:tc>
        <w:tc>
          <w:tcPr>
            <w:tcW w:w="0" w:type="auto"/>
            <w:vAlign w:val="center"/>
            <w:hideMark/>
          </w:tcPr>
          <w:p w14:paraId="2C425330" w14:textId="77777777" w:rsidR="00F50C2A" w:rsidRDefault="00F50C2A">
            <w:r>
              <w:t>6,650,642</w:t>
            </w:r>
          </w:p>
        </w:tc>
      </w:tr>
      <w:tr w:rsidR="00F50C2A" w14:paraId="736A11C0" w14:textId="77777777" w:rsidTr="00F50C2A">
        <w:trPr>
          <w:tblCellSpacing w:w="15" w:type="dxa"/>
        </w:trPr>
        <w:tc>
          <w:tcPr>
            <w:tcW w:w="0" w:type="auto"/>
            <w:vAlign w:val="center"/>
            <w:hideMark/>
          </w:tcPr>
          <w:p w14:paraId="0BF78686" w14:textId="77777777" w:rsidR="00F50C2A" w:rsidRDefault="00F50C2A">
            <w:r>
              <w:rPr>
                <w:rStyle w:val="Strong"/>
              </w:rPr>
              <w:t>Q4 (Jun-Aug)</w:t>
            </w:r>
          </w:p>
        </w:tc>
        <w:tc>
          <w:tcPr>
            <w:tcW w:w="0" w:type="auto"/>
            <w:vAlign w:val="center"/>
            <w:hideMark/>
          </w:tcPr>
          <w:p w14:paraId="31F086A4" w14:textId="77777777" w:rsidR="00F50C2A" w:rsidRDefault="00F50C2A">
            <w:r>
              <w:t>5,041,541</w:t>
            </w:r>
          </w:p>
        </w:tc>
      </w:tr>
      <w:tr w:rsidR="00F50C2A" w14:paraId="706AD267" w14:textId="77777777" w:rsidTr="00F50C2A">
        <w:trPr>
          <w:tblCellSpacing w:w="15" w:type="dxa"/>
        </w:trPr>
        <w:tc>
          <w:tcPr>
            <w:tcW w:w="0" w:type="auto"/>
            <w:vAlign w:val="center"/>
            <w:hideMark/>
          </w:tcPr>
          <w:p w14:paraId="4737DA3A" w14:textId="77777777" w:rsidR="00F50C2A" w:rsidRDefault="00F50C2A">
            <w:r>
              <w:rPr>
                <w:rStyle w:val="Strong"/>
              </w:rPr>
              <w:t>Q3 (Mar-May)</w:t>
            </w:r>
          </w:p>
        </w:tc>
        <w:tc>
          <w:tcPr>
            <w:tcW w:w="0" w:type="auto"/>
            <w:vAlign w:val="center"/>
            <w:hideMark/>
          </w:tcPr>
          <w:p w14:paraId="44BBB711" w14:textId="77777777" w:rsidR="00F50C2A" w:rsidRDefault="00F50C2A">
            <w:r>
              <w:t>2,072,087</w:t>
            </w:r>
          </w:p>
        </w:tc>
      </w:tr>
    </w:tbl>
    <w:p w14:paraId="4D16A158" w14:textId="77777777" w:rsidR="00F50C2A" w:rsidRDefault="00F50C2A" w:rsidP="00F50C2A">
      <w:r>
        <w:pict w14:anchorId="4F4BBB1C">
          <v:rect id="_x0000_i1047" style="width:0;height:1.5pt" o:hralign="center" o:hrstd="t" o:hr="t" fillcolor="#a0a0a0" stroked="f"/>
        </w:pict>
      </w:r>
    </w:p>
    <w:p w14:paraId="78388468" w14:textId="77777777" w:rsidR="00F50C2A" w:rsidRDefault="00F50C2A" w:rsidP="00F50C2A">
      <w:pPr>
        <w:pStyle w:val="Heading3"/>
      </w:pPr>
      <w:r>
        <w:rPr>
          <w:rStyle w:val="Strong"/>
          <w:b w:val="0"/>
          <w:bCs w:val="0"/>
        </w:rPr>
        <w:t>Insights:</w:t>
      </w:r>
    </w:p>
    <w:p w14:paraId="2B3C8903" w14:textId="77777777" w:rsidR="00F50C2A" w:rsidRDefault="00F50C2A" w:rsidP="00F50C2A">
      <w:pPr>
        <w:pStyle w:val="NormalWeb"/>
        <w:numPr>
          <w:ilvl w:val="0"/>
          <w:numId w:val="13"/>
        </w:numPr>
      </w:pPr>
      <w:r>
        <w:rPr>
          <w:rStyle w:val="Strong"/>
          <w:rFonts w:eastAsiaTheme="majorEastAsia"/>
        </w:rPr>
        <w:t>Highest Total Sold Quantity in Q1 (Sep-Nov 2020):</w:t>
      </w:r>
    </w:p>
    <w:p w14:paraId="4C60FC0D" w14:textId="77777777" w:rsidR="00F50C2A" w:rsidRDefault="00F50C2A" w:rsidP="00F50C2A">
      <w:pPr>
        <w:numPr>
          <w:ilvl w:val="1"/>
          <w:numId w:val="13"/>
        </w:numPr>
        <w:spacing w:before="100" w:beforeAutospacing="1" w:after="100" w:afterAutospacing="1" w:line="240" w:lineRule="auto"/>
      </w:pPr>
      <w:r>
        <w:t xml:space="preserve">Q1 recorded the </w:t>
      </w:r>
      <w:r>
        <w:rPr>
          <w:rStyle w:val="Strong"/>
        </w:rPr>
        <w:t>highest total sold quantity of 7,003,619 units</w:t>
      </w:r>
      <w:r>
        <w:t xml:space="preserve">, driven by strong performances in </w:t>
      </w:r>
      <w:r>
        <w:rPr>
          <w:rStyle w:val="Strong"/>
        </w:rPr>
        <w:t>November (3,050,825)</w:t>
      </w:r>
      <w:r>
        <w:t xml:space="preserve"> and </w:t>
      </w:r>
      <w:r>
        <w:rPr>
          <w:rStyle w:val="Strong"/>
        </w:rPr>
        <w:t>October (2,190,792)</w:t>
      </w:r>
      <w:r>
        <w:t>. This indicates high demand during the festive and promotional season.</w:t>
      </w:r>
    </w:p>
    <w:p w14:paraId="3FB24EE5" w14:textId="77777777" w:rsidR="00F50C2A" w:rsidRDefault="00F50C2A" w:rsidP="00F50C2A">
      <w:pPr>
        <w:pStyle w:val="NormalWeb"/>
        <w:numPr>
          <w:ilvl w:val="0"/>
          <w:numId w:val="13"/>
        </w:numPr>
      </w:pPr>
      <w:r>
        <w:rPr>
          <w:rStyle w:val="Strong"/>
          <w:rFonts w:eastAsiaTheme="majorEastAsia"/>
        </w:rPr>
        <w:t>Q2 Close Behind Q1:</w:t>
      </w:r>
    </w:p>
    <w:p w14:paraId="36898EAB" w14:textId="77777777" w:rsidR="00F50C2A" w:rsidRDefault="00F50C2A" w:rsidP="00F50C2A">
      <w:pPr>
        <w:numPr>
          <w:ilvl w:val="1"/>
          <w:numId w:val="13"/>
        </w:numPr>
        <w:spacing w:before="100" w:beforeAutospacing="1" w:after="100" w:afterAutospacing="1" w:line="240" w:lineRule="auto"/>
      </w:pPr>
      <w:r>
        <w:t xml:space="preserve">Q2 (Dec-Feb) followed with </w:t>
      </w:r>
      <w:r>
        <w:rPr>
          <w:rStyle w:val="Strong"/>
        </w:rPr>
        <w:t>6,650,642 units</w:t>
      </w:r>
      <w:r>
        <w:t>, showing consistent demand during the year-end holiday period and the post-festive sales season.</w:t>
      </w:r>
    </w:p>
    <w:p w14:paraId="56330A0A" w14:textId="77777777" w:rsidR="00F50C2A" w:rsidRDefault="00F50C2A" w:rsidP="00F50C2A">
      <w:pPr>
        <w:pStyle w:val="NormalWeb"/>
        <w:numPr>
          <w:ilvl w:val="0"/>
          <w:numId w:val="13"/>
        </w:numPr>
      </w:pPr>
      <w:r>
        <w:rPr>
          <w:rStyle w:val="Strong"/>
          <w:rFonts w:eastAsiaTheme="majorEastAsia"/>
        </w:rPr>
        <w:t>Seasonal Dip in Q3 (Mar-May):</w:t>
      </w:r>
    </w:p>
    <w:p w14:paraId="7F150C41" w14:textId="77777777" w:rsidR="00F50C2A" w:rsidRDefault="00F50C2A" w:rsidP="00F50C2A">
      <w:pPr>
        <w:numPr>
          <w:ilvl w:val="1"/>
          <w:numId w:val="13"/>
        </w:numPr>
        <w:spacing w:before="100" w:beforeAutospacing="1" w:after="100" w:afterAutospacing="1" w:line="240" w:lineRule="auto"/>
      </w:pPr>
      <w:r>
        <w:t xml:space="preserve">Q3 had the </w:t>
      </w:r>
      <w:r>
        <w:rPr>
          <w:rStyle w:val="Strong"/>
        </w:rPr>
        <w:t>lowest sales at 2,072,087 units</w:t>
      </w:r>
      <w:r>
        <w:t>, possibly due to seasonal lulls or external factors (e.g., pandemic impact). March 2020 saw a significant drop in sales (</w:t>
      </w:r>
      <w:r>
        <w:rPr>
          <w:rStyle w:val="Strong"/>
        </w:rPr>
        <w:t>238,961 units</w:t>
      </w:r>
      <w:r>
        <w:t>).</w:t>
      </w:r>
    </w:p>
    <w:p w14:paraId="658405A8" w14:textId="77777777" w:rsidR="00F50C2A" w:rsidRDefault="00F50C2A" w:rsidP="00F50C2A">
      <w:pPr>
        <w:pStyle w:val="NormalWeb"/>
        <w:numPr>
          <w:ilvl w:val="0"/>
          <w:numId w:val="13"/>
        </w:numPr>
      </w:pPr>
      <w:r>
        <w:rPr>
          <w:rStyle w:val="Strong"/>
          <w:rFonts w:eastAsiaTheme="majorEastAsia"/>
        </w:rPr>
        <w:t>Stable Performance in Q4 (Jun-Aug):</w:t>
      </w:r>
    </w:p>
    <w:p w14:paraId="14D9FB8A" w14:textId="77777777" w:rsidR="00F50C2A" w:rsidRDefault="00F50C2A" w:rsidP="00F50C2A">
      <w:pPr>
        <w:numPr>
          <w:ilvl w:val="1"/>
          <w:numId w:val="13"/>
        </w:numPr>
        <w:spacing w:before="100" w:beforeAutospacing="1" w:after="100" w:afterAutospacing="1" w:line="240" w:lineRule="auto"/>
      </w:pPr>
      <w:r>
        <w:t>Q4 showed stable and recovering sales (</w:t>
      </w:r>
      <w:r>
        <w:rPr>
          <w:rStyle w:val="Strong"/>
        </w:rPr>
        <w:t>5,041,541 units</w:t>
      </w:r>
      <w:r>
        <w:t>), with a gradual rise from June to August. August registered the highest sales for the quarter (</w:t>
      </w:r>
      <w:r>
        <w:rPr>
          <w:rStyle w:val="Strong"/>
        </w:rPr>
        <w:t>1,790,193 units</w:t>
      </w:r>
      <w:r>
        <w:t>).</w:t>
      </w:r>
    </w:p>
    <w:p w14:paraId="09939A21" w14:textId="77777777" w:rsidR="00F50C2A" w:rsidRDefault="00F50C2A" w:rsidP="00F50C2A">
      <w:pPr>
        <w:spacing w:after="0"/>
      </w:pPr>
      <w:r>
        <w:pict w14:anchorId="2755EE93">
          <v:rect id="_x0000_i1048" style="width:0;height:1.5pt" o:hralign="center" o:hrstd="t" o:hr="t" fillcolor="#a0a0a0" stroked="f"/>
        </w:pict>
      </w:r>
    </w:p>
    <w:p w14:paraId="7E8C91EA" w14:textId="77777777" w:rsidR="00F50C2A" w:rsidRDefault="00F50C2A" w:rsidP="00F50C2A">
      <w:pPr>
        <w:pStyle w:val="Heading3"/>
      </w:pPr>
      <w:r>
        <w:rPr>
          <w:rStyle w:val="Strong"/>
          <w:b w:val="0"/>
          <w:bCs w:val="0"/>
        </w:rPr>
        <w:t>Recommendations:</w:t>
      </w:r>
    </w:p>
    <w:p w14:paraId="71C6CB78" w14:textId="77777777" w:rsidR="00F50C2A" w:rsidRDefault="00F50C2A" w:rsidP="00F50C2A">
      <w:pPr>
        <w:pStyle w:val="NormalWeb"/>
        <w:numPr>
          <w:ilvl w:val="0"/>
          <w:numId w:val="14"/>
        </w:numPr>
      </w:pPr>
      <w:r>
        <w:rPr>
          <w:rStyle w:val="Strong"/>
          <w:rFonts w:eastAsiaTheme="majorEastAsia"/>
        </w:rPr>
        <w:t>Leverage Q1 Festive Demand:</w:t>
      </w:r>
    </w:p>
    <w:p w14:paraId="7278B865" w14:textId="77777777" w:rsidR="00F50C2A" w:rsidRDefault="00F50C2A" w:rsidP="00F50C2A">
      <w:pPr>
        <w:numPr>
          <w:ilvl w:val="1"/>
          <w:numId w:val="14"/>
        </w:numPr>
        <w:spacing w:before="100" w:beforeAutospacing="1" w:after="100" w:afterAutospacing="1" w:line="240" w:lineRule="auto"/>
      </w:pPr>
      <w:r>
        <w:t>Capitalize on the high demand in Q1 by increasing inventory, offering attractive promotions, and enhancing marketing campaigns during September–November.</w:t>
      </w:r>
    </w:p>
    <w:p w14:paraId="1C46F9FF" w14:textId="77777777" w:rsidR="00F50C2A" w:rsidRDefault="00F50C2A" w:rsidP="00F50C2A">
      <w:pPr>
        <w:pStyle w:val="NormalWeb"/>
        <w:numPr>
          <w:ilvl w:val="0"/>
          <w:numId w:val="14"/>
        </w:numPr>
      </w:pPr>
      <w:r>
        <w:rPr>
          <w:rStyle w:val="Strong"/>
          <w:rFonts w:eastAsiaTheme="majorEastAsia"/>
        </w:rPr>
        <w:t>Boost Q2 Momentum:</w:t>
      </w:r>
    </w:p>
    <w:p w14:paraId="69F1767D" w14:textId="77777777" w:rsidR="00F50C2A" w:rsidRDefault="00F50C2A" w:rsidP="00F50C2A">
      <w:pPr>
        <w:numPr>
          <w:ilvl w:val="1"/>
          <w:numId w:val="14"/>
        </w:numPr>
        <w:spacing w:before="100" w:beforeAutospacing="1" w:after="100" w:afterAutospacing="1" w:line="240" w:lineRule="auto"/>
      </w:pPr>
      <w:r>
        <w:t>Focus on post-festive promotions in December to sustain momentum into Q2. Launching year-end clearance sales or new product offerings can maximize Q2 performance.</w:t>
      </w:r>
    </w:p>
    <w:p w14:paraId="6F5B84DB" w14:textId="77777777" w:rsidR="00F50C2A" w:rsidRDefault="00F50C2A" w:rsidP="00F50C2A">
      <w:pPr>
        <w:pStyle w:val="NormalWeb"/>
        <w:numPr>
          <w:ilvl w:val="0"/>
          <w:numId w:val="14"/>
        </w:numPr>
      </w:pPr>
      <w:r>
        <w:rPr>
          <w:rStyle w:val="Strong"/>
          <w:rFonts w:eastAsiaTheme="majorEastAsia"/>
        </w:rPr>
        <w:t>Address Q3 Slump:</w:t>
      </w:r>
    </w:p>
    <w:p w14:paraId="2504B188" w14:textId="77777777" w:rsidR="00F50C2A" w:rsidRDefault="00F50C2A" w:rsidP="00F50C2A">
      <w:pPr>
        <w:numPr>
          <w:ilvl w:val="1"/>
          <w:numId w:val="14"/>
        </w:numPr>
        <w:spacing w:before="100" w:beforeAutospacing="1" w:after="100" w:afterAutospacing="1" w:line="240" w:lineRule="auto"/>
      </w:pPr>
      <w:proofErr w:type="spellStart"/>
      <w:r>
        <w:t>Analyze</w:t>
      </w:r>
      <w:proofErr w:type="spellEnd"/>
      <w:r>
        <w:t xml:space="preserve"> the reasons behind the drop in Q3 sales (e.g., seasonal trends, external disruptions) and introduce measures like targeted discounts or strategic partnerships to stimulate demand.</w:t>
      </w:r>
    </w:p>
    <w:p w14:paraId="401B7E81" w14:textId="77777777" w:rsidR="00F50C2A" w:rsidRDefault="00F50C2A" w:rsidP="00F50C2A">
      <w:pPr>
        <w:pStyle w:val="NormalWeb"/>
        <w:numPr>
          <w:ilvl w:val="0"/>
          <w:numId w:val="14"/>
        </w:numPr>
      </w:pPr>
      <w:r>
        <w:rPr>
          <w:rStyle w:val="Strong"/>
          <w:rFonts w:eastAsiaTheme="majorEastAsia"/>
        </w:rPr>
        <w:t>Strengthen Q4 Recovery:</w:t>
      </w:r>
    </w:p>
    <w:p w14:paraId="79D0FB5E" w14:textId="77777777" w:rsidR="00F50C2A" w:rsidRDefault="00F50C2A" w:rsidP="00F50C2A">
      <w:pPr>
        <w:numPr>
          <w:ilvl w:val="1"/>
          <w:numId w:val="14"/>
        </w:numPr>
        <w:spacing w:before="100" w:beforeAutospacing="1" w:after="100" w:afterAutospacing="1" w:line="240" w:lineRule="auto"/>
      </w:pPr>
      <w:r>
        <w:t>Build on the stable sales in Q4 by aligning campaigns with pre-festive preparations and back-to-school or business demand cycles, especially in August.</w:t>
      </w:r>
    </w:p>
    <w:p w14:paraId="6148438D" w14:textId="77777777" w:rsidR="00F50C2A" w:rsidRDefault="00F50C2A" w:rsidP="00F50C2A">
      <w:pPr>
        <w:pStyle w:val="NormalWeb"/>
        <w:numPr>
          <w:ilvl w:val="0"/>
          <w:numId w:val="14"/>
        </w:numPr>
      </w:pPr>
      <w:r>
        <w:rPr>
          <w:rStyle w:val="Strong"/>
          <w:rFonts w:eastAsiaTheme="majorEastAsia"/>
        </w:rPr>
        <w:t>Dynamic Inventory Management:</w:t>
      </w:r>
    </w:p>
    <w:p w14:paraId="2C54628C" w14:textId="77777777" w:rsidR="00F50C2A" w:rsidRDefault="00F50C2A" w:rsidP="00F50C2A">
      <w:pPr>
        <w:numPr>
          <w:ilvl w:val="1"/>
          <w:numId w:val="14"/>
        </w:numPr>
        <w:spacing w:before="100" w:beforeAutospacing="1" w:after="100" w:afterAutospacing="1" w:line="240" w:lineRule="auto"/>
      </w:pPr>
      <w:r>
        <w:t>Use predictive analytics to anticipate demand fluctuations across quarters and optimize inventory and production planning to reduce stockouts or overstocking.</w:t>
      </w:r>
    </w:p>
    <w:p w14:paraId="3C556508" w14:textId="77777777" w:rsidR="00F50C2A" w:rsidRDefault="00F50C2A" w:rsidP="00F50C2A">
      <w:pPr>
        <w:pStyle w:val="NormalWeb"/>
        <w:numPr>
          <w:ilvl w:val="0"/>
          <w:numId w:val="14"/>
        </w:numPr>
      </w:pPr>
      <w:r>
        <w:rPr>
          <w:rStyle w:val="Strong"/>
          <w:rFonts w:eastAsiaTheme="majorEastAsia"/>
        </w:rPr>
        <w:t>Trend Analysis for Growth:</w:t>
      </w:r>
    </w:p>
    <w:p w14:paraId="3311CB62" w14:textId="77777777" w:rsidR="00F50C2A" w:rsidRDefault="00F50C2A" w:rsidP="00F50C2A">
      <w:pPr>
        <w:numPr>
          <w:ilvl w:val="1"/>
          <w:numId w:val="14"/>
        </w:numPr>
        <w:spacing w:before="100" w:beforeAutospacing="1" w:after="100" w:afterAutospacing="1" w:line="240" w:lineRule="auto"/>
      </w:pPr>
      <w:r>
        <w:t>Conduct further analysis to identify specific product categories or customer segments driving Q1 and Q2 performance, and tailor strategies to maximize returns.</w:t>
      </w:r>
    </w:p>
    <w:p w14:paraId="1BA673CE" w14:textId="11FE0733" w:rsidR="00F50C2A" w:rsidRDefault="00F50C2A" w:rsidP="00F50C2A">
      <w:r>
        <w:t>9-</w:t>
      </w:r>
      <w:r>
        <w:t xml:space="preserve">Gross Sales by Channel: Which channel helped to bring more gross sales in the fiscal year 2021 and the percentage of contribution? The final output contains these fields: - channel - </w:t>
      </w:r>
    </w:p>
    <w:p w14:paraId="5BB55C02" w14:textId="77777777" w:rsidR="00F50C2A" w:rsidRDefault="00F50C2A" w:rsidP="00F50C2A">
      <w:pPr>
        <w:pStyle w:val="Heading3"/>
      </w:pPr>
      <w:r>
        <w:rPr>
          <w:rStyle w:val="Strong"/>
          <w:b w:val="0"/>
          <w:bCs w:val="0"/>
        </w:rPr>
        <w:t>Gross Sales by Channel in Fiscal Year 2021</w:t>
      </w:r>
    </w:p>
    <w:p w14:paraId="57979F14" w14:textId="77777777" w:rsidR="00F50C2A" w:rsidRDefault="00F50C2A" w:rsidP="00F50C2A">
      <w:pPr>
        <w:pStyle w:val="Heading4"/>
      </w:pPr>
      <w:r>
        <w:rPr>
          <w:rStyle w:val="Strong"/>
          <w:b w:val="0"/>
          <w:bCs w:val="0"/>
        </w:rPr>
        <w:t>Channel-wise Gross Sales and Contribution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1875"/>
        <w:gridCol w:w="2299"/>
      </w:tblGrid>
      <w:tr w:rsidR="00F50C2A" w14:paraId="2497CCB3" w14:textId="77777777" w:rsidTr="00F50C2A">
        <w:trPr>
          <w:tblHeader/>
          <w:tblCellSpacing w:w="15" w:type="dxa"/>
        </w:trPr>
        <w:tc>
          <w:tcPr>
            <w:tcW w:w="0" w:type="auto"/>
            <w:vAlign w:val="center"/>
            <w:hideMark/>
          </w:tcPr>
          <w:p w14:paraId="6EBEA0BF" w14:textId="77777777" w:rsidR="00F50C2A" w:rsidRDefault="00F50C2A">
            <w:pPr>
              <w:jc w:val="center"/>
              <w:rPr>
                <w:b/>
                <w:bCs/>
              </w:rPr>
            </w:pPr>
            <w:r>
              <w:rPr>
                <w:rStyle w:val="Strong"/>
              </w:rPr>
              <w:t>Channel</w:t>
            </w:r>
          </w:p>
        </w:tc>
        <w:tc>
          <w:tcPr>
            <w:tcW w:w="0" w:type="auto"/>
            <w:vAlign w:val="center"/>
            <w:hideMark/>
          </w:tcPr>
          <w:p w14:paraId="2229C177" w14:textId="77777777" w:rsidR="00F50C2A" w:rsidRDefault="00F50C2A">
            <w:pPr>
              <w:jc w:val="center"/>
              <w:rPr>
                <w:b/>
                <w:bCs/>
              </w:rPr>
            </w:pPr>
            <w:r>
              <w:rPr>
                <w:rStyle w:val="Strong"/>
              </w:rPr>
              <w:t>Gross Sales Amount</w:t>
            </w:r>
          </w:p>
        </w:tc>
        <w:tc>
          <w:tcPr>
            <w:tcW w:w="0" w:type="auto"/>
            <w:vAlign w:val="center"/>
            <w:hideMark/>
          </w:tcPr>
          <w:p w14:paraId="36EFB24C" w14:textId="77777777" w:rsidR="00F50C2A" w:rsidRDefault="00F50C2A">
            <w:pPr>
              <w:jc w:val="center"/>
              <w:rPr>
                <w:b/>
                <w:bCs/>
              </w:rPr>
            </w:pPr>
            <w:r>
              <w:rPr>
                <w:rStyle w:val="Strong"/>
              </w:rPr>
              <w:t>Percentage Contribution</w:t>
            </w:r>
          </w:p>
        </w:tc>
      </w:tr>
      <w:tr w:rsidR="00F50C2A" w14:paraId="500B31DA" w14:textId="77777777" w:rsidTr="00F50C2A">
        <w:trPr>
          <w:tblCellSpacing w:w="15" w:type="dxa"/>
        </w:trPr>
        <w:tc>
          <w:tcPr>
            <w:tcW w:w="0" w:type="auto"/>
            <w:vAlign w:val="center"/>
            <w:hideMark/>
          </w:tcPr>
          <w:p w14:paraId="6E94C69E" w14:textId="77777777" w:rsidR="00F50C2A" w:rsidRDefault="00F50C2A">
            <w:r>
              <w:rPr>
                <w:rStyle w:val="Strong"/>
              </w:rPr>
              <w:t>Retailer</w:t>
            </w:r>
          </w:p>
        </w:tc>
        <w:tc>
          <w:tcPr>
            <w:tcW w:w="0" w:type="auto"/>
            <w:vAlign w:val="center"/>
            <w:hideMark/>
          </w:tcPr>
          <w:p w14:paraId="5C948233" w14:textId="77777777" w:rsidR="00F50C2A" w:rsidRDefault="00F50C2A">
            <w:r>
              <w:t>2.63444E+12</w:t>
            </w:r>
          </w:p>
        </w:tc>
        <w:tc>
          <w:tcPr>
            <w:tcW w:w="0" w:type="auto"/>
            <w:vAlign w:val="center"/>
            <w:hideMark/>
          </w:tcPr>
          <w:p w14:paraId="4853C075" w14:textId="77777777" w:rsidR="00F50C2A" w:rsidRDefault="00F50C2A">
            <w:r>
              <w:t>73.89%</w:t>
            </w:r>
          </w:p>
        </w:tc>
      </w:tr>
      <w:tr w:rsidR="00F50C2A" w14:paraId="074AE5ED" w14:textId="77777777" w:rsidTr="00F50C2A">
        <w:trPr>
          <w:tblCellSpacing w:w="15" w:type="dxa"/>
        </w:trPr>
        <w:tc>
          <w:tcPr>
            <w:tcW w:w="0" w:type="auto"/>
            <w:vAlign w:val="center"/>
            <w:hideMark/>
          </w:tcPr>
          <w:p w14:paraId="588460DE" w14:textId="77777777" w:rsidR="00F50C2A" w:rsidRDefault="00F50C2A">
            <w:r>
              <w:rPr>
                <w:rStyle w:val="Strong"/>
              </w:rPr>
              <w:t>Direct</w:t>
            </w:r>
          </w:p>
        </w:tc>
        <w:tc>
          <w:tcPr>
            <w:tcW w:w="0" w:type="auto"/>
            <w:vAlign w:val="center"/>
            <w:hideMark/>
          </w:tcPr>
          <w:p w14:paraId="69851B55" w14:textId="77777777" w:rsidR="00F50C2A" w:rsidRDefault="00F50C2A">
            <w:r>
              <w:t>5.54508E+11</w:t>
            </w:r>
          </w:p>
        </w:tc>
        <w:tc>
          <w:tcPr>
            <w:tcW w:w="0" w:type="auto"/>
            <w:vAlign w:val="center"/>
            <w:hideMark/>
          </w:tcPr>
          <w:p w14:paraId="3276814B" w14:textId="77777777" w:rsidR="00F50C2A" w:rsidRDefault="00F50C2A">
            <w:r>
              <w:t>15.55%</w:t>
            </w:r>
          </w:p>
        </w:tc>
      </w:tr>
      <w:tr w:rsidR="00F50C2A" w14:paraId="75BB6DEA" w14:textId="77777777" w:rsidTr="00F50C2A">
        <w:trPr>
          <w:tblCellSpacing w:w="15" w:type="dxa"/>
        </w:trPr>
        <w:tc>
          <w:tcPr>
            <w:tcW w:w="0" w:type="auto"/>
            <w:vAlign w:val="center"/>
            <w:hideMark/>
          </w:tcPr>
          <w:p w14:paraId="5F637A1B" w14:textId="77777777" w:rsidR="00F50C2A" w:rsidRDefault="00F50C2A">
            <w:r>
              <w:rPr>
                <w:rStyle w:val="Strong"/>
              </w:rPr>
              <w:t>Distributor</w:t>
            </w:r>
          </w:p>
        </w:tc>
        <w:tc>
          <w:tcPr>
            <w:tcW w:w="0" w:type="auto"/>
            <w:vAlign w:val="center"/>
            <w:hideMark/>
          </w:tcPr>
          <w:p w14:paraId="065042D1" w14:textId="77777777" w:rsidR="00F50C2A" w:rsidRDefault="00F50C2A">
            <w:r>
              <w:t>4.03335E+11</w:t>
            </w:r>
          </w:p>
        </w:tc>
        <w:tc>
          <w:tcPr>
            <w:tcW w:w="0" w:type="auto"/>
            <w:vAlign w:val="center"/>
            <w:hideMark/>
          </w:tcPr>
          <w:p w14:paraId="501FF9B5" w14:textId="77777777" w:rsidR="00F50C2A" w:rsidRDefault="00F50C2A">
            <w:r>
              <w:t>11.32%</w:t>
            </w:r>
          </w:p>
        </w:tc>
      </w:tr>
    </w:tbl>
    <w:p w14:paraId="3274B00E" w14:textId="77777777" w:rsidR="00F50C2A" w:rsidRDefault="00F50C2A" w:rsidP="00F50C2A">
      <w:r>
        <w:pict w14:anchorId="26AE493B">
          <v:rect id="_x0000_i1049" style="width:0;height:1.5pt" o:hralign="center" o:hrstd="t" o:hr="t" fillcolor="#a0a0a0" stroked="f"/>
        </w:pict>
      </w:r>
    </w:p>
    <w:p w14:paraId="4192E147" w14:textId="77777777" w:rsidR="00F50C2A" w:rsidRDefault="00F50C2A" w:rsidP="00F50C2A">
      <w:pPr>
        <w:pStyle w:val="Heading3"/>
      </w:pPr>
      <w:r>
        <w:rPr>
          <w:rStyle w:val="Strong"/>
          <w:b w:val="0"/>
          <w:bCs w:val="0"/>
        </w:rPr>
        <w:t>Insights:</w:t>
      </w:r>
    </w:p>
    <w:p w14:paraId="3AD9329E" w14:textId="77777777" w:rsidR="00F50C2A" w:rsidRDefault="00F50C2A" w:rsidP="00F50C2A">
      <w:pPr>
        <w:pStyle w:val="NormalWeb"/>
        <w:numPr>
          <w:ilvl w:val="0"/>
          <w:numId w:val="15"/>
        </w:numPr>
      </w:pPr>
      <w:r>
        <w:rPr>
          <w:rStyle w:val="Strong"/>
          <w:rFonts w:eastAsiaTheme="majorEastAsia"/>
        </w:rPr>
        <w:t>Retailers Dominate:</w:t>
      </w:r>
    </w:p>
    <w:p w14:paraId="3977985D" w14:textId="77777777" w:rsidR="00F50C2A" w:rsidRDefault="00F50C2A" w:rsidP="00F50C2A">
      <w:pPr>
        <w:numPr>
          <w:ilvl w:val="1"/>
          <w:numId w:val="15"/>
        </w:numPr>
        <w:spacing w:before="100" w:beforeAutospacing="1" w:after="100" w:afterAutospacing="1" w:line="240" w:lineRule="auto"/>
      </w:pPr>
      <w:r>
        <w:t xml:space="preserve">The </w:t>
      </w:r>
      <w:r>
        <w:rPr>
          <w:rStyle w:val="Strong"/>
        </w:rPr>
        <w:t>Retailer channel contributed 73.89%</w:t>
      </w:r>
      <w:r>
        <w:t xml:space="preserve"> of total gross sales in 2021, making it the most significant channel by a large margin. Retailers likely cater to mass-market needs, driving higher sales volumes.</w:t>
      </w:r>
    </w:p>
    <w:p w14:paraId="3C1CEDC5" w14:textId="77777777" w:rsidR="00F50C2A" w:rsidRDefault="00F50C2A" w:rsidP="00F50C2A">
      <w:pPr>
        <w:pStyle w:val="NormalWeb"/>
        <w:numPr>
          <w:ilvl w:val="0"/>
          <w:numId w:val="15"/>
        </w:numPr>
      </w:pPr>
      <w:r>
        <w:rPr>
          <w:rStyle w:val="Strong"/>
          <w:rFonts w:eastAsiaTheme="majorEastAsia"/>
        </w:rPr>
        <w:t>Direct Sales Channel:</w:t>
      </w:r>
    </w:p>
    <w:p w14:paraId="3CDA6B12" w14:textId="77777777" w:rsidR="00F50C2A" w:rsidRDefault="00F50C2A" w:rsidP="00F50C2A">
      <w:pPr>
        <w:numPr>
          <w:ilvl w:val="1"/>
          <w:numId w:val="15"/>
        </w:numPr>
        <w:spacing w:before="100" w:beforeAutospacing="1" w:after="100" w:afterAutospacing="1" w:line="240" w:lineRule="auto"/>
      </w:pPr>
      <w:r>
        <w:t xml:space="preserve">The </w:t>
      </w:r>
      <w:r>
        <w:rPr>
          <w:rStyle w:val="Strong"/>
        </w:rPr>
        <w:t>Direct channel</w:t>
      </w:r>
      <w:r>
        <w:t xml:space="preserve"> contributed </w:t>
      </w:r>
      <w:r>
        <w:rPr>
          <w:rStyle w:val="Strong"/>
        </w:rPr>
        <w:t>15.55%</w:t>
      </w:r>
      <w:r>
        <w:t>, which indicates a growing but smaller segment. This channel typically serves customers seeking direct engagement or exclusive products.</w:t>
      </w:r>
    </w:p>
    <w:p w14:paraId="224A567A" w14:textId="77777777" w:rsidR="00F50C2A" w:rsidRDefault="00F50C2A" w:rsidP="00F50C2A">
      <w:pPr>
        <w:pStyle w:val="NormalWeb"/>
        <w:numPr>
          <w:ilvl w:val="0"/>
          <w:numId w:val="15"/>
        </w:numPr>
      </w:pPr>
      <w:r>
        <w:rPr>
          <w:rStyle w:val="Strong"/>
          <w:rFonts w:eastAsiaTheme="majorEastAsia"/>
        </w:rPr>
        <w:t>Distributors' Role:</w:t>
      </w:r>
    </w:p>
    <w:p w14:paraId="18E43DFF" w14:textId="77777777" w:rsidR="00F50C2A" w:rsidRDefault="00F50C2A" w:rsidP="00F50C2A">
      <w:pPr>
        <w:numPr>
          <w:ilvl w:val="1"/>
          <w:numId w:val="15"/>
        </w:numPr>
        <w:spacing w:before="100" w:beforeAutospacing="1" w:after="100" w:afterAutospacing="1" w:line="240" w:lineRule="auto"/>
      </w:pPr>
      <w:r>
        <w:t xml:space="preserve">The </w:t>
      </w:r>
      <w:r>
        <w:rPr>
          <w:rStyle w:val="Strong"/>
        </w:rPr>
        <w:t>Distributor channel</w:t>
      </w:r>
      <w:r>
        <w:t xml:space="preserve"> accounted for </w:t>
      </w:r>
      <w:r>
        <w:rPr>
          <w:rStyle w:val="Strong"/>
        </w:rPr>
        <w:t>11.32%</w:t>
      </w:r>
      <w:r>
        <w:t>, reflecting its importance in supplying intermediaries or smaller retailers.</w:t>
      </w:r>
    </w:p>
    <w:p w14:paraId="072B118B" w14:textId="77777777" w:rsidR="00F50C2A" w:rsidRDefault="00F50C2A" w:rsidP="00F50C2A">
      <w:pPr>
        <w:spacing w:after="0"/>
      </w:pPr>
      <w:r>
        <w:pict w14:anchorId="073C2F62">
          <v:rect id="_x0000_i1050" style="width:0;height:1.5pt" o:hralign="center" o:hrstd="t" o:hr="t" fillcolor="#a0a0a0" stroked="f"/>
        </w:pict>
      </w:r>
    </w:p>
    <w:p w14:paraId="1A4CB3ED" w14:textId="77777777" w:rsidR="00F50C2A" w:rsidRDefault="00F50C2A" w:rsidP="00F50C2A">
      <w:pPr>
        <w:pStyle w:val="Heading3"/>
      </w:pPr>
      <w:r>
        <w:rPr>
          <w:rStyle w:val="Strong"/>
          <w:b w:val="0"/>
          <w:bCs w:val="0"/>
        </w:rPr>
        <w:t>Recommendations:</w:t>
      </w:r>
    </w:p>
    <w:p w14:paraId="0B9F47F1" w14:textId="77777777" w:rsidR="00F50C2A" w:rsidRDefault="00F50C2A" w:rsidP="00F50C2A">
      <w:pPr>
        <w:pStyle w:val="NormalWeb"/>
        <w:numPr>
          <w:ilvl w:val="0"/>
          <w:numId w:val="16"/>
        </w:numPr>
      </w:pPr>
      <w:r>
        <w:rPr>
          <w:rStyle w:val="Strong"/>
          <w:rFonts w:eastAsiaTheme="majorEastAsia"/>
        </w:rPr>
        <w:t>Strengthen Retailer Relationships:</w:t>
      </w:r>
    </w:p>
    <w:p w14:paraId="7897AEE8" w14:textId="77777777" w:rsidR="00F50C2A" w:rsidRDefault="00F50C2A" w:rsidP="00F50C2A">
      <w:pPr>
        <w:numPr>
          <w:ilvl w:val="1"/>
          <w:numId w:val="16"/>
        </w:numPr>
        <w:spacing w:before="100" w:beforeAutospacing="1" w:after="100" w:afterAutospacing="1" w:line="240" w:lineRule="auto"/>
      </w:pPr>
      <w:r>
        <w:t>Focus on building stronger partnerships with retailers through tailored promotions, training, and support. This will sustain and potentially grow the largest revenue-generating channel.</w:t>
      </w:r>
    </w:p>
    <w:p w14:paraId="6E1DE99F" w14:textId="77777777" w:rsidR="00F50C2A" w:rsidRDefault="00F50C2A" w:rsidP="00F50C2A">
      <w:pPr>
        <w:pStyle w:val="NormalWeb"/>
        <w:numPr>
          <w:ilvl w:val="0"/>
          <w:numId w:val="16"/>
        </w:numPr>
      </w:pPr>
      <w:r>
        <w:rPr>
          <w:rStyle w:val="Strong"/>
          <w:rFonts w:eastAsiaTheme="majorEastAsia"/>
        </w:rPr>
        <w:t>Invest in Direct Sales:</w:t>
      </w:r>
    </w:p>
    <w:p w14:paraId="0C9875F8" w14:textId="77777777" w:rsidR="00F50C2A" w:rsidRDefault="00F50C2A" w:rsidP="00F50C2A">
      <w:pPr>
        <w:numPr>
          <w:ilvl w:val="1"/>
          <w:numId w:val="16"/>
        </w:numPr>
        <w:spacing w:before="100" w:beforeAutospacing="1" w:after="100" w:afterAutospacing="1" w:line="240" w:lineRule="auto"/>
      </w:pPr>
      <w:r>
        <w:t>Expand the Direct channel by enhancing e-commerce platforms, offering exclusive products or discounts, and personalizing customer experiences to boost engagement and revenue.</w:t>
      </w:r>
    </w:p>
    <w:p w14:paraId="4FF272A6" w14:textId="77777777" w:rsidR="00F50C2A" w:rsidRDefault="00F50C2A" w:rsidP="00F50C2A">
      <w:pPr>
        <w:pStyle w:val="NormalWeb"/>
        <w:numPr>
          <w:ilvl w:val="0"/>
          <w:numId w:val="16"/>
        </w:numPr>
      </w:pPr>
      <w:r>
        <w:rPr>
          <w:rStyle w:val="Strong"/>
          <w:rFonts w:eastAsiaTheme="majorEastAsia"/>
        </w:rPr>
        <w:t>Distributor Support:</w:t>
      </w:r>
    </w:p>
    <w:p w14:paraId="2325360E" w14:textId="77777777" w:rsidR="00F50C2A" w:rsidRDefault="00F50C2A" w:rsidP="00F50C2A">
      <w:pPr>
        <w:numPr>
          <w:ilvl w:val="1"/>
          <w:numId w:val="16"/>
        </w:numPr>
        <w:spacing w:before="100" w:beforeAutospacing="1" w:after="100" w:afterAutospacing="1" w:line="240" w:lineRule="auto"/>
      </w:pPr>
      <w:r>
        <w:t>Support distributors with tools like advanced inventory management systems, and explore offering value-added services to encourage greater adoption and sales.</w:t>
      </w:r>
    </w:p>
    <w:p w14:paraId="65977234" w14:textId="77777777" w:rsidR="00F50C2A" w:rsidRDefault="00F50C2A" w:rsidP="00F50C2A">
      <w:pPr>
        <w:pStyle w:val="NormalWeb"/>
        <w:numPr>
          <w:ilvl w:val="0"/>
          <w:numId w:val="16"/>
        </w:numPr>
      </w:pPr>
      <w:r>
        <w:rPr>
          <w:rStyle w:val="Strong"/>
          <w:rFonts w:eastAsiaTheme="majorEastAsia"/>
        </w:rPr>
        <w:t>Channel-Specific Marketing:</w:t>
      </w:r>
    </w:p>
    <w:p w14:paraId="7E051ACA" w14:textId="77777777" w:rsidR="00F50C2A" w:rsidRDefault="00F50C2A" w:rsidP="00F50C2A">
      <w:pPr>
        <w:numPr>
          <w:ilvl w:val="1"/>
          <w:numId w:val="16"/>
        </w:numPr>
        <w:spacing w:before="100" w:beforeAutospacing="1" w:after="100" w:afterAutospacing="1" w:line="240" w:lineRule="auto"/>
      </w:pPr>
      <w:r>
        <w:t>Deploy differentiated marketing strategies for each channel to address their unique customer bases and maximize their potential contributions.</w:t>
      </w:r>
    </w:p>
    <w:p w14:paraId="24E1B8C9" w14:textId="77777777" w:rsidR="00F50C2A" w:rsidRDefault="00F50C2A" w:rsidP="00F50C2A">
      <w:pPr>
        <w:pStyle w:val="NormalWeb"/>
        <w:numPr>
          <w:ilvl w:val="0"/>
          <w:numId w:val="16"/>
        </w:numPr>
      </w:pPr>
      <w:r>
        <w:rPr>
          <w:rStyle w:val="Strong"/>
          <w:rFonts w:eastAsiaTheme="majorEastAsia"/>
        </w:rPr>
        <w:t>Optimize Margins:</w:t>
      </w:r>
    </w:p>
    <w:p w14:paraId="027AC52C" w14:textId="77777777" w:rsidR="00F50C2A" w:rsidRDefault="00F50C2A" w:rsidP="00F50C2A">
      <w:pPr>
        <w:numPr>
          <w:ilvl w:val="1"/>
          <w:numId w:val="16"/>
        </w:numPr>
        <w:spacing w:before="100" w:beforeAutospacing="1" w:after="100" w:afterAutospacing="1" w:line="240" w:lineRule="auto"/>
      </w:pPr>
      <w:r>
        <w:t>Evaluate gross margins across channels to ensure profitability, and prioritize investments in channels with the best balance of sales volume and profitability.</w:t>
      </w:r>
    </w:p>
    <w:p w14:paraId="205ABD15" w14:textId="579D46C3" w:rsidR="00F50C2A" w:rsidRDefault="00F50C2A" w:rsidP="00F50C2A">
      <w:pPr>
        <w:pStyle w:val="Heading3"/>
      </w:pPr>
      <w:r>
        <w:t>10-</w:t>
      </w:r>
      <w:r>
        <w:t xml:space="preserve">Top 3 Products by Division: Get the Top 3 products in each division that have a high total sold quantity in the fiscal year 2021? The final output contains these fields: - division - </w:t>
      </w:r>
      <w:proofErr w:type="spellStart"/>
      <w:r>
        <w:t>product_code</w:t>
      </w:r>
      <w:proofErr w:type="spellEnd"/>
      <w:r>
        <w:t xml:space="preserve"> - product - </w:t>
      </w:r>
      <w:proofErr w:type="spellStart"/>
      <w:r>
        <w:t>total_sold_quantity</w:t>
      </w:r>
      <w:proofErr w:type="spellEnd"/>
      <w:r>
        <w:t xml:space="preserve"> - </w:t>
      </w:r>
      <w:proofErr w:type="spellStart"/>
      <w:r>
        <w:t>rank_order</w:t>
      </w:r>
      <w:proofErr w:type="spellEnd"/>
      <w:r>
        <w:t xml:space="preserve">  </w:t>
      </w:r>
      <w:r>
        <w:br/>
      </w:r>
      <w:r>
        <w:rPr>
          <w:rStyle w:val="Strong"/>
          <w:b w:val="0"/>
          <w:bCs w:val="0"/>
        </w:rPr>
        <w:t>Top 3 Products by Division with High Total Sold Quantity (Fiscal Year 2021)</w:t>
      </w:r>
    </w:p>
    <w:p w14:paraId="54148ED7" w14:textId="77777777" w:rsidR="00F50C2A" w:rsidRDefault="00F50C2A" w:rsidP="00F50C2A">
      <w:pPr>
        <w:pStyle w:val="Heading4"/>
      </w:pPr>
      <w:r>
        <w:rPr>
          <w:rStyle w:val="Strong"/>
          <w:b w:val="0"/>
          <w:bCs w:val="0"/>
        </w:rPr>
        <w:t>Division-Wise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1303"/>
        <w:gridCol w:w="1806"/>
        <w:gridCol w:w="1802"/>
        <w:gridCol w:w="1113"/>
      </w:tblGrid>
      <w:tr w:rsidR="00F50C2A" w14:paraId="63584723" w14:textId="77777777" w:rsidTr="00F50C2A">
        <w:trPr>
          <w:tblHeader/>
          <w:tblCellSpacing w:w="15" w:type="dxa"/>
        </w:trPr>
        <w:tc>
          <w:tcPr>
            <w:tcW w:w="0" w:type="auto"/>
            <w:vAlign w:val="center"/>
            <w:hideMark/>
          </w:tcPr>
          <w:p w14:paraId="33B8C17F" w14:textId="77777777" w:rsidR="00F50C2A" w:rsidRDefault="00F50C2A">
            <w:pPr>
              <w:jc w:val="center"/>
              <w:rPr>
                <w:b/>
                <w:bCs/>
              </w:rPr>
            </w:pPr>
            <w:r>
              <w:rPr>
                <w:rStyle w:val="Strong"/>
              </w:rPr>
              <w:t>Division</w:t>
            </w:r>
          </w:p>
        </w:tc>
        <w:tc>
          <w:tcPr>
            <w:tcW w:w="0" w:type="auto"/>
            <w:vAlign w:val="center"/>
            <w:hideMark/>
          </w:tcPr>
          <w:p w14:paraId="51E3F47C" w14:textId="77777777" w:rsidR="00F50C2A" w:rsidRDefault="00F50C2A">
            <w:pPr>
              <w:jc w:val="center"/>
              <w:rPr>
                <w:b/>
                <w:bCs/>
              </w:rPr>
            </w:pPr>
            <w:r>
              <w:rPr>
                <w:rStyle w:val="Strong"/>
              </w:rPr>
              <w:t>Product Code</w:t>
            </w:r>
          </w:p>
        </w:tc>
        <w:tc>
          <w:tcPr>
            <w:tcW w:w="0" w:type="auto"/>
            <w:vAlign w:val="center"/>
            <w:hideMark/>
          </w:tcPr>
          <w:p w14:paraId="31272099" w14:textId="77777777" w:rsidR="00F50C2A" w:rsidRDefault="00F50C2A">
            <w:pPr>
              <w:jc w:val="center"/>
              <w:rPr>
                <w:b/>
                <w:bCs/>
              </w:rPr>
            </w:pPr>
            <w:r>
              <w:rPr>
                <w:rStyle w:val="Strong"/>
              </w:rPr>
              <w:t>Product</w:t>
            </w:r>
          </w:p>
        </w:tc>
        <w:tc>
          <w:tcPr>
            <w:tcW w:w="0" w:type="auto"/>
            <w:vAlign w:val="center"/>
            <w:hideMark/>
          </w:tcPr>
          <w:p w14:paraId="451A6878" w14:textId="77777777" w:rsidR="00F50C2A" w:rsidRDefault="00F50C2A">
            <w:pPr>
              <w:jc w:val="center"/>
              <w:rPr>
                <w:b/>
                <w:bCs/>
              </w:rPr>
            </w:pPr>
            <w:r>
              <w:rPr>
                <w:rStyle w:val="Strong"/>
              </w:rPr>
              <w:t>Total Sold Quantity</w:t>
            </w:r>
          </w:p>
        </w:tc>
        <w:tc>
          <w:tcPr>
            <w:tcW w:w="0" w:type="auto"/>
            <w:vAlign w:val="center"/>
            <w:hideMark/>
          </w:tcPr>
          <w:p w14:paraId="2126AA19" w14:textId="77777777" w:rsidR="00F50C2A" w:rsidRDefault="00F50C2A">
            <w:pPr>
              <w:jc w:val="center"/>
              <w:rPr>
                <w:b/>
                <w:bCs/>
              </w:rPr>
            </w:pPr>
            <w:r>
              <w:rPr>
                <w:rStyle w:val="Strong"/>
              </w:rPr>
              <w:t>Rank Order</w:t>
            </w:r>
          </w:p>
        </w:tc>
      </w:tr>
      <w:tr w:rsidR="00F50C2A" w14:paraId="08898085" w14:textId="77777777" w:rsidTr="00F50C2A">
        <w:trPr>
          <w:tblCellSpacing w:w="15" w:type="dxa"/>
        </w:trPr>
        <w:tc>
          <w:tcPr>
            <w:tcW w:w="0" w:type="auto"/>
            <w:vAlign w:val="center"/>
            <w:hideMark/>
          </w:tcPr>
          <w:p w14:paraId="4CAE038C" w14:textId="77777777" w:rsidR="00F50C2A" w:rsidRDefault="00F50C2A">
            <w:r>
              <w:rPr>
                <w:rStyle w:val="Strong"/>
              </w:rPr>
              <w:t>P &amp; A</w:t>
            </w:r>
          </w:p>
        </w:tc>
        <w:tc>
          <w:tcPr>
            <w:tcW w:w="0" w:type="auto"/>
            <w:vAlign w:val="center"/>
            <w:hideMark/>
          </w:tcPr>
          <w:p w14:paraId="4ACAF909" w14:textId="77777777" w:rsidR="00F50C2A" w:rsidRDefault="00F50C2A">
            <w:r>
              <w:t>A2319150302</w:t>
            </w:r>
          </w:p>
        </w:tc>
        <w:tc>
          <w:tcPr>
            <w:tcW w:w="0" w:type="auto"/>
            <w:vAlign w:val="center"/>
            <w:hideMark/>
          </w:tcPr>
          <w:p w14:paraId="67C0ACAD" w14:textId="77777777" w:rsidR="00F50C2A" w:rsidRDefault="00F50C2A">
            <w:r>
              <w:t>AQ Gamers Ms</w:t>
            </w:r>
          </w:p>
        </w:tc>
        <w:tc>
          <w:tcPr>
            <w:tcW w:w="0" w:type="auto"/>
            <w:vAlign w:val="center"/>
            <w:hideMark/>
          </w:tcPr>
          <w:p w14:paraId="65AD63F4" w14:textId="77777777" w:rsidR="00F50C2A" w:rsidRDefault="00F50C2A">
            <w:r>
              <w:t>428,498</w:t>
            </w:r>
          </w:p>
        </w:tc>
        <w:tc>
          <w:tcPr>
            <w:tcW w:w="0" w:type="auto"/>
            <w:vAlign w:val="center"/>
            <w:hideMark/>
          </w:tcPr>
          <w:p w14:paraId="47E07230" w14:textId="77777777" w:rsidR="00F50C2A" w:rsidRDefault="00F50C2A">
            <w:r>
              <w:t>1</w:t>
            </w:r>
          </w:p>
        </w:tc>
      </w:tr>
      <w:tr w:rsidR="00F50C2A" w14:paraId="5094C359" w14:textId="77777777" w:rsidTr="00F50C2A">
        <w:trPr>
          <w:tblCellSpacing w:w="15" w:type="dxa"/>
        </w:trPr>
        <w:tc>
          <w:tcPr>
            <w:tcW w:w="0" w:type="auto"/>
            <w:vAlign w:val="center"/>
            <w:hideMark/>
          </w:tcPr>
          <w:p w14:paraId="1E142311" w14:textId="77777777" w:rsidR="00F50C2A" w:rsidRDefault="00F50C2A"/>
        </w:tc>
        <w:tc>
          <w:tcPr>
            <w:tcW w:w="0" w:type="auto"/>
            <w:vAlign w:val="center"/>
            <w:hideMark/>
          </w:tcPr>
          <w:p w14:paraId="05921839" w14:textId="77777777" w:rsidR="00F50C2A" w:rsidRDefault="00F50C2A">
            <w:pPr>
              <w:rPr>
                <w:sz w:val="24"/>
                <w:szCs w:val="24"/>
              </w:rPr>
            </w:pPr>
            <w:r>
              <w:t>A2520150501</w:t>
            </w:r>
          </w:p>
        </w:tc>
        <w:tc>
          <w:tcPr>
            <w:tcW w:w="0" w:type="auto"/>
            <w:vAlign w:val="center"/>
            <w:hideMark/>
          </w:tcPr>
          <w:p w14:paraId="50B7FC67" w14:textId="77777777" w:rsidR="00F50C2A" w:rsidRDefault="00F50C2A">
            <w:r>
              <w:t>AQ Maxima Ms</w:t>
            </w:r>
          </w:p>
        </w:tc>
        <w:tc>
          <w:tcPr>
            <w:tcW w:w="0" w:type="auto"/>
            <w:vAlign w:val="center"/>
            <w:hideMark/>
          </w:tcPr>
          <w:p w14:paraId="3D5AD003" w14:textId="77777777" w:rsidR="00F50C2A" w:rsidRDefault="00F50C2A">
            <w:r>
              <w:t>419,865</w:t>
            </w:r>
          </w:p>
        </w:tc>
        <w:tc>
          <w:tcPr>
            <w:tcW w:w="0" w:type="auto"/>
            <w:vAlign w:val="center"/>
            <w:hideMark/>
          </w:tcPr>
          <w:p w14:paraId="5FEADFB3" w14:textId="77777777" w:rsidR="00F50C2A" w:rsidRDefault="00F50C2A">
            <w:r>
              <w:t>2</w:t>
            </w:r>
          </w:p>
        </w:tc>
      </w:tr>
      <w:tr w:rsidR="00F50C2A" w14:paraId="1238772E" w14:textId="77777777" w:rsidTr="00F50C2A">
        <w:trPr>
          <w:tblCellSpacing w:w="15" w:type="dxa"/>
        </w:trPr>
        <w:tc>
          <w:tcPr>
            <w:tcW w:w="0" w:type="auto"/>
            <w:vAlign w:val="center"/>
            <w:hideMark/>
          </w:tcPr>
          <w:p w14:paraId="761707B1" w14:textId="77777777" w:rsidR="00F50C2A" w:rsidRDefault="00F50C2A"/>
        </w:tc>
        <w:tc>
          <w:tcPr>
            <w:tcW w:w="0" w:type="auto"/>
            <w:vAlign w:val="center"/>
            <w:hideMark/>
          </w:tcPr>
          <w:p w14:paraId="6C8F13C0" w14:textId="77777777" w:rsidR="00F50C2A" w:rsidRDefault="00F50C2A">
            <w:pPr>
              <w:rPr>
                <w:sz w:val="24"/>
                <w:szCs w:val="24"/>
              </w:rPr>
            </w:pPr>
            <w:r>
              <w:t>A2520150504</w:t>
            </w:r>
          </w:p>
        </w:tc>
        <w:tc>
          <w:tcPr>
            <w:tcW w:w="0" w:type="auto"/>
            <w:vAlign w:val="center"/>
            <w:hideMark/>
          </w:tcPr>
          <w:p w14:paraId="47F58FBB" w14:textId="77777777" w:rsidR="00F50C2A" w:rsidRDefault="00F50C2A">
            <w:r>
              <w:t>AQ Maxima Ms</w:t>
            </w:r>
          </w:p>
        </w:tc>
        <w:tc>
          <w:tcPr>
            <w:tcW w:w="0" w:type="auto"/>
            <w:vAlign w:val="center"/>
            <w:hideMark/>
          </w:tcPr>
          <w:p w14:paraId="3297D0D3" w14:textId="77777777" w:rsidR="00F50C2A" w:rsidRDefault="00F50C2A">
            <w:r>
              <w:t>419,471</w:t>
            </w:r>
          </w:p>
        </w:tc>
        <w:tc>
          <w:tcPr>
            <w:tcW w:w="0" w:type="auto"/>
            <w:vAlign w:val="center"/>
            <w:hideMark/>
          </w:tcPr>
          <w:p w14:paraId="05330AF8" w14:textId="77777777" w:rsidR="00F50C2A" w:rsidRDefault="00F50C2A">
            <w:r>
              <w:t>3</w:t>
            </w:r>
          </w:p>
        </w:tc>
      </w:tr>
      <w:tr w:rsidR="00F50C2A" w14:paraId="20C40C35" w14:textId="77777777" w:rsidTr="00F50C2A">
        <w:trPr>
          <w:tblCellSpacing w:w="15" w:type="dxa"/>
        </w:trPr>
        <w:tc>
          <w:tcPr>
            <w:tcW w:w="0" w:type="auto"/>
            <w:vAlign w:val="center"/>
            <w:hideMark/>
          </w:tcPr>
          <w:p w14:paraId="1B40E433" w14:textId="77777777" w:rsidR="00F50C2A" w:rsidRDefault="00F50C2A">
            <w:r>
              <w:rPr>
                <w:rStyle w:val="Strong"/>
              </w:rPr>
              <w:t>N &amp; S</w:t>
            </w:r>
          </w:p>
        </w:tc>
        <w:tc>
          <w:tcPr>
            <w:tcW w:w="0" w:type="auto"/>
            <w:vAlign w:val="center"/>
            <w:hideMark/>
          </w:tcPr>
          <w:p w14:paraId="237F2CC1" w14:textId="77777777" w:rsidR="00F50C2A" w:rsidRDefault="00F50C2A">
            <w:r>
              <w:t>A6720160103</w:t>
            </w:r>
          </w:p>
        </w:tc>
        <w:tc>
          <w:tcPr>
            <w:tcW w:w="0" w:type="auto"/>
            <w:vAlign w:val="center"/>
            <w:hideMark/>
          </w:tcPr>
          <w:p w14:paraId="60E4B2BD" w14:textId="77777777" w:rsidR="00F50C2A" w:rsidRDefault="00F50C2A">
            <w:r>
              <w:t>AQ Pen Drive 2 IN 1</w:t>
            </w:r>
          </w:p>
        </w:tc>
        <w:tc>
          <w:tcPr>
            <w:tcW w:w="0" w:type="auto"/>
            <w:vAlign w:val="center"/>
            <w:hideMark/>
          </w:tcPr>
          <w:p w14:paraId="40A9F991" w14:textId="77777777" w:rsidR="00F50C2A" w:rsidRDefault="00F50C2A">
            <w:r>
              <w:t>701,373</w:t>
            </w:r>
          </w:p>
        </w:tc>
        <w:tc>
          <w:tcPr>
            <w:tcW w:w="0" w:type="auto"/>
            <w:vAlign w:val="center"/>
            <w:hideMark/>
          </w:tcPr>
          <w:p w14:paraId="53D801A5" w14:textId="77777777" w:rsidR="00F50C2A" w:rsidRDefault="00F50C2A">
            <w:r>
              <w:t>1</w:t>
            </w:r>
          </w:p>
        </w:tc>
      </w:tr>
      <w:tr w:rsidR="00F50C2A" w14:paraId="5EB7983D" w14:textId="77777777" w:rsidTr="00F50C2A">
        <w:trPr>
          <w:tblCellSpacing w:w="15" w:type="dxa"/>
        </w:trPr>
        <w:tc>
          <w:tcPr>
            <w:tcW w:w="0" w:type="auto"/>
            <w:vAlign w:val="center"/>
            <w:hideMark/>
          </w:tcPr>
          <w:p w14:paraId="1C150AFF" w14:textId="77777777" w:rsidR="00F50C2A" w:rsidRDefault="00F50C2A"/>
        </w:tc>
        <w:tc>
          <w:tcPr>
            <w:tcW w:w="0" w:type="auto"/>
            <w:vAlign w:val="center"/>
            <w:hideMark/>
          </w:tcPr>
          <w:p w14:paraId="6E53A5E3" w14:textId="77777777" w:rsidR="00F50C2A" w:rsidRDefault="00F50C2A">
            <w:pPr>
              <w:rPr>
                <w:sz w:val="24"/>
                <w:szCs w:val="24"/>
              </w:rPr>
            </w:pPr>
            <w:r>
              <w:t>A6818160202</w:t>
            </w:r>
          </w:p>
        </w:tc>
        <w:tc>
          <w:tcPr>
            <w:tcW w:w="0" w:type="auto"/>
            <w:vAlign w:val="center"/>
            <w:hideMark/>
          </w:tcPr>
          <w:p w14:paraId="1A0FD9B9" w14:textId="77777777" w:rsidR="00F50C2A" w:rsidRDefault="00F50C2A">
            <w:r>
              <w:t>AQ Pen Drive DRC</w:t>
            </w:r>
          </w:p>
        </w:tc>
        <w:tc>
          <w:tcPr>
            <w:tcW w:w="0" w:type="auto"/>
            <w:vAlign w:val="center"/>
            <w:hideMark/>
          </w:tcPr>
          <w:p w14:paraId="6D20432E" w14:textId="77777777" w:rsidR="00F50C2A" w:rsidRDefault="00F50C2A">
            <w:r>
              <w:t>688,003</w:t>
            </w:r>
          </w:p>
        </w:tc>
        <w:tc>
          <w:tcPr>
            <w:tcW w:w="0" w:type="auto"/>
            <w:vAlign w:val="center"/>
            <w:hideMark/>
          </w:tcPr>
          <w:p w14:paraId="09BE25AA" w14:textId="77777777" w:rsidR="00F50C2A" w:rsidRDefault="00F50C2A">
            <w:r>
              <w:t>2</w:t>
            </w:r>
          </w:p>
        </w:tc>
      </w:tr>
      <w:tr w:rsidR="00F50C2A" w14:paraId="2B022FC0" w14:textId="77777777" w:rsidTr="00F50C2A">
        <w:trPr>
          <w:tblCellSpacing w:w="15" w:type="dxa"/>
        </w:trPr>
        <w:tc>
          <w:tcPr>
            <w:tcW w:w="0" w:type="auto"/>
            <w:vAlign w:val="center"/>
            <w:hideMark/>
          </w:tcPr>
          <w:p w14:paraId="44583FD1" w14:textId="77777777" w:rsidR="00F50C2A" w:rsidRDefault="00F50C2A"/>
        </w:tc>
        <w:tc>
          <w:tcPr>
            <w:tcW w:w="0" w:type="auto"/>
            <w:vAlign w:val="center"/>
            <w:hideMark/>
          </w:tcPr>
          <w:p w14:paraId="0894FEBC" w14:textId="77777777" w:rsidR="00F50C2A" w:rsidRDefault="00F50C2A">
            <w:pPr>
              <w:rPr>
                <w:sz w:val="24"/>
                <w:szCs w:val="24"/>
              </w:rPr>
            </w:pPr>
            <w:r>
              <w:t>A6819160203</w:t>
            </w:r>
          </w:p>
        </w:tc>
        <w:tc>
          <w:tcPr>
            <w:tcW w:w="0" w:type="auto"/>
            <w:vAlign w:val="center"/>
            <w:hideMark/>
          </w:tcPr>
          <w:p w14:paraId="56FD228D" w14:textId="77777777" w:rsidR="00F50C2A" w:rsidRDefault="00F50C2A">
            <w:r>
              <w:t>AQ Pen Drive DRC</w:t>
            </w:r>
          </w:p>
        </w:tc>
        <w:tc>
          <w:tcPr>
            <w:tcW w:w="0" w:type="auto"/>
            <w:vAlign w:val="center"/>
            <w:hideMark/>
          </w:tcPr>
          <w:p w14:paraId="4823542A" w14:textId="77777777" w:rsidR="00F50C2A" w:rsidRDefault="00F50C2A">
            <w:r>
              <w:t>676,245</w:t>
            </w:r>
          </w:p>
        </w:tc>
        <w:tc>
          <w:tcPr>
            <w:tcW w:w="0" w:type="auto"/>
            <w:vAlign w:val="center"/>
            <w:hideMark/>
          </w:tcPr>
          <w:p w14:paraId="0E609A0A" w14:textId="77777777" w:rsidR="00F50C2A" w:rsidRDefault="00F50C2A">
            <w:r>
              <w:t>3</w:t>
            </w:r>
          </w:p>
        </w:tc>
      </w:tr>
      <w:tr w:rsidR="00F50C2A" w14:paraId="7A3DFDE9" w14:textId="77777777" w:rsidTr="00F50C2A">
        <w:trPr>
          <w:tblCellSpacing w:w="15" w:type="dxa"/>
        </w:trPr>
        <w:tc>
          <w:tcPr>
            <w:tcW w:w="0" w:type="auto"/>
            <w:vAlign w:val="center"/>
            <w:hideMark/>
          </w:tcPr>
          <w:p w14:paraId="0DEEA27C" w14:textId="77777777" w:rsidR="00F50C2A" w:rsidRDefault="00F50C2A">
            <w:r>
              <w:rPr>
                <w:rStyle w:val="Strong"/>
              </w:rPr>
              <w:t>PC</w:t>
            </w:r>
          </w:p>
        </w:tc>
        <w:tc>
          <w:tcPr>
            <w:tcW w:w="0" w:type="auto"/>
            <w:vAlign w:val="center"/>
            <w:hideMark/>
          </w:tcPr>
          <w:p w14:paraId="16DC1856" w14:textId="77777777" w:rsidR="00F50C2A" w:rsidRDefault="00F50C2A">
            <w:r>
              <w:t>A4218110202</w:t>
            </w:r>
          </w:p>
        </w:tc>
        <w:tc>
          <w:tcPr>
            <w:tcW w:w="0" w:type="auto"/>
            <w:vAlign w:val="center"/>
            <w:hideMark/>
          </w:tcPr>
          <w:p w14:paraId="149E51F1" w14:textId="77777777" w:rsidR="00F50C2A" w:rsidRDefault="00F50C2A">
            <w:r>
              <w:t>AQ Digit</w:t>
            </w:r>
          </w:p>
        </w:tc>
        <w:tc>
          <w:tcPr>
            <w:tcW w:w="0" w:type="auto"/>
            <w:vAlign w:val="center"/>
            <w:hideMark/>
          </w:tcPr>
          <w:p w14:paraId="18BA54F5" w14:textId="77777777" w:rsidR="00F50C2A" w:rsidRDefault="00F50C2A">
            <w:r>
              <w:t>17,434</w:t>
            </w:r>
          </w:p>
        </w:tc>
        <w:tc>
          <w:tcPr>
            <w:tcW w:w="0" w:type="auto"/>
            <w:vAlign w:val="center"/>
            <w:hideMark/>
          </w:tcPr>
          <w:p w14:paraId="3F59FCA4" w14:textId="77777777" w:rsidR="00F50C2A" w:rsidRDefault="00F50C2A">
            <w:r>
              <w:t>1</w:t>
            </w:r>
          </w:p>
        </w:tc>
      </w:tr>
      <w:tr w:rsidR="00F50C2A" w14:paraId="353D1734" w14:textId="77777777" w:rsidTr="00F50C2A">
        <w:trPr>
          <w:tblCellSpacing w:w="15" w:type="dxa"/>
        </w:trPr>
        <w:tc>
          <w:tcPr>
            <w:tcW w:w="0" w:type="auto"/>
            <w:vAlign w:val="center"/>
            <w:hideMark/>
          </w:tcPr>
          <w:p w14:paraId="3742C7C9" w14:textId="77777777" w:rsidR="00F50C2A" w:rsidRDefault="00F50C2A"/>
        </w:tc>
        <w:tc>
          <w:tcPr>
            <w:tcW w:w="0" w:type="auto"/>
            <w:vAlign w:val="center"/>
            <w:hideMark/>
          </w:tcPr>
          <w:p w14:paraId="17F7327A" w14:textId="77777777" w:rsidR="00F50C2A" w:rsidRDefault="00F50C2A">
            <w:pPr>
              <w:rPr>
                <w:sz w:val="24"/>
                <w:szCs w:val="24"/>
              </w:rPr>
            </w:pPr>
            <w:r>
              <w:t>A4319110306</w:t>
            </w:r>
          </w:p>
        </w:tc>
        <w:tc>
          <w:tcPr>
            <w:tcW w:w="0" w:type="auto"/>
            <w:vAlign w:val="center"/>
            <w:hideMark/>
          </w:tcPr>
          <w:p w14:paraId="01583E9A" w14:textId="77777777" w:rsidR="00F50C2A" w:rsidRDefault="00F50C2A">
            <w:r>
              <w:t>AQ Velocity</w:t>
            </w:r>
          </w:p>
        </w:tc>
        <w:tc>
          <w:tcPr>
            <w:tcW w:w="0" w:type="auto"/>
            <w:vAlign w:val="center"/>
            <w:hideMark/>
          </w:tcPr>
          <w:p w14:paraId="316649FA" w14:textId="77777777" w:rsidR="00F50C2A" w:rsidRDefault="00F50C2A">
            <w:r>
              <w:t>17,280</w:t>
            </w:r>
          </w:p>
        </w:tc>
        <w:tc>
          <w:tcPr>
            <w:tcW w:w="0" w:type="auto"/>
            <w:vAlign w:val="center"/>
            <w:hideMark/>
          </w:tcPr>
          <w:p w14:paraId="3C30BFDB" w14:textId="77777777" w:rsidR="00F50C2A" w:rsidRDefault="00F50C2A">
            <w:r>
              <w:t>2</w:t>
            </w:r>
          </w:p>
        </w:tc>
      </w:tr>
      <w:tr w:rsidR="00F50C2A" w14:paraId="5FB3A3CF" w14:textId="77777777" w:rsidTr="00F50C2A">
        <w:trPr>
          <w:tblCellSpacing w:w="15" w:type="dxa"/>
        </w:trPr>
        <w:tc>
          <w:tcPr>
            <w:tcW w:w="0" w:type="auto"/>
            <w:vAlign w:val="center"/>
            <w:hideMark/>
          </w:tcPr>
          <w:p w14:paraId="03AFF192" w14:textId="77777777" w:rsidR="00F50C2A" w:rsidRDefault="00F50C2A"/>
        </w:tc>
        <w:tc>
          <w:tcPr>
            <w:tcW w:w="0" w:type="auto"/>
            <w:vAlign w:val="center"/>
            <w:hideMark/>
          </w:tcPr>
          <w:p w14:paraId="0FD3330D" w14:textId="77777777" w:rsidR="00F50C2A" w:rsidRDefault="00F50C2A">
            <w:pPr>
              <w:rPr>
                <w:sz w:val="24"/>
                <w:szCs w:val="24"/>
              </w:rPr>
            </w:pPr>
            <w:r>
              <w:t>A4218110208</w:t>
            </w:r>
          </w:p>
        </w:tc>
        <w:tc>
          <w:tcPr>
            <w:tcW w:w="0" w:type="auto"/>
            <w:vAlign w:val="center"/>
            <w:hideMark/>
          </w:tcPr>
          <w:p w14:paraId="345A385D" w14:textId="77777777" w:rsidR="00F50C2A" w:rsidRDefault="00F50C2A">
            <w:r>
              <w:t>AQ Digit</w:t>
            </w:r>
          </w:p>
        </w:tc>
        <w:tc>
          <w:tcPr>
            <w:tcW w:w="0" w:type="auto"/>
            <w:vAlign w:val="center"/>
            <w:hideMark/>
          </w:tcPr>
          <w:p w14:paraId="04311BEF" w14:textId="77777777" w:rsidR="00F50C2A" w:rsidRDefault="00F50C2A">
            <w:r>
              <w:t>17,275</w:t>
            </w:r>
          </w:p>
        </w:tc>
        <w:tc>
          <w:tcPr>
            <w:tcW w:w="0" w:type="auto"/>
            <w:vAlign w:val="center"/>
            <w:hideMark/>
          </w:tcPr>
          <w:p w14:paraId="6B0952A0" w14:textId="77777777" w:rsidR="00F50C2A" w:rsidRDefault="00F50C2A">
            <w:r>
              <w:t>3</w:t>
            </w:r>
          </w:p>
        </w:tc>
      </w:tr>
    </w:tbl>
    <w:p w14:paraId="09A01465" w14:textId="77777777" w:rsidR="00F50C2A" w:rsidRDefault="00F50C2A" w:rsidP="00F50C2A">
      <w:r>
        <w:pict w14:anchorId="35874FAF">
          <v:rect id="_x0000_i1055" style="width:0;height:1.5pt" o:hralign="center" o:hrstd="t" o:hr="t" fillcolor="#a0a0a0" stroked="f"/>
        </w:pict>
      </w:r>
    </w:p>
    <w:p w14:paraId="5D3B1226" w14:textId="77777777" w:rsidR="00F50C2A" w:rsidRDefault="00F50C2A" w:rsidP="00F50C2A">
      <w:pPr>
        <w:pStyle w:val="Heading3"/>
      </w:pPr>
      <w:r>
        <w:rPr>
          <w:rStyle w:val="Strong"/>
          <w:b w:val="0"/>
          <w:bCs w:val="0"/>
        </w:rPr>
        <w:t>Insights:</w:t>
      </w:r>
    </w:p>
    <w:p w14:paraId="3E342322" w14:textId="77777777" w:rsidR="00F50C2A" w:rsidRDefault="00F50C2A" w:rsidP="00F50C2A">
      <w:pPr>
        <w:pStyle w:val="NormalWeb"/>
        <w:numPr>
          <w:ilvl w:val="0"/>
          <w:numId w:val="17"/>
        </w:numPr>
      </w:pPr>
      <w:r>
        <w:rPr>
          <w:rStyle w:val="Strong"/>
          <w:rFonts w:eastAsiaTheme="majorEastAsia"/>
        </w:rPr>
        <w:t>P &amp; A (Peripherals &amp; Accessories):</w:t>
      </w:r>
    </w:p>
    <w:p w14:paraId="71349555" w14:textId="77777777" w:rsidR="00F50C2A" w:rsidRDefault="00F50C2A" w:rsidP="00F50C2A">
      <w:pPr>
        <w:numPr>
          <w:ilvl w:val="1"/>
          <w:numId w:val="17"/>
        </w:numPr>
        <w:spacing w:before="100" w:beforeAutospacing="1" w:after="100" w:afterAutospacing="1" w:line="240" w:lineRule="auto"/>
      </w:pPr>
      <w:r>
        <w:t xml:space="preserve">The </w:t>
      </w:r>
      <w:r>
        <w:rPr>
          <w:rStyle w:val="Strong"/>
        </w:rPr>
        <w:t>P &amp; A division</w:t>
      </w:r>
      <w:r>
        <w:t xml:space="preserve"> has the highest-selling product, </w:t>
      </w:r>
      <w:r>
        <w:rPr>
          <w:rStyle w:val="Strong"/>
        </w:rPr>
        <w:t>AQ Gamers Ms</w:t>
      </w:r>
      <w:r>
        <w:t xml:space="preserve">, with a total of </w:t>
      </w:r>
      <w:r>
        <w:rPr>
          <w:rStyle w:val="Strong"/>
        </w:rPr>
        <w:t>428,498 units sold</w:t>
      </w:r>
      <w:r>
        <w:t>.</w:t>
      </w:r>
    </w:p>
    <w:p w14:paraId="0951D0BF" w14:textId="77777777" w:rsidR="00F50C2A" w:rsidRDefault="00F50C2A" w:rsidP="00F50C2A">
      <w:pPr>
        <w:numPr>
          <w:ilvl w:val="1"/>
          <w:numId w:val="17"/>
        </w:numPr>
        <w:spacing w:before="100" w:beforeAutospacing="1" w:after="100" w:afterAutospacing="1" w:line="240" w:lineRule="auto"/>
      </w:pPr>
      <w:r>
        <w:t>Products in this division generally focus on gaming and everyday accessories, which cater to mass-market demand.</w:t>
      </w:r>
    </w:p>
    <w:p w14:paraId="22C1F466" w14:textId="77777777" w:rsidR="00F50C2A" w:rsidRDefault="00F50C2A" w:rsidP="00F50C2A">
      <w:pPr>
        <w:pStyle w:val="NormalWeb"/>
        <w:numPr>
          <w:ilvl w:val="0"/>
          <w:numId w:val="17"/>
        </w:numPr>
      </w:pPr>
      <w:r>
        <w:rPr>
          <w:rStyle w:val="Strong"/>
          <w:rFonts w:eastAsiaTheme="majorEastAsia"/>
        </w:rPr>
        <w:t>N &amp; S (Network &amp; Storage):</w:t>
      </w:r>
    </w:p>
    <w:p w14:paraId="05C9ABB3" w14:textId="77777777" w:rsidR="00F50C2A" w:rsidRDefault="00F50C2A" w:rsidP="00F50C2A">
      <w:pPr>
        <w:numPr>
          <w:ilvl w:val="1"/>
          <w:numId w:val="17"/>
        </w:numPr>
        <w:spacing w:before="100" w:beforeAutospacing="1" w:after="100" w:afterAutospacing="1" w:line="240" w:lineRule="auto"/>
      </w:pPr>
      <w:r>
        <w:t xml:space="preserve">The top product here is </w:t>
      </w:r>
      <w:r>
        <w:rPr>
          <w:rStyle w:val="Strong"/>
        </w:rPr>
        <w:t>AQ Pen Drive 2 IN 1</w:t>
      </w:r>
      <w:r>
        <w:t xml:space="preserve">, with </w:t>
      </w:r>
      <w:r>
        <w:rPr>
          <w:rStyle w:val="Strong"/>
        </w:rPr>
        <w:t>701,373 units sold</w:t>
      </w:r>
      <w:r>
        <w:t>, showcasing the demand for portable and dual-purpose storage devices.</w:t>
      </w:r>
    </w:p>
    <w:p w14:paraId="24CC9FCF" w14:textId="77777777" w:rsidR="00F50C2A" w:rsidRDefault="00F50C2A" w:rsidP="00F50C2A">
      <w:pPr>
        <w:numPr>
          <w:ilvl w:val="1"/>
          <w:numId w:val="17"/>
        </w:numPr>
        <w:spacing w:before="100" w:beforeAutospacing="1" w:after="100" w:afterAutospacing="1" w:line="240" w:lineRule="auto"/>
      </w:pPr>
      <w:r>
        <w:t>Pen drives dominate the top spots, highlighting consistent demand in the storage segment.</w:t>
      </w:r>
    </w:p>
    <w:p w14:paraId="591BA15D" w14:textId="77777777" w:rsidR="00F50C2A" w:rsidRDefault="00F50C2A" w:rsidP="00F50C2A">
      <w:pPr>
        <w:pStyle w:val="NormalWeb"/>
        <w:numPr>
          <w:ilvl w:val="0"/>
          <w:numId w:val="17"/>
        </w:numPr>
      </w:pPr>
      <w:r>
        <w:rPr>
          <w:rStyle w:val="Strong"/>
          <w:rFonts w:eastAsiaTheme="majorEastAsia"/>
        </w:rPr>
        <w:t>PC (Personal Computer):</w:t>
      </w:r>
    </w:p>
    <w:p w14:paraId="140A4C79" w14:textId="77777777" w:rsidR="00F50C2A" w:rsidRDefault="00F50C2A" w:rsidP="00F50C2A">
      <w:pPr>
        <w:numPr>
          <w:ilvl w:val="1"/>
          <w:numId w:val="17"/>
        </w:numPr>
        <w:spacing w:before="100" w:beforeAutospacing="1" w:after="100" w:afterAutospacing="1" w:line="240" w:lineRule="auto"/>
      </w:pPr>
      <w:r>
        <w:rPr>
          <w:rStyle w:val="Strong"/>
        </w:rPr>
        <w:t>AQ Digit</w:t>
      </w:r>
      <w:r>
        <w:t xml:space="preserve"> leads in this division with </w:t>
      </w:r>
      <w:r>
        <w:rPr>
          <w:rStyle w:val="Strong"/>
        </w:rPr>
        <w:t>17,434 units sold</w:t>
      </w:r>
      <w:r>
        <w:t>, which is significantly lower compared to the other divisions.</w:t>
      </w:r>
    </w:p>
    <w:p w14:paraId="6A246FB5" w14:textId="77777777" w:rsidR="00F50C2A" w:rsidRDefault="00F50C2A" w:rsidP="00F50C2A">
      <w:pPr>
        <w:numPr>
          <w:ilvl w:val="1"/>
          <w:numId w:val="17"/>
        </w:numPr>
        <w:spacing w:before="100" w:beforeAutospacing="1" w:after="100" w:afterAutospacing="1" w:line="240" w:lineRule="auto"/>
      </w:pPr>
      <w:r>
        <w:t>This indicates that PCs cater to niche markets or represent a smaller customer segment.</w:t>
      </w:r>
    </w:p>
    <w:p w14:paraId="12DE63F9" w14:textId="77777777" w:rsidR="00F50C2A" w:rsidRDefault="00F50C2A" w:rsidP="00F50C2A">
      <w:pPr>
        <w:spacing w:after="0"/>
      </w:pPr>
      <w:r>
        <w:pict w14:anchorId="2308B6D5">
          <v:rect id="_x0000_i1056" style="width:0;height:1.5pt" o:hralign="center" o:hrstd="t" o:hr="t" fillcolor="#a0a0a0" stroked="f"/>
        </w:pict>
      </w:r>
    </w:p>
    <w:p w14:paraId="78AE0C8A" w14:textId="77777777" w:rsidR="00F50C2A" w:rsidRDefault="00F50C2A" w:rsidP="00F50C2A">
      <w:pPr>
        <w:pStyle w:val="Heading3"/>
      </w:pPr>
      <w:r>
        <w:rPr>
          <w:rStyle w:val="Strong"/>
          <w:b w:val="0"/>
          <w:bCs w:val="0"/>
        </w:rPr>
        <w:t>Recommendations:</w:t>
      </w:r>
    </w:p>
    <w:p w14:paraId="4823F61B" w14:textId="77777777" w:rsidR="00F50C2A" w:rsidRDefault="00F50C2A" w:rsidP="00F50C2A">
      <w:pPr>
        <w:pStyle w:val="NormalWeb"/>
        <w:numPr>
          <w:ilvl w:val="0"/>
          <w:numId w:val="18"/>
        </w:numPr>
      </w:pPr>
      <w:r>
        <w:rPr>
          <w:rStyle w:val="Strong"/>
          <w:rFonts w:eastAsiaTheme="majorEastAsia"/>
        </w:rPr>
        <w:t>Maximize P &amp; A Division Success:</w:t>
      </w:r>
    </w:p>
    <w:p w14:paraId="26A539E9" w14:textId="77777777" w:rsidR="00F50C2A" w:rsidRDefault="00F50C2A" w:rsidP="00F50C2A">
      <w:pPr>
        <w:numPr>
          <w:ilvl w:val="1"/>
          <w:numId w:val="18"/>
        </w:numPr>
        <w:spacing w:before="100" w:beforeAutospacing="1" w:after="100" w:afterAutospacing="1" w:line="240" w:lineRule="auto"/>
      </w:pPr>
      <w:r>
        <w:t xml:space="preserve">Invest in scaling the production and marketing of the </w:t>
      </w:r>
      <w:r>
        <w:rPr>
          <w:rStyle w:val="Strong"/>
        </w:rPr>
        <w:t>AQ Gamers Ms</w:t>
      </w:r>
      <w:r>
        <w:t xml:space="preserve"> and </w:t>
      </w:r>
      <w:r>
        <w:rPr>
          <w:rStyle w:val="Strong"/>
        </w:rPr>
        <w:t>AQ Maxima Ms</w:t>
      </w:r>
      <w:r>
        <w:t xml:space="preserve"> lines.</w:t>
      </w:r>
    </w:p>
    <w:p w14:paraId="2BAB59CA" w14:textId="77777777" w:rsidR="00F50C2A" w:rsidRDefault="00F50C2A" w:rsidP="00F50C2A">
      <w:pPr>
        <w:numPr>
          <w:ilvl w:val="1"/>
          <w:numId w:val="18"/>
        </w:numPr>
        <w:spacing w:before="100" w:beforeAutospacing="1" w:after="100" w:afterAutospacing="1" w:line="240" w:lineRule="auto"/>
      </w:pPr>
      <w:r>
        <w:t>Leverage promotions targeting gamers and tech enthusiasts to sustain demand.</w:t>
      </w:r>
    </w:p>
    <w:p w14:paraId="67A0726C" w14:textId="77777777" w:rsidR="00F50C2A" w:rsidRDefault="00F50C2A" w:rsidP="00F50C2A">
      <w:pPr>
        <w:pStyle w:val="NormalWeb"/>
        <w:numPr>
          <w:ilvl w:val="0"/>
          <w:numId w:val="18"/>
        </w:numPr>
      </w:pPr>
      <w:r>
        <w:rPr>
          <w:rStyle w:val="Strong"/>
          <w:rFonts w:eastAsiaTheme="majorEastAsia"/>
        </w:rPr>
        <w:t>Capitalize on Storage Demand:</w:t>
      </w:r>
    </w:p>
    <w:p w14:paraId="1152837C" w14:textId="77777777" w:rsidR="00F50C2A" w:rsidRDefault="00F50C2A" w:rsidP="00F50C2A">
      <w:pPr>
        <w:numPr>
          <w:ilvl w:val="1"/>
          <w:numId w:val="18"/>
        </w:numPr>
        <w:spacing w:before="100" w:beforeAutospacing="1" w:after="100" w:afterAutospacing="1" w:line="240" w:lineRule="auto"/>
      </w:pPr>
      <w:r>
        <w:t xml:space="preserve">The dominance of pen drives in the </w:t>
      </w:r>
      <w:r>
        <w:rPr>
          <w:rStyle w:val="Strong"/>
        </w:rPr>
        <w:t>N &amp; S division</w:t>
      </w:r>
      <w:r>
        <w:t xml:space="preserve"> suggests an opportunity to expand this product line. Introduce innovative storage products with higher capacity and enhanced features.</w:t>
      </w:r>
    </w:p>
    <w:p w14:paraId="258AF541" w14:textId="77777777" w:rsidR="00F50C2A" w:rsidRDefault="00F50C2A" w:rsidP="00F50C2A">
      <w:pPr>
        <w:pStyle w:val="NormalWeb"/>
        <w:numPr>
          <w:ilvl w:val="0"/>
          <w:numId w:val="18"/>
        </w:numPr>
      </w:pPr>
      <w:r>
        <w:rPr>
          <w:rStyle w:val="Strong"/>
          <w:rFonts w:eastAsiaTheme="majorEastAsia"/>
        </w:rPr>
        <w:t>Revive PC Segment Sales:</w:t>
      </w:r>
    </w:p>
    <w:p w14:paraId="5EEF83D8" w14:textId="77777777" w:rsidR="00F50C2A" w:rsidRDefault="00F50C2A" w:rsidP="00F50C2A">
      <w:pPr>
        <w:numPr>
          <w:ilvl w:val="1"/>
          <w:numId w:val="18"/>
        </w:numPr>
        <w:spacing w:before="100" w:beforeAutospacing="1" w:after="100" w:afterAutospacing="1" w:line="240" w:lineRule="auto"/>
      </w:pPr>
      <w:r>
        <w:t xml:space="preserve">Focus on enhancing the marketability of </w:t>
      </w:r>
      <w:r>
        <w:rPr>
          <w:rStyle w:val="Strong"/>
        </w:rPr>
        <w:t>PC products</w:t>
      </w:r>
      <w:r>
        <w:t xml:space="preserve">, like </w:t>
      </w:r>
      <w:r>
        <w:rPr>
          <w:rStyle w:val="Strong"/>
        </w:rPr>
        <w:t>AQ Digit</w:t>
      </w:r>
      <w:r>
        <w:t xml:space="preserve"> and </w:t>
      </w:r>
      <w:r>
        <w:rPr>
          <w:rStyle w:val="Strong"/>
        </w:rPr>
        <w:t>AQ Velocity</w:t>
      </w:r>
      <w:r>
        <w:t>, by bundling them with complementary accessories or offering competitive pricing.</w:t>
      </w:r>
    </w:p>
    <w:p w14:paraId="25A1EF61" w14:textId="77777777" w:rsidR="00F50C2A" w:rsidRDefault="00F50C2A" w:rsidP="00F50C2A">
      <w:pPr>
        <w:pStyle w:val="NormalWeb"/>
        <w:numPr>
          <w:ilvl w:val="0"/>
          <w:numId w:val="18"/>
        </w:numPr>
      </w:pPr>
      <w:r>
        <w:rPr>
          <w:rStyle w:val="Strong"/>
          <w:rFonts w:eastAsiaTheme="majorEastAsia"/>
        </w:rPr>
        <w:t>Target Emerging Markets:</w:t>
      </w:r>
    </w:p>
    <w:p w14:paraId="50692405" w14:textId="77777777" w:rsidR="00F50C2A" w:rsidRDefault="00F50C2A" w:rsidP="00F50C2A">
      <w:pPr>
        <w:numPr>
          <w:ilvl w:val="1"/>
          <w:numId w:val="18"/>
        </w:numPr>
        <w:spacing w:before="100" w:beforeAutospacing="1" w:after="100" w:afterAutospacing="1" w:line="240" w:lineRule="auto"/>
      </w:pPr>
      <w:r>
        <w:t>Assess geographic regions where these top-performing products can penetrate further and launch targeted campaigns.</w:t>
      </w:r>
    </w:p>
    <w:p w14:paraId="6C97AE1A" w14:textId="77777777" w:rsidR="00F50C2A" w:rsidRDefault="00F50C2A" w:rsidP="00F50C2A">
      <w:pPr>
        <w:pStyle w:val="NormalWeb"/>
        <w:numPr>
          <w:ilvl w:val="0"/>
          <w:numId w:val="18"/>
        </w:numPr>
      </w:pPr>
      <w:r>
        <w:rPr>
          <w:rStyle w:val="Strong"/>
          <w:rFonts w:eastAsiaTheme="majorEastAsia"/>
        </w:rPr>
        <w:t>Product Development &amp; Innovation:</w:t>
      </w:r>
    </w:p>
    <w:p w14:paraId="11FF16EE" w14:textId="77777777" w:rsidR="00F50C2A" w:rsidRDefault="00F50C2A" w:rsidP="00F50C2A">
      <w:pPr>
        <w:numPr>
          <w:ilvl w:val="1"/>
          <w:numId w:val="18"/>
        </w:numPr>
        <w:spacing w:before="100" w:beforeAutospacing="1" w:after="100" w:afterAutospacing="1" w:line="240" w:lineRule="auto"/>
      </w:pPr>
      <w:r>
        <w:t xml:space="preserve">Conduct customer surveys to understand preferences for </w:t>
      </w:r>
      <w:r>
        <w:rPr>
          <w:rStyle w:val="Strong"/>
        </w:rPr>
        <w:t>P &amp; A</w:t>
      </w:r>
      <w:r>
        <w:t xml:space="preserve"> and </w:t>
      </w:r>
      <w:r>
        <w:rPr>
          <w:rStyle w:val="Strong"/>
        </w:rPr>
        <w:t>N &amp; S divisions</w:t>
      </w:r>
      <w:r>
        <w:t>, and invest in innovation to maintain a competitive edge.</w:t>
      </w:r>
    </w:p>
    <w:p w14:paraId="1C1F9791" w14:textId="77777777" w:rsidR="00571B00" w:rsidRDefault="00571B00" w:rsidP="00571B00">
      <w:pPr>
        <w:pStyle w:val="Heading4"/>
      </w:pPr>
      <w:r>
        <w:rPr>
          <w:rStyle w:val="Strong"/>
          <w:b w:val="0"/>
          <w:bCs w:val="0"/>
        </w:rPr>
        <w:t>Slide 1: Title Slide</w:t>
      </w:r>
    </w:p>
    <w:p w14:paraId="03064615" w14:textId="77777777" w:rsidR="00571B00" w:rsidRDefault="00571B00" w:rsidP="00571B00">
      <w:pPr>
        <w:pStyle w:val="NormalWeb"/>
      </w:pPr>
      <w:r>
        <w:rPr>
          <w:rStyle w:val="Strong"/>
          <w:rFonts w:eastAsiaTheme="majorEastAsia"/>
        </w:rPr>
        <w:t>Title</w:t>
      </w:r>
      <w:r>
        <w:t xml:space="preserve">: </w:t>
      </w:r>
      <w:r>
        <w:rPr>
          <w:rStyle w:val="Emphasis"/>
          <w:rFonts w:eastAsiaTheme="majorEastAsia"/>
        </w:rPr>
        <w:t>Strategic Insights and Recommendations for Atliq Hardware</w:t>
      </w:r>
      <w:r>
        <w:br/>
      </w:r>
      <w:r>
        <w:rPr>
          <w:rStyle w:val="Strong"/>
          <w:rFonts w:eastAsiaTheme="majorEastAsia"/>
        </w:rPr>
        <w:t>Subtitle</w:t>
      </w:r>
      <w:r>
        <w:t>: Leveraging Data to Drive Smarter Decisions</w:t>
      </w:r>
      <w:r>
        <w:br/>
      </w:r>
      <w:r>
        <w:rPr>
          <w:rStyle w:val="Strong"/>
          <w:rFonts w:eastAsiaTheme="majorEastAsia"/>
        </w:rPr>
        <w:t>Prepared By</w:t>
      </w:r>
      <w:r>
        <w:t>: [Your Name]</w:t>
      </w:r>
      <w:r>
        <w:br/>
      </w:r>
      <w:r>
        <w:rPr>
          <w:rStyle w:val="Strong"/>
          <w:rFonts w:eastAsiaTheme="majorEastAsia"/>
        </w:rPr>
        <w:t>Date</w:t>
      </w:r>
      <w:r>
        <w:t>: [Insert Date]</w:t>
      </w:r>
    </w:p>
    <w:p w14:paraId="22BB5425" w14:textId="77777777" w:rsidR="00571B00" w:rsidRDefault="00571B00" w:rsidP="00571B00">
      <w:r>
        <w:pict w14:anchorId="0A27BB9F">
          <v:rect id="_x0000_i1059" style="width:0;height:1.5pt" o:hralign="center" o:hrstd="t" o:hr="t" fillcolor="#a0a0a0" stroked="f"/>
        </w:pict>
      </w:r>
    </w:p>
    <w:p w14:paraId="0797D1FC" w14:textId="77777777" w:rsidR="00571B00" w:rsidRDefault="00571B00" w:rsidP="00571B00">
      <w:pPr>
        <w:pStyle w:val="Heading4"/>
      </w:pPr>
      <w:r>
        <w:rPr>
          <w:rStyle w:val="Strong"/>
          <w:b w:val="0"/>
          <w:bCs w:val="0"/>
        </w:rPr>
        <w:t>Slide 2: SCQA Framework</w:t>
      </w:r>
    </w:p>
    <w:p w14:paraId="665F600D" w14:textId="77777777" w:rsidR="00571B00" w:rsidRDefault="00571B00" w:rsidP="00571B00">
      <w:pPr>
        <w:pStyle w:val="NormalWeb"/>
        <w:numPr>
          <w:ilvl w:val="0"/>
          <w:numId w:val="19"/>
        </w:numPr>
      </w:pPr>
      <w:r>
        <w:rPr>
          <w:rStyle w:val="Strong"/>
          <w:rFonts w:eastAsiaTheme="majorEastAsia"/>
        </w:rPr>
        <w:t>Situation</w:t>
      </w:r>
      <w:r>
        <w:t>:</w:t>
      </w:r>
      <w:r>
        <w:br/>
        <w:t>Atliq Hardware, a leader in computer hardware, operates in multiple markets but lacks data-driven insights for swift decision-making.</w:t>
      </w:r>
    </w:p>
    <w:p w14:paraId="73F4B2B4" w14:textId="77777777" w:rsidR="00571B00" w:rsidRDefault="00571B00" w:rsidP="00571B00">
      <w:pPr>
        <w:pStyle w:val="NormalWeb"/>
        <w:numPr>
          <w:ilvl w:val="0"/>
          <w:numId w:val="19"/>
        </w:numPr>
      </w:pPr>
      <w:r>
        <w:rPr>
          <w:rStyle w:val="Strong"/>
          <w:rFonts w:eastAsiaTheme="majorEastAsia"/>
        </w:rPr>
        <w:t>Complication</w:t>
      </w:r>
      <w:r>
        <w:t>:</w:t>
      </w:r>
      <w:r>
        <w:br/>
        <w:t>The management noticed delays in data interpretation, affecting quick decisions and strategic planning.</w:t>
      </w:r>
    </w:p>
    <w:p w14:paraId="0D789762" w14:textId="77777777" w:rsidR="00571B00" w:rsidRDefault="00571B00" w:rsidP="00571B00">
      <w:pPr>
        <w:pStyle w:val="NormalWeb"/>
        <w:numPr>
          <w:ilvl w:val="0"/>
          <w:numId w:val="19"/>
        </w:numPr>
      </w:pPr>
      <w:r>
        <w:rPr>
          <w:rStyle w:val="Strong"/>
          <w:rFonts w:eastAsiaTheme="majorEastAsia"/>
        </w:rPr>
        <w:t>Question</w:t>
      </w:r>
      <w:r>
        <w:t>:</w:t>
      </w:r>
      <w:r>
        <w:br/>
        <w:t>How can we derive actionable insights from available data to identify market trends, optimize product offerings, and improve sales strategies?</w:t>
      </w:r>
    </w:p>
    <w:p w14:paraId="665444F8" w14:textId="77777777" w:rsidR="00571B00" w:rsidRDefault="00571B00" w:rsidP="00571B00">
      <w:pPr>
        <w:pStyle w:val="NormalWeb"/>
        <w:numPr>
          <w:ilvl w:val="0"/>
          <w:numId w:val="19"/>
        </w:numPr>
      </w:pPr>
      <w:r>
        <w:rPr>
          <w:rStyle w:val="Strong"/>
          <w:rFonts w:eastAsiaTheme="majorEastAsia"/>
        </w:rPr>
        <w:t>Answer</w:t>
      </w:r>
      <w:r>
        <w:t>:</w:t>
      </w:r>
      <w:r>
        <w:br/>
        <w:t>Through SQL-based ad-hoc analysis, we addressed 10 key questions and presented actionable recommendations.</w:t>
      </w:r>
    </w:p>
    <w:p w14:paraId="49E6CB0A" w14:textId="77777777" w:rsidR="00571B00" w:rsidRDefault="00571B00" w:rsidP="00571B00">
      <w:r>
        <w:pict w14:anchorId="31556F45">
          <v:rect id="_x0000_i1060" style="width:0;height:1.5pt" o:hralign="center" o:hrstd="t" o:hr="t" fillcolor="#a0a0a0" stroked="f"/>
        </w:pict>
      </w:r>
    </w:p>
    <w:p w14:paraId="36081C85" w14:textId="77777777" w:rsidR="00571B00" w:rsidRDefault="00571B00" w:rsidP="00571B00">
      <w:pPr>
        <w:pStyle w:val="Heading4"/>
      </w:pPr>
      <w:r>
        <w:rPr>
          <w:rStyle w:val="Strong"/>
          <w:b w:val="0"/>
          <w:bCs w:val="0"/>
        </w:rPr>
        <w:t>Slide 3: Overview of Key Insights</w:t>
      </w:r>
    </w:p>
    <w:p w14:paraId="703AE4A5" w14:textId="77777777" w:rsidR="00571B00" w:rsidRDefault="00571B00" w:rsidP="00571B00">
      <w:pPr>
        <w:pStyle w:val="NormalWeb"/>
        <w:numPr>
          <w:ilvl w:val="0"/>
          <w:numId w:val="20"/>
        </w:numPr>
      </w:pPr>
      <w:r>
        <w:rPr>
          <w:rStyle w:val="Strong"/>
          <w:rFonts w:eastAsiaTheme="majorEastAsia"/>
        </w:rPr>
        <w:t>Markets Operated by "Atliq Exclusive" in APAC</w:t>
      </w:r>
    </w:p>
    <w:p w14:paraId="1E626EFA" w14:textId="77777777" w:rsidR="00571B00" w:rsidRDefault="00571B00" w:rsidP="00571B00">
      <w:pPr>
        <w:numPr>
          <w:ilvl w:val="1"/>
          <w:numId w:val="20"/>
        </w:numPr>
        <w:spacing w:before="100" w:beforeAutospacing="1" w:after="100" w:afterAutospacing="1" w:line="240" w:lineRule="auto"/>
      </w:pPr>
      <w:r>
        <w:t>Operates in 8 markets, including India, Japan, and South Korea.</w:t>
      </w:r>
    </w:p>
    <w:p w14:paraId="414828FD" w14:textId="77777777" w:rsidR="00571B00" w:rsidRDefault="00571B00" w:rsidP="00571B00">
      <w:pPr>
        <w:numPr>
          <w:ilvl w:val="1"/>
          <w:numId w:val="20"/>
        </w:numPr>
        <w:spacing w:before="100" w:beforeAutospacing="1" w:after="100" w:afterAutospacing="1" w:line="240" w:lineRule="auto"/>
      </w:pPr>
      <w:r>
        <w:t>Recommendation: Prioritize marketing and expansion in underperforming regions.</w:t>
      </w:r>
    </w:p>
    <w:p w14:paraId="08594648" w14:textId="77777777" w:rsidR="00571B00" w:rsidRDefault="00571B00" w:rsidP="00571B00">
      <w:pPr>
        <w:pStyle w:val="NormalWeb"/>
        <w:numPr>
          <w:ilvl w:val="0"/>
          <w:numId w:val="20"/>
        </w:numPr>
      </w:pPr>
      <w:r>
        <w:rPr>
          <w:rStyle w:val="Strong"/>
          <w:rFonts w:eastAsiaTheme="majorEastAsia"/>
        </w:rPr>
        <w:t>Percentage Increase in Unique Products (2020 vs. 2021)</w:t>
      </w:r>
    </w:p>
    <w:p w14:paraId="63E9FFDC" w14:textId="77777777" w:rsidR="00571B00" w:rsidRDefault="00571B00" w:rsidP="00571B00">
      <w:pPr>
        <w:numPr>
          <w:ilvl w:val="1"/>
          <w:numId w:val="20"/>
        </w:numPr>
        <w:spacing w:before="100" w:beforeAutospacing="1" w:after="100" w:afterAutospacing="1" w:line="240" w:lineRule="auto"/>
      </w:pPr>
      <w:r>
        <w:t>Unique Products 2020: 245</w:t>
      </w:r>
    </w:p>
    <w:p w14:paraId="2309949C" w14:textId="77777777" w:rsidR="00571B00" w:rsidRDefault="00571B00" w:rsidP="00571B00">
      <w:pPr>
        <w:numPr>
          <w:ilvl w:val="1"/>
          <w:numId w:val="20"/>
        </w:numPr>
        <w:spacing w:before="100" w:beforeAutospacing="1" w:after="100" w:afterAutospacing="1" w:line="240" w:lineRule="auto"/>
      </w:pPr>
      <w:r>
        <w:t>Unique Products 2021: 334</w:t>
      </w:r>
    </w:p>
    <w:p w14:paraId="4196D78C" w14:textId="77777777" w:rsidR="00571B00" w:rsidRDefault="00571B00" w:rsidP="00571B00">
      <w:pPr>
        <w:numPr>
          <w:ilvl w:val="1"/>
          <w:numId w:val="20"/>
        </w:numPr>
        <w:spacing w:before="100" w:beforeAutospacing="1" w:after="100" w:afterAutospacing="1" w:line="240" w:lineRule="auto"/>
      </w:pPr>
      <w:r>
        <w:t xml:space="preserve">Increase: </w:t>
      </w:r>
      <w:r>
        <w:rPr>
          <w:rStyle w:val="Strong"/>
        </w:rPr>
        <w:t>36.33%</w:t>
      </w:r>
    </w:p>
    <w:p w14:paraId="52D7FC83" w14:textId="77777777" w:rsidR="00571B00" w:rsidRDefault="00571B00" w:rsidP="00571B00">
      <w:pPr>
        <w:numPr>
          <w:ilvl w:val="1"/>
          <w:numId w:val="20"/>
        </w:numPr>
        <w:spacing w:before="100" w:beforeAutospacing="1" w:after="100" w:afterAutospacing="1" w:line="240" w:lineRule="auto"/>
      </w:pPr>
      <w:r>
        <w:t>Recommendation: Continue diversifying product lines to meet evolving customer needs.</w:t>
      </w:r>
    </w:p>
    <w:p w14:paraId="42FF0196" w14:textId="77777777" w:rsidR="00571B00" w:rsidRDefault="00571B00" w:rsidP="00571B00">
      <w:pPr>
        <w:pStyle w:val="NormalWeb"/>
        <w:numPr>
          <w:ilvl w:val="0"/>
          <w:numId w:val="20"/>
        </w:numPr>
      </w:pPr>
      <w:r>
        <w:rPr>
          <w:rStyle w:val="Strong"/>
          <w:rFonts w:eastAsiaTheme="majorEastAsia"/>
        </w:rPr>
        <w:t>Unique Products by Segment</w:t>
      </w:r>
    </w:p>
    <w:p w14:paraId="4BECA2B8" w14:textId="77777777" w:rsidR="00571B00" w:rsidRDefault="00571B00" w:rsidP="00571B00">
      <w:pPr>
        <w:numPr>
          <w:ilvl w:val="1"/>
          <w:numId w:val="20"/>
        </w:numPr>
        <w:spacing w:before="100" w:beforeAutospacing="1" w:after="100" w:afterAutospacing="1" w:line="240" w:lineRule="auto"/>
      </w:pPr>
      <w:r>
        <w:t>Top Segment: Notebook (32.49% unique products).</w:t>
      </w:r>
    </w:p>
    <w:p w14:paraId="502B54C5" w14:textId="77777777" w:rsidR="00571B00" w:rsidRDefault="00571B00" w:rsidP="00571B00">
      <w:pPr>
        <w:numPr>
          <w:ilvl w:val="1"/>
          <w:numId w:val="20"/>
        </w:numPr>
        <w:spacing w:before="100" w:beforeAutospacing="1" w:after="100" w:afterAutospacing="1" w:line="240" w:lineRule="auto"/>
      </w:pPr>
      <w:r>
        <w:t>Recommendation: Focus on high-performing segments like Notebook and Accessories.</w:t>
      </w:r>
    </w:p>
    <w:p w14:paraId="295FE0EF" w14:textId="77777777" w:rsidR="00571B00" w:rsidRDefault="00571B00" w:rsidP="00571B00">
      <w:pPr>
        <w:pStyle w:val="NormalWeb"/>
        <w:numPr>
          <w:ilvl w:val="0"/>
          <w:numId w:val="20"/>
        </w:numPr>
      </w:pPr>
      <w:r>
        <w:rPr>
          <w:rStyle w:val="Strong"/>
          <w:rFonts w:eastAsiaTheme="majorEastAsia"/>
        </w:rPr>
        <w:t>Segment with Highest Increase in Unique Products</w:t>
      </w:r>
    </w:p>
    <w:p w14:paraId="5E4502B8" w14:textId="77777777" w:rsidR="00571B00" w:rsidRDefault="00571B00" w:rsidP="00571B00">
      <w:pPr>
        <w:numPr>
          <w:ilvl w:val="1"/>
          <w:numId w:val="20"/>
        </w:numPr>
        <w:spacing w:before="100" w:beforeAutospacing="1" w:after="100" w:afterAutospacing="1" w:line="240" w:lineRule="auto"/>
      </w:pPr>
      <w:r>
        <w:t xml:space="preserve">Desktop: </w:t>
      </w:r>
      <w:r>
        <w:rPr>
          <w:rStyle w:val="Strong"/>
        </w:rPr>
        <w:t>214.29%</w:t>
      </w:r>
      <w:r>
        <w:t xml:space="preserve"> growth.</w:t>
      </w:r>
    </w:p>
    <w:p w14:paraId="18863B24" w14:textId="77777777" w:rsidR="00571B00" w:rsidRDefault="00571B00" w:rsidP="00571B00">
      <w:pPr>
        <w:numPr>
          <w:ilvl w:val="1"/>
          <w:numId w:val="20"/>
        </w:numPr>
        <w:spacing w:before="100" w:beforeAutospacing="1" w:after="100" w:afterAutospacing="1" w:line="240" w:lineRule="auto"/>
      </w:pPr>
      <w:r>
        <w:t>Recommendation: Invest in desktop innovations to sustain momentum.</w:t>
      </w:r>
    </w:p>
    <w:p w14:paraId="709795F0" w14:textId="77777777" w:rsidR="00571B00" w:rsidRDefault="00571B00" w:rsidP="00571B00">
      <w:pPr>
        <w:spacing w:after="0"/>
      </w:pPr>
      <w:r>
        <w:pict w14:anchorId="359A7FDC">
          <v:rect id="_x0000_i1061" style="width:0;height:1.5pt" o:hralign="center" o:hrstd="t" o:hr="t" fillcolor="#a0a0a0" stroked="f"/>
        </w:pict>
      </w:r>
    </w:p>
    <w:p w14:paraId="02600B6E" w14:textId="77777777" w:rsidR="00571B00" w:rsidRDefault="00571B00" w:rsidP="00571B00">
      <w:pPr>
        <w:pStyle w:val="Heading4"/>
      </w:pPr>
      <w:r>
        <w:rPr>
          <w:rStyle w:val="Strong"/>
          <w:b w:val="0"/>
          <w:bCs w:val="0"/>
        </w:rPr>
        <w:t>Slide 4: Lowest Manufacturing Costs</w:t>
      </w:r>
    </w:p>
    <w:p w14:paraId="39A33C86" w14:textId="77777777" w:rsidR="00571B00" w:rsidRDefault="00571B00" w:rsidP="00571B00">
      <w:pPr>
        <w:numPr>
          <w:ilvl w:val="0"/>
          <w:numId w:val="21"/>
        </w:numPr>
        <w:spacing w:before="100" w:beforeAutospacing="1" w:after="100" w:afterAutospacing="1" w:line="240" w:lineRule="auto"/>
      </w:pPr>
      <w:r>
        <w:rPr>
          <w:rStyle w:val="Strong"/>
        </w:rPr>
        <w:t>Lowest Cost Product</w:t>
      </w:r>
      <w:r>
        <w:t>: AQ Master Wired x1 Ms ($0.89).</w:t>
      </w:r>
    </w:p>
    <w:p w14:paraId="4655B80C" w14:textId="77777777" w:rsidR="00571B00" w:rsidRDefault="00571B00" w:rsidP="00571B00">
      <w:pPr>
        <w:numPr>
          <w:ilvl w:val="0"/>
          <w:numId w:val="21"/>
        </w:numPr>
        <w:spacing w:before="100" w:beforeAutospacing="1" w:after="100" w:afterAutospacing="1" w:line="240" w:lineRule="auto"/>
      </w:pPr>
      <w:r>
        <w:rPr>
          <w:rStyle w:val="Strong"/>
        </w:rPr>
        <w:t>Highest Cost Product</w:t>
      </w:r>
      <w:r>
        <w:t>: AQ HOME Allin1 Gen 2 ($240.54).</w:t>
      </w:r>
    </w:p>
    <w:p w14:paraId="61828D42" w14:textId="77777777" w:rsidR="00571B00" w:rsidRDefault="00571B00" w:rsidP="00571B00">
      <w:pPr>
        <w:numPr>
          <w:ilvl w:val="0"/>
          <w:numId w:val="21"/>
        </w:numPr>
        <w:spacing w:before="100" w:beforeAutospacing="1" w:after="100" w:afterAutospacing="1" w:line="240" w:lineRule="auto"/>
      </w:pPr>
      <w:r>
        <w:rPr>
          <w:rStyle w:val="Strong"/>
        </w:rPr>
        <w:t>Recommendation</w:t>
      </w:r>
      <w:r>
        <w:t>: Evaluate cost-efficiency strategies for high-cost products.</w:t>
      </w:r>
    </w:p>
    <w:p w14:paraId="68720234" w14:textId="77777777" w:rsidR="00571B00" w:rsidRDefault="00571B00" w:rsidP="00571B00">
      <w:pPr>
        <w:spacing w:after="0"/>
      </w:pPr>
      <w:r>
        <w:pict w14:anchorId="0327F3F1">
          <v:rect id="_x0000_i1062" style="width:0;height:1.5pt" o:hralign="center" o:hrstd="t" o:hr="t" fillcolor="#a0a0a0" stroked="f"/>
        </w:pict>
      </w:r>
    </w:p>
    <w:p w14:paraId="78CB6DF0" w14:textId="77777777" w:rsidR="00571B00" w:rsidRDefault="00571B00" w:rsidP="00571B00">
      <w:pPr>
        <w:pStyle w:val="Heading4"/>
      </w:pPr>
      <w:r>
        <w:rPr>
          <w:rStyle w:val="Strong"/>
          <w:b w:val="0"/>
          <w:bCs w:val="0"/>
        </w:rPr>
        <w:t>Slide 5: Top Customers by Average Discount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2008"/>
      </w:tblGrid>
      <w:tr w:rsidR="00571B00" w14:paraId="09CFA64A" w14:textId="77777777" w:rsidTr="00571B00">
        <w:trPr>
          <w:tblHeader/>
          <w:tblCellSpacing w:w="15" w:type="dxa"/>
        </w:trPr>
        <w:tc>
          <w:tcPr>
            <w:tcW w:w="0" w:type="auto"/>
            <w:vAlign w:val="center"/>
            <w:hideMark/>
          </w:tcPr>
          <w:p w14:paraId="2F45835B" w14:textId="77777777" w:rsidR="00571B00" w:rsidRDefault="00571B00">
            <w:pPr>
              <w:jc w:val="center"/>
              <w:rPr>
                <w:b/>
                <w:bCs/>
              </w:rPr>
            </w:pPr>
            <w:r>
              <w:rPr>
                <w:rStyle w:val="Strong"/>
              </w:rPr>
              <w:t>Customer</w:t>
            </w:r>
          </w:p>
        </w:tc>
        <w:tc>
          <w:tcPr>
            <w:tcW w:w="0" w:type="auto"/>
            <w:vAlign w:val="center"/>
            <w:hideMark/>
          </w:tcPr>
          <w:p w14:paraId="18CCF495" w14:textId="77777777" w:rsidR="00571B00" w:rsidRDefault="00571B00">
            <w:pPr>
              <w:jc w:val="center"/>
              <w:rPr>
                <w:b/>
                <w:bCs/>
              </w:rPr>
            </w:pPr>
            <w:r>
              <w:rPr>
                <w:rStyle w:val="Strong"/>
              </w:rPr>
              <w:t>Average Discount (%)</w:t>
            </w:r>
          </w:p>
        </w:tc>
      </w:tr>
      <w:tr w:rsidR="00571B00" w14:paraId="0FE36F62" w14:textId="77777777" w:rsidTr="00571B00">
        <w:trPr>
          <w:tblCellSpacing w:w="15" w:type="dxa"/>
        </w:trPr>
        <w:tc>
          <w:tcPr>
            <w:tcW w:w="0" w:type="auto"/>
            <w:vAlign w:val="center"/>
            <w:hideMark/>
          </w:tcPr>
          <w:p w14:paraId="7E2B1429" w14:textId="77777777" w:rsidR="00571B00" w:rsidRDefault="00571B00">
            <w:r>
              <w:t>Flipkart</w:t>
            </w:r>
          </w:p>
        </w:tc>
        <w:tc>
          <w:tcPr>
            <w:tcW w:w="0" w:type="auto"/>
            <w:vAlign w:val="center"/>
            <w:hideMark/>
          </w:tcPr>
          <w:p w14:paraId="55B15A56" w14:textId="77777777" w:rsidR="00571B00" w:rsidRDefault="00571B00">
            <w:r>
              <w:t>30.83%</w:t>
            </w:r>
          </w:p>
        </w:tc>
      </w:tr>
      <w:tr w:rsidR="00571B00" w14:paraId="6BE70FD2" w14:textId="77777777" w:rsidTr="00571B00">
        <w:trPr>
          <w:tblCellSpacing w:w="15" w:type="dxa"/>
        </w:trPr>
        <w:tc>
          <w:tcPr>
            <w:tcW w:w="0" w:type="auto"/>
            <w:vAlign w:val="center"/>
            <w:hideMark/>
          </w:tcPr>
          <w:p w14:paraId="2334C9C9" w14:textId="77777777" w:rsidR="00571B00" w:rsidRDefault="00571B00">
            <w:proofErr w:type="spellStart"/>
            <w:r>
              <w:t>Viveks</w:t>
            </w:r>
            <w:proofErr w:type="spellEnd"/>
          </w:p>
        </w:tc>
        <w:tc>
          <w:tcPr>
            <w:tcW w:w="0" w:type="auto"/>
            <w:vAlign w:val="center"/>
            <w:hideMark/>
          </w:tcPr>
          <w:p w14:paraId="3B2DECED" w14:textId="77777777" w:rsidR="00571B00" w:rsidRDefault="00571B00">
            <w:r>
              <w:t>30.38%</w:t>
            </w:r>
          </w:p>
        </w:tc>
      </w:tr>
      <w:tr w:rsidR="00571B00" w14:paraId="6188D1C8" w14:textId="77777777" w:rsidTr="00571B00">
        <w:trPr>
          <w:tblCellSpacing w:w="15" w:type="dxa"/>
        </w:trPr>
        <w:tc>
          <w:tcPr>
            <w:tcW w:w="0" w:type="auto"/>
            <w:vAlign w:val="center"/>
            <w:hideMark/>
          </w:tcPr>
          <w:p w14:paraId="1A56CF52" w14:textId="77777777" w:rsidR="00571B00" w:rsidRDefault="00571B00">
            <w:r>
              <w:t>Ezone</w:t>
            </w:r>
          </w:p>
        </w:tc>
        <w:tc>
          <w:tcPr>
            <w:tcW w:w="0" w:type="auto"/>
            <w:vAlign w:val="center"/>
            <w:hideMark/>
          </w:tcPr>
          <w:p w14:paraId="0F5C4326" w14:textId="77777777" w:rsidR="00571B00" w:rsidRDefault="00571B00">
            <w:r>
              <w:t>30.28%</w:t>
            </w:r>
          </w:p>
        </w:tc>
      </w:tr>
    </w:tbl>
    <w:p w14:paraId="58E4E2B6" w14:textId="77777777" w:rsidR="00571B00" w:rsidRDefault="00571B00" w:rsidP="00571B00">
      <w:pPr>
        <w:numPr>
          <w:ilvl w:val="0"/>
          <w:numId w:val="22"/>
        </w:numPr>
        <w:spacing w:before="100" w:beforeAutospacing="1" w:after="100" w:afterAutospacing="1" w:line="240" w:lineRule="auto"/>
      </w:pPr>
      <w:r>
        <w:rPr>
          <w:rStyle w:val="Strong"/>
        </w:rPr>
        <w:t>Recommendation</w:t>
      </w:r>
      <w:r>
        <w:t>: Align discount strategies with profitability analysis.</w:t>
      </w:r>
    </w:p>
    <w:p w14:paraId="5FDA4006" w14:textId="77777777" w:rsidR="00571B00" w:rsidRDefault="00571B00" w:rsidP="00571B00">
      <w:pPr>
        <w:spacing w:after="0"/>
      </w:pPr>
      <w:r>
        <w:pict w14:anchorId="2EC60FF0">
          <v:rect id="_x0000_i1063" style="width:0;height:1.5pt" o:hralign="center" o:hrstd="t" o:hr="t" fillcolor="#a0a0a0" stroked="f"/>
        </w:pict>
      </w:r>
    </w:p>
    <w:p w14:paraId="52D71333" w14:textId="77777777" w:rsidR="00571B00" w:rsidRDefault="00571B00" w:rsidP="00571B00">
      <w:pPr>
        <w:pStyle w:val="Heading4"/>
      </w:pPr>
      <w:r>
        <w:rPr>
          <w:rStyle w:val="Strong"/>
          <w:b w:val="0"/>
          <w:bCs w:val="0"/>
        </w:rPr>
        <w:t>Slide 6: "Atliq Exclusive" Sales Trends</w:t>
      </w:r>
    </w:p>
    <w:p w14:paraId="20087062" w14:textId="77777777" w:rsidR="00571B00" w:rsidRDefault="00571B00" w:rsidP="00571B00">
      <w:pPr>
        <w:numPr>
          <w:ilvl w:val="0"/>
          <w:numId w:val="23"/>
        </w:numPr>
        <w:spacing w:before="100" w:beforeAutospacing="1" w:after="100" w:afterAutospacing="1" w:line="240" w:lineRule="auto"/>
      </w:pPr>
      <w:r>
        <w:rPr>
          <w:rStyle w:val="Strong"/>
        </w:rPr>
        <w:t>High-Performing Month</w:t>
      </w:r>
      <w:r>
        <w:t>: November 2021 ($44.32 billion).</w:t>
      </w:r>
    </w:p>
    <w:p w14:paraId="7ECC25CE" w14:textId="77777777" w:rsidR="00571B00" w:rsidRDefault="00571B00" w:rsidP="00571B00">
      <w:pPr>
        <w:numPr>
          <w:ilvl w:val="0"/>
          <w:numId w:val="23"/>
        </w:numPr>
        <w:spacing w:before="100" w:beforeAutospacing="1" w:after="100" w:afterAutospacing="1" w:line="240" w:lineRule="auto"/>
      </w:pPr>
      <w:r>
        <w:rPr>
          <w:rStyle w:val="Strong"/>
        </w:rPr>
        <w:t>Low-Performing Month</w:t>
      </w:r>
      <w:r>
        <w:t>: March 2020 ($0.8 billion).</w:t>
      </w:r>
    </w:p>
    <w:p w14:paraId="78D3579A" w14:textId="77777777" w:rsidR="00571B00" w:rsidRDefault="00571B00" w:rsidP="00571B00">
      <w:pPr>
        <w:numPr>
          <w:ilvl w:val="0"/>
          <w:numId w:val="23"/>
        </w:numPr>
        <w:spacing w:before="100" w:beforeAutospacing="1" w:after="100" w:afterAutospacing="1" w:line="240" w:lineRule="auto"/>
      </w:pPr>
      <w:r>
        <w:rPr>
          <w:rStyle w:val="Strong"/>
        </w:rPr>
        <w:t>Recommendation</w:t>
      </w:r>
      <w:r>
        <w:t>: Capitalize on seasonal trends for higher revenue.</w:t>
      </w:r>
    </w:p>
    <w:p w14:paraId="5ED4B43E" w14:textId="77777777" w:rsidR="00571B00" w:rsidRDefault="00571B00" w:rsidP="00571B00">
      <w:pPr>
        <w:spacing w:after="0"/>
      </w:pPr>
      <w:r>
        <w:pict w14:anchorId="7F5E242E">
          <v:rect id="_x0000_i1064" style="width:0;height:1.5pt" o:hralign="center" o:hrstd="t" o:hr="t" fillcolor="#a0a0a0" stroked="f"/>
        </w:pict>
      </w:r>
    </w:p>
    <w:p w14:paraId="21138DC2" w14:textId="77777777" w:rsidR="00571B00" w:rsidRDefault="00571B00" w:rsidP="00571B00">
      <w:pPr>
        <w:pStyle w:val="Heading4"/>
      </w:pPr>
      <w:r>
        <w:rPr>
          <w:rStyle w:val="Strong"/>
          <w:b w:val="0"/>
          <w:bCs w:val="0"/>
        </w:rPr>
        <w:t>Slide 7: Total Sold Quantity by Quarter (2020)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
        <w:gridCol w:w="1817"/>
      </w:tblGrid>
      <w:tr w:rsidR="00571B00" w14:paraId="6C351C03" w14:textId="77777777" w:rsidTr="00571B00">
        <w:trPr>
          <w:tblHeader/>
          <w:tblCellSpacing w:w="15" w:type="dxa"/>
        </w:trPr>
        <w:tc>
          <w:tcPr>
            <w:tcW w:w="0" w:type="auto"/>
            <w:vAlign w:val="center"/>
            <w:hideMark/>
          </w:tcPr>
          <w:p w14:paraId="06322026" w14:textId="77777777" w:rsidR="00571B00" w:rsidRDefault="00571B00">
            <w:pPr>
              <w:jc w:val="center"/>
              <w:rPr>
                <w:b/>
                <w:bCs/>
              </w:rPr>
            </w:pPr>
            <w:r>
              <w:rPr>
                <w:rStyle w:val="Strong"/>
              </w:rPr>
              <w:t>Quarter</w:t>
            </w:r>
          </w:p>
        </w:tc>
        <w:tc>
          <w:tcPr>
            <w:tcW w:w="0" w:type="auto"/>
            <w:vAlign w:val="center"/>
            <w:hideMark/>
          </w:tcPr>
          <w:p w14:paraId="4C080F05" w14:textId="77777777" w:rsidR="00571B00" w:rsidRDefault="00571B00">
            <w:pPr>
              <w:jc w:val="center"/>
              <w:rPr>
                <w:b/>
                <w:bCs/>
              </w:rPr>
            </w:pPr>
            <w:r>
              <w:rPr>
                <w:rStyle w:val="Strong"/>
              </w:rPr>
              <w:t>Total Sold Quantity</w:t>
            </w:r>
          </w:p>
        </w:tc>
      </w:tr>
      <w:tr w:rsidR="00571B00" w14:paraId="57B0D451" w14:textId="77777777" w:rsidTr="00571B00">
        <w:trPr>
          <w:tblCellSpacing w:w="15" w:type="dxa"/>
        </w:trPr>
        <w:tc>
          <w:tcPr>
            <w:tcW w:w="0" w:type="auto"/>
            <w:vAlign w:val="center"/>
            <w:hideMark/>
          </w:tcPr>
          <w:p w14:paraId="4C80A031" w14:textId="77777777" w:rsidR="00571B00" w:rsidRDefault="00571B00">
            <w:r>
              <w:t>Q1</w:t>
            </w:r>
          </w:p>
        </w:tc>
        <w:tc>
          <w:tcPr>
            <w:tcW w:w="0" w:type="auto"/>
            <w:vAlign w:val="center"/>
            <w:hideMark/>
          </w:tcPr>
          <w:p w14:paraId="7D8E5070" w14:textId="77777777" w:rsidR="00571B00" w:rsidRDefault="00571B00">
            <w:r>
              <w:t>7,006,619</w:t>
            </w:r>
          </w:p>
        </w:tc>
      </w:tr>
      <w:tr w:rsidR="00571B00" w14:paraId="3D5D4F77" w14:textId="77777777" w:rsidTr="00571B00">
        <w:trPr>
          <w:tblCellSpacing w:w="15" w:type="dxa"/>
        </w:trPr>
        <w:tc>
          <w:tcPr>
            <w:tcW w:w="0" w:type="auto"/>
            <w:vAlign w:val="center"/>
            <w:hideMark/>
          </w:tcPr>
          <w:p w14:paraId="35CE1C8A" w14:textId="77777777" w:rsidR="00571B00" w:rsidRDefault="00571B00">
            <w:r>
              <w:t>Q2</w:t>
            </w:r>
          </w:p>
        </w:tc>
        <w:tc>
          <w:tcPr>
            <w:tcW w:w="0" w:type="auto"/>
            <w:vAlign w:val="center"/>
            <w:hideMark/>
          </w:tcPr>
          <w:p w14:paraId="3F29B04D" w14:textId="77777777" w:rsidR="00571B00" w:rsidRDefault="00571B00">
            <w:r>
              <w:t>6,650,642</w:t>
            </w:r>
          </w:p>
        </w:tc>
      </w:tr>
    </w:tbl>
    <w:p w14:paraId="3FBE6BBC" w14:textId="77777777" w:rsidR="00571B00" w:rsidRDefault="00571B00" w:rsidP="00571B00">
      <w:pPr>
        <w:numPr>
          <w:ilvl w:val="0"/>
          <w:numId w:val="24"/>
        </w:numPr>
        <w:spacing w:before="100" w:beforeAutospacing="1" w:after="100" w:afterAutospacing="1" w:line="240" w:lineRule="auto"/>
      </w:pPr>
      <w:r>
        <w:rPr>
          <w:rStyle w:val="Strong"/>
        </w:rPr>
        <w:t>Peak Quarter</w:t>
      </w:r>
      <w:r>
        <w:t>: Q1 2020.</w:t>
      </w:r>
    </w:p>
    <w:p w14:paraId="0737ED88" w14:textId="77777777" w:rsidR="00571B00" w:rsidRDefault="00571B00" w:rsidP="00571B00">
      <w:pPr>
        <w:numPr>
          <w:ilvl w:val="0"/>
          <w:numId w:val="24"/>
        </w:numPr>
        <w:spacing w:before="100" w:beforeAutospacing="1" w:after="100" w:afterAutospacing="1" w:line="240" w:lineRule="auto"/>
      </w:pPr>
      <w:r>
        <w:rPr>
          <w:rStyle w:val="Strong"/>
        </w:rPr>
        <w:t>Recommendation</w:t>
      </w:r>
      <w:r>
        <w:t xml:space="preserve">: </w:t>
      </w:r>
      <w:proofErr w:type="spellStart"/>
      <w:r>
        <w:t>Analyze</w:t>
      </w:r>
      <w:proofErr w:type="spellEnd"/>
      <w:r>
        <w:t xml:space="preserve"> demand drivers to replicate success in other quarters.</w:t>
      </w:r>
    </w:p>
    <w:p w14:paraId="07A032E8" w14:textId="77777777" w:rsidR="00571B00" w:rsidRDefault="00571B00" w:rsidP="00571B00">
      <w:pPr>
        <w:spacing w:after="0"/>
      </w:pPr>
      <w:r>
        <w:pict w14:anchorId="599F002E">
          <v:rect id="_x0000_i1065" style="width:0;height:1.5pt" o:hralign="center" o:hrstd="t" o:hr="t" fillcolor="#a0a0a0" stroked="f"/>
        </w:pict>
      </w:r>
    </w:p>
    <w:p w14:paraId="27CDA01C" w14:textId="77777777" w:rsidR="00571B00" w:rsidRDefault="00571B00" w:rsidP="00571B00">
      <w:pPr>
        <w:pStyle w:val="Heading4"/>
      </w:pPr>
      <w:r>
        <w:rPr>
          <w:rStyle w:val="Strong"/>
          <w:b w:val="0"/>
          <w:bCs w:val="0"/>
        </w:rPr>
        <w:t>Slide 8: Gross Sales by Channel (2021)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1383"/>
        <w:gridCol w:w="2299"/>
      </w:tblGrid>
      <w:tr w:rsidR="00571B00" w14:paraId="12B7E9F7" w14:textId="77777777" w:rsidTr="00571B00">
        <w:trPr>
          <w:tblHeader/>
          <w:tblCellSpacing w:w="15" w:type="dxa"/>
        </w:trPr>
        <w:tc>
          <w:tcPr>
            <w:tcW w:w="0" w:type="auto"/>
            <w:vAlign w:val="center"/>
            <w:hideMark/>
          </w:tcPr>
          <w:p w14:paraId="168423FF" w14:textId="77777777" w:rsidR="00571B00" w:rsidRDefault="00571B00">
            <w:pPr>
              <w:jc w:val="center"/>
              <w:rPr>
                <w:b/>
                <w:bCs/>
              </w:rPr>
            </w:pPr>
            <w:r>
              <w:rPr>
                <w:rStyle w:val="Strong"/>
              </w:rPr>
              <w:t>Channel</w:t>
            </w:r>
          </w:p>
        </w:tc>
        <w:tc>
          <w:tcPr>
            <w:tcW w:w="0" w:type="auto"/>
            <w:vAlign w:val="center"/>
            <w:hideMark/>
          </w:tcPr>
          <w:p w14:paraId="6665AE99" w14:textId="77777777" w:rsidR="00571B00" w:rsidRDefault="00571B00">
            <w:pPr>
              <w:jc w:val="center"/>
              <w:rPr>
                <w:b/>
                <w:bCs/>
              </w:rPr>
            </w:pPr>
            <w:r>
              <w:rPr>
                <w:rStyle w:val="Strong"/>
              </w:rPr>
              <w:t>Gross Sales (₹)</w:t>
            </w:r>
          </w:p>
        </w:tc>
        <w:tc>
          <w:tcPr>
            <w:tcW w:w="0" w:type="auto"/>
            <w:vAlign w:val="center"/>
            <w:hideMark/>
          </w:tcPr>
          <w:p w14:paraId="65E80FED" w14:textId="77777777" w:rsidR="00571B00" w:rsidRDefault="00571B00">
            <w:pPr>
              <w:jc w:val="center"/>
              <w:rPr>
                <w:b/>
                <w:bCs/>
              </w:rPr>
            </w:pPr>
            <w:r>
              <w:rPr>
                <w:rStyle w:val="Strong"/>
              </w:rPr>
              <w:t>Percentage Contribution</w:t>
            </w:r>
          </w:p>
        </w:tc>
      </w:tr>
      <w:tr w:rsidR="00571B00" w14:paraId="194F6FE2" w14:textId="77777777" w:rsidTr="00571B00">
        <w:trPr>
          <w:tblCellSpacing w:w="15" w:type="dxa"/>
        </w:trPr>
        <w:tc>
          <w:tcPr>
            <w:tcW w:w="0" w:type="auto"/>
            <w:vAlign w:val="center"/>
            <w:hideMark/>
          </w:tcPr>
          <w:p w14:paraId="34976DAA" w14:textId="77777777" w:rsidR="00571B00" w:rsidRDefault="00571B00">
            <w:r>
              <w:t>Retailer</w:t>
            </w:r>
          </w:p>
        </w:tc>
        <w:tc>
          <w:tcPr>
            <w:tcW w:w="0" w:type="auto"/>
            <w:vAlign w:val="center"/>
            <w:hideMark/>
          </w:tcPr>
          <w:p w14:paraId="3056F0CB" w14:textId="77777777" w:rsidR="00571B00" w:rsidRDefault="00571B00">
            <w:r>
              <w:t>₹2.63 Trillion</w:t>
            </w:r>
          </w:p>
        </w:tc>
        <w:tc>
          <w:tcPr>
            <w:tcW w:w="0" w:type="auto"/>
            <w:vAlign w:val="center"/>
            <w:hideMark/>
          </w:tcPr>
          <w:p w14:paraId="12607404" w14:textId="77777777" w:rsidR="00571B00" w:rsidRDefault="00571B00">
            <w:r>
              <w:t>74.18%</w:t>
            </w:r>
          </w:p>
        </w:tc>
      </w:tr>
    </w:tbl>
    <w:p w14:paraId="1783EDF2" w14:textId="77777777" w:rsidR="00571B00" w:rsidRDefault="00571B00" w:rsidP="00571B00">
      <w:pPr>
        <w:numPr>
          <w:ilvl w:val="0"/>
          <w:numId w:val="25"/>
        </w:numPr>
        <w:spacing w:before="100" w:beforeAutospacing="1" w:after="100" w:afterAutospacing="1" w:line="240" w:lineRule="auto"/>
      </w:pPr>
      <w:r>
        <w:rPr>
          <w:rStyle w:val="Strong"/>
        </w:rPr>
        <w:t>Recommendation</w:t>
      </w:r>
      <w:r>
        <w:t>: Strengthen retailer partnerships while exploring direct sales opportunities.</w:t>
      </w:r>
    </w:p>
    <w:p w14:paraId="3B4C2346" w14:textId="77777777" w:rsidR="00571B00" w:rsidRDefault="00571B00" w:rsidP="00571B00">
      <w:pPr>
        <w:spacing w:after="0"/>
      </w:pPr>
      <w:r>
        <w:pict w14:anchorId="43D6CE23">
          <v:rect id="_x0000_i1066" style="width:0;height:1.5pt" o:hralign="center" o:hrstd="t" o:hr="t" fillcolor="#a0a0a0" stroked="f"/>
        </w:pict>
      </w:r>
    </w:p>
    <w:p w14:paraId="72F1FD68" w14:textId="77777777" w:rsidR="00571B00" w:rsidRDefault="00571B00" w:rsidP="00571B00">
      <w:pPr>
        <w:pStyle w:val="Heading4"/>
      </w:pPr>
      <w:r>
        <w:rPr>
          <w:rStyle w:val="Strong"/>
          <w:b w:val="0"/>
          <w:bCs w:val="0"/>
        </w:rPr>
        <w:t>Slide 9: Top 3 Products by Division</w:t>
      </w:r>
    </w:p>
    <w:p w14:paraId="48937BD6" w14:textId="77777777" w:rsidR="00571B00" w:rsidRDefault="00571B00" w:rsidP="00571B00">
      <w:pPr>
        <w:pStyle w:val="NormalWeb"/>
      </w:pPr>
      <w:r>
        <w:rPr>
          <w:rStyle w:val="Strong"/>
          <w:rFonts w:eastAsiaTheme="majorEastAsia"/>
        </w:rPr>
        <w:t>P &amp; A Division:</w:t>
      </w:r>
    </w:p>
    <w:p w14:paraId="5D02A0B9" w14:textId="77777777" w:rsidR="00571B00" w:rsidRDefault="00571B00" w:rsidP="00571B00">
      <w:pPr>
        <w:numPr>
          <w:ilvl w:val="0"/>
          <w:numId w:val="26"/>
        </w:numPr>
        <w:spacing w:before="100" w:beforeAutospacing="1" w:after="100" w:afterAutospacing="1" w:line="240" w:lineRule="auto"/>
      </w:pPr>
      <w:r>
        <w:t>AQ Gamers Ms: 428,498 units sold.</w:t>
      </w:r>
    </w:p>
    <w:p w14:paraId="48DCCD32" w14:textId="77777777" w:rsidR="00571B00" w:rsidRDefault="00571B00" w:rsidP="00571B00">
      <w:pPr>
        <w:pStyle w:val="NormalWeb"/>
      </w:pPr>
      <w:r>
        <w:rPr>
          <w:rStyle w:val="Strong"/>
          <w:rFonts w:eastAsiaTheme="majorEastAsia"/>
        </w:rPr>
        <w:t>N &amp; S Division:</w:t>
      </w:r>
    </w:p>
    <w:p w14:paraId="59B8D7E5" w14:textId="77777777" w:rsidR="00571B00" w:rsidRDefault="00571B00" w:rsidP="00571B00">
      <w:pPr>
        <w:numPr>
          <w:ilvl w:val="0"/>
          <w:numId w:val="27"/>
        </w:numPr>
        <w:spacing w:before="100" w:beforeAutospacing="1" w:after="100" w:afterAutospacing="1" w:line="240" w:lineRule="auto"/>
      </w:pPr>
      <w:r>
        <w:t>AQ Pen Drive 2 IN 1: 701,373 units sold.</w:t>
      </w:r>
    </w:p>
    <w:p w14:paraId="233F5924" w14:textId="77777777" w:rsidR="00571B00" w:rsidRDefault="00571B00" w:rsidP="00571B00">
      <w:pPr>
        <w:pStyle w:val="NormalWeb"/>
      </w:pPr>
      <w:r>
        <w:rPr>
          <w:rStyle w:val="Strong"/>
          <w:rFonts w:eastAsiaTheme="majorEastAsia"/>
        </w:rPr>
        <w:t>PC Division:</w:t>
      </w:r>
    </w:p>
    <w:p w14:paraId="504B7199" w14:textId="77777777" w:rsidR="00571B00" w:rsidRDefault="00571B00" w:rsidP="00571B00">
      <w:pPr>
        <w:pStyle w:val="NormalWeb"/>
        <w:numPr>
          <w:ilvl w:val="0"/>
          <w:numId w:val="28"/>
        </w:numPr>
      </w:pPr>
      <w:r>
        <w:t>AQ Digit: 17,434 units sold.</w:t>
      </w:r>
    </w:p>
    <w:p w14:paraId="7951EB45" w14:textId="77777777" w:rsidR="00571B00" w:rsidRDefault="00571B00" w:rsidP="00571B00">
      <w:pPr>
        <w:pStyle w:val="NormalWeb"/>
        <w:numPr>
          <w:ilvl w:val="0"/>
          <w:numId w:val="28"/>
        </w:numPr>
      </w:pPr>
      <w:r>
        <w:rPr>
          <w:rStyle w:val="Strong"/>
          <w:rFonts w:eastAsiaTheme="majorEastAsia"/>
        </w:rPr>
        <w:t>Recommendation</w:t>
      </w:r>
      <w:r>
        <w:t>: Focus marketing on best-performing products in each division.</w:t>
      </w:r>
    </w:p>
    <w:p w14:paraId="56BBBD76" w14:textId="77777777" w:rsidR="00571B00" w:rsidRDefault="00571B00" w:rsidP="00571B00">
      <w:r>
        <w:pict w14:anchorId="22AEDDFF">
          <v:rect id="_x0000_i1067" style="width:0;height:1.5pt" o:hralign="center" o:hrstd="t" o:hr="t" fillcolor="#a0a0a0" stroked="f"/>
        </w:pict>
      </w:r>
    </w:p>
    <w:p w14:paraId="7B603A65" w14:textId="77777777" w:rsidR="00571B00" w:rsidRDefault="00571B00" w:rsidP="00571B00">
      <w:pPr>
        <w:pStyle w:val="Heading4"/>
      </w:pPr>
      <w:r>
        <w:rPr>
          <w:rStyle w:val="Strong"/>
          <w:b w:val="0"/>
          <w:bCs w:val="0"/>
        </w:rPr>
        <w:t>Slide 10: Recommendations Summary</w:t>
      </w:r>
    </w:p>
    <w:p w14:paraId="35AD2F6D" w14:textId="77777777" w:rsidR="00571B00" w:rsidRDefault="00571B00" w:rsidP="00571B00">
      <w:pPr>
        <w:numPr>
          <w:ilvl w:val="0"/>
          <w:numId w:val="29"/>
        </w:numPr>
        <w:spacing w:before="100" w:beforeAutospacing="1" w:after="100" w:afterAutospacing="1" w:line="240" w:lineRule="auto"/>
      </w:pPr>
      <w:r>
        <w:rPr>
          <w:rStyle w:val="Strong"/>
        </w:rPr>
        <w:t>Market Focus</w:t>
      </w:r>
      <w:r>
        <w:t>: Strengthen presence in underperforming APAC markets.</w:t>
      </w:r>
    </w:p>
    <w:p w14:paraId="50013074" w14:textId="77777777" w:rsidR="00571B00" w:rsidRDefault="00571B00" w:rsidP="00571B00">
      <w:pPr>
        <w:numPr>
          <w:ilvl w:val="0"/>
          <w:numId w:val="29"/>
        </w:numPr>
        <w:spacing w:before="100" w:beforeAutospacing="1" w:after="100" w:afterAutospacing="1" w:line="240" w:lineRule="auto"/>
      </w:pPr>
      <w:r>
        <w:rPr>
          <w:rStyle w:val="Strong"/>
        </w:rPr>
        <w:t>Product Strategy</w:t>
      </w:r>
      <w:r>
        <w:t>: Innovate and diversify high-demand product lines.</w:t>
      </w:r>
    </w:p>
    <w:p w14:paraId="58ACB365" w14:textId="77777777" w:rsidR="00571B00" w:rsidRDefault="00571B00" w:rsidP="00571B00">
      <w:pPr>
        <w:numPr>
          <w:ilvl w:val="0"/>
          <w:numId w:val="29"/>
        </w:numPr>
        <w:spacing w:before="100" w:beforeAutospacing="1" w:after="100" w:afterAutospacing="1" w:line="240" w:lineRule="auto"/>
      </w:pPr>
      <w:r>
        <w:rPr>
          <w:rStyle w:val="Strong"/>
        </w:rPr>
        <w:t>Sales Channels</w:t>
      </w:r>
      <w:r>
        <w:t>: Expand direct sales while leveraging retailer partnerships.</w:t>
      </w:r>
    </w:p>
    <w:p w14:paraId="746B210D" w14:textId="77777777" w:rsidR="00571B00" w:rsidRDefault="00571B00" w:rsidP="00571B00">
      <w:pPr>
        <w:numPr>
          <w:ilvl w:val="0"/>
          <w:numId w:val="29"/>
        </w:numPr>
        <w:spacing w:before="100" w:beforeAutospacing="1" w:after="100" w:afterAutospacing="1" w:line="240" w:lineRule="auto"/>
      </w:pPr>
      <w:r>
        <w:rPr>
          <w:rStyle w:val="Strong"/>
        </w:rPr>
        <w:t>Cost Optimization</w:t>
      </w:r>
      <w:r>
        <w:t>: Review cost structure for premium products.</w:t>
      </w:r>
    </w:p>
    <w:p w14:paraId="4CDFD720" w14:textId="77777777" w:rsidR="00571B00" w:rsidRDefault="00571B00" w:rsidP="00571B00">
      <w:pPr>
        <w:numPr>
          <w:ilvl w:val="0"/>
          <w:numId w:val="29"/>
        </w:numPr>
        <w:spacing w:before="100" w:beforeAutospacing="1" w:after="100" w:afterAutospacing="1" w:line="240" w:lineRule="auto"/>
      </w:pPr>
      <w:r>
        <w:rPr>
          <w:rStyle w:val="Strong"/>
        </w:rPr>
        <w:t>Seasonal Strategies</w:t>
      </w:r>
      <w:r>
        <w:t>: Plan around high-performing months for sustained growth.</w:t>
      </w:r>
    </w:p>
    <w:p w14:paraId="424CB394" w14:textId="77777777" w:rsidR="00571B00" w:rsidRDefault="00571B00" w:rsidP="00571B00">
      <w:pPr>
        <w:spacing w:after="0"/>
      </w:pPr>
      <w:r>
        <w:pict w14:anchorId="29874BD7">
          <v:rect id="_x0000_i1068" style="width:0;height:1.5pt" o:hralign="center" o:hrstd="t" o:hr="t" fillcolor="#a0a0a0" stroked="f"/>
        </w:pict>
      </w:r>
    </w:p>
    <w:p w14:paraId="1391FD26" w14:textId="77777777" w:rsidR="00571B00" w:rsidRDefault="00571B00" w:rsidP="00571B00">
      <w:pPr>
        <w:pStyle w:val="Heading4"/>
      </w:pPr>
      <w:r>
        <w:rPr>
          <w:rStyle w:val="Strong"/>
          <w:b w:val="0"/>
          <w:bCs w:val="0"/>
        </w:rPr>
        <w:t>Slide 11: Data Visualizations</w:t>
      </w:r>
    </w:p>
    <w:p w14:paraId="62A9601D" w14:textId="77777777" w:rsidR="00571B00" w:rsidRDefault="00571B00" w:rsidP="00571B00">
      <w:pPr>
        <w:numPr>
          <w:ilvl w:val="0"/>
          <w:numId w:val="30"/>
        </w:numPr>
        <w:spacing w:before="100" w:beforeAutospacing="1" w:after="100" w:afterAutospacing="1" w:line="240" w:lineRule="auto"/>
      </w:pPr>
      <w:r>
        <w:rPr>
          <w:rStyle w:val="Strong"/>
        </w:rPr>
        <w:t>Bar Chart</w:t>
      </w:r>
      <w:r>
        <w:t>: Unique Products by Segment.</w:t>
      </w:r>
    </w:p>
    <w:p w14:paraId="16D9130D" w14:textId="77777777" w:rsidR="00571B00" w:rsidRDefault="00571B00" w:rsidP="00571B00">
      <w:pPr>
        <w:numPr>
          <w:ilvl w:val="0"/>
          <w:numId w:val="30"/>
        </w:numPr>
        <w:spacing w:before="100" w:beforeAutospacing="1" w:after="100" w:afterAutospacing="1" w:line="240" w:lineRule="auto"/>
      </w:pPr>
      <w:r>
        <w:rPr>
          <w:rStyle w:val="Strong"/>
        </w:rPr>
        <w:t>Pie Chart</w:t>
      </w:r>
      <w:r>
        <w:t>: Gross Sales Contribution by Channel.</w:t>
      </w:r>
    </w:p>
    <w:p w14:paraId="20BC9D63" w14:textId="77777777" w:rsidR="00571B00" w:rsidRDefault="00571B00" w:rsidP="00571B00">
      <w:pPr>
        <w:numPr>
          <w:ilvl w:val="0"/>
          <w:numId w:val="30"/>
        </w:numPr>
        <w:spacing w:before="100" w:beforeAutospacing="1" w:after="100" w:afterAutospacing="1" w:line="240" w:lineRule="auto"/>
      </w:pPr>
      <w:r>
        <w:rPr>
          <w:rStyle w:val="Strong"/>
        </w:rPr>
        <w:t>Line Graph</w:t>
      </w:r>
      <w:r>
        <w:t>: Monthly Gross Sales for "Atliq Exclusive."</w:t>
      </w:r>
    </w:p>
    <w:p w14:paraId="7EEE9343" w14:textId="77777777" w:rsidR="00571B00" w:rsidRDefault="00571B00" w:rsidP="00571B00">
      <w:pPr>
        <w:numPr>
          <w:ilvl w:val="0"/>
          <w:numId w:val="30"/>
        </w:numPr>
        <w:spacing w:before="100" w:beforeAutospacing="1" w:after="100" w:afterAutospacing="1" w:line="240" w:lineRule="auto"/>
      </w:pPr>
      <w:r>
        <w:rPr>
          <w:rStyle w:val="Strong"/>
        </w:rPr>
        <w:t>Table</w:t>
      </w:r>
      <w:r>
        <w:t>: Top Customers by Discount Percentage.</w:t>
      </w:r>
    </w:p>
    <w:p w14:paraId="2194694D" w14:textId="77777777" w:rsidR="00571B00" w:rsidRDefault="00571B00" w:rsidP="00571B00">
      <w:pPr>
        <w:spacing w:after="0"/>
      </w:pPr>
      <w:r>
        <w:pict w14:anchorId="46754688">
          <v:rect id="_x0000_i1069" style="width:0;height:1.5pt" o:hralign="center" o:hrstd="t" o:hr="t" fillcolor="#a0a0a0" stroked="f"/>
        </w:pict>
      </w:r>
    </w:p>
    <w:p w14:paraId="55988178" w14:textId="77777777" w:rsidR="00571B00" w:rsidRDefault="00571B00" w:rsidP="00571B00">
      <w:pPr>
        <w:pStyle w:val="Heading4"/>
      </w:pPr>
      <w:r>
        <w:rPr>
          <w:rStyle w:val="Strong"/>
          <w:b w:val="0"/>
          <w:bCs w:val="0"/>
        </w:rPr>
        <w:t>Slide 12: Closing Statement</w:t>
      </w:r>
    </w:p>
    <w:p w14:paraId="56ABB1E8" w14:textId="77777777" w:rsidR="00571B00" w:rsidRDefault="00571B00" w:rsidP="00571B00">
      <w:pPr>
        <w:numPr>
          <w:ilvl w:val="0"/>
          <w:numId w:val="31"/>
        </w:numPr>
        <w:spacing w:before="100" w:beforeAutospacing="1" w:after="100" w:afterAutospacing="1" w:line="240" w:lineRule="auto"/>
      </w:pPr>
      <w:r>
        <w:t>Data-driven insights are pivotal for Atliq Hardware's sustained growth.</w:t>
      </w:r>
    </w:p>
    <w:p w14:paraId="13D4FEE8" w14:textId="77777777" w:rsidR="00571B00" w:rsidRDefault="00571B00" w:rsidP="00571B00">
      <w:pPr>
        <w:numPr>
          <w:ilvl w:val="0"/>
          <w:numId w:val="31"/>
        </w:numPr>
        <w:spacing w:before="100" w:beforeAutospacing="1" w:after="100" w:afterAutospacing="1" w:line="240" w:lineRule="auto"/>
      </w:pPr>
      <w:r>
        <w:t>By addressing these key areas, the company can achieve operational excellence and maintain market leadership.</w:t>
      </w:r>
    </w:p>
    <w:p w14:paraId="6D43B3CA" w14:textId="77777777" w:rsidR="00571B00" w:rsidRDefault="00571B00" w:rsidP="00571B00">
      <w:pPr>
        <w:numPr>
          <w:ilvl w:val="0"/>
          <w:numId w:val="31"/>
        </w:numPr>
        <w:spacing w:before="100" w:beforeAutospacing="1" w:after="100" w:afterAutospacing="1" w:line="240" w:lineRule="auto"/>
      </w:pPr>
      <w:r>
        <w:t>Questions and Discussions.</w:t>
      </w:r>
    </w:p>
    <w:p w14:paraId="48143BF1" w14:textId="021F6921" w:rsidR="00F50C2A" w:rsidRDefault="00F50C2A"/>
    <w:sectPr w:rsidR="00F50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7BAD"/>
    <w:multiLevelType w:val="multilevel"/>
    <w:tmpl w:val="DC8C8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9213E"/>
    <w:multiLevelType w:val="multilevel"/>
    <w:tmpl w:val="DB8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B33B6"/>
    <w:multiLevelType w:val="multilevel"/>
    <w:tmpl w:val="3082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A78DE"/>
    <w:multiLevelType w:val="multilevel"/>
    <w:tmpl w:val="4CB4F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C7F82"/>
    <w:multiLevelType w:val="multilevel"/>
    <w:tmpl w:val="CDEC6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D7A0C"/>
    <w:multiLevelType w:val="multilevel"/>
    <w:tmpl w:val="EA3CA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27771"/>
    <w:multiLevelType w:val="multilevel"/>
    <w:tmpl w:val="D1DEE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35162"/>
    <w:multiLevelType w:val="multilevel"/>
    <w:tmpl w:val="D80E4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86D0A"/>
    <w:multiLevelType w:val="multilevel"/>
    <w:tmpl w:val="EE00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B60D4"/>
    <w:multiLevelType w:val="multilevel"/>
    <w:tmpl w:val="E7B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762CD"/>
    <w:multiLevelType w:val="multilevel"/>
    <w:tmpl w:val="5176A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D34DE"/>
    <w:multiLevelType w:val="multilevel"/>
    <w:tmpl w:val="AEA2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46970"/>
    <w:multiLevelType w:val="multilevel"/>
    <w:tmpl w:val="9B301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F1071"/>
    <w:multiLevelType w:val="multilevel"/>
    <w:tmpl w:val="F91E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9449C"/>
    <w:multiLevelType w:val="multilevel"/>
    <w:tmpl w:val="BFD84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E4C66"/>
    <w:multiLevelType w:val="multilevel"/>
    <w:tmpl w:val="2FE83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E23ED"/>
    <w:multiLevelType w:val="multilevel"/>
    <w:tmpl w:val="CF6C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B4BE5"/>
    <w:multiLevelType w:val="multilevel"/>
    <w:tmpl w:val="C61C9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760D16"/>
    <w:multiLevelType w:val="multilevel"/>
    <w:tmpl w:val="6A2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4678A"/>
    <w:multiLevelType w:val="multilevel"/>
    <w:tmpl w:val="C1820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374A0D"/>
    <w:multiLevelType w:val="multilevel"/>
    <w:tmpl w:val="4D7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D314D"/>
    <w:multiLevelType w:val="multilevel"/>
    <w:tmpl w:val="3E26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C40A8D"/>
    <w:multiLevelType w:val="multilevel"/>
    <w:tmpl w:val="FB884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C76909"/>
    <w:multiLevelType w:val="multilevel"/>
    <w:tmpl w:val="77380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EF560B"/>
    <w:multiLevelType w:val="multilevel"/>
    <w:tmpl w:val="796A6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36221"/>
    <w:multiLevelType w:val="multilevel"/>
    <w:tmpl w:val="CC0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95188"/>
    <w:multiLevelType w:val="multilevel"/>
    <w:tmpl w:val="244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543A8"/>
    <w:multiLevelType w:val="multilevel"/>
    <w:tmpl w:val="753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311A8"/>
    <w:multiLevelType w:val="multilevel"/>
    <w:tmpl w:val="2FB6E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A70CFD"/>
    <w:multiLevelType w:val="multilevel"/>
    <w:tmpl w:val="EC0C0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6B12CC"/>
    <w:multiLevelType w:val="multilevel"/>
    <w:tmpl w:val="88A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375767">
    <w:abstractNumId w:val="14"/>
  </w:num>
  <w:num w:numId="2" w16cid:durableId="1797796701">
    <w:abstractNumId w:val="15"/>
  </w:num>
  <w:num w:numId="3" w16cid:durableId="876501547">
    <w:abstractNumId w:val="12"/>
  </w:num>
  <w:num w:numId="4" w16cid:durableId="125004557">
    <w:abstractNumId w:val="28"/>
  </w:num>
  <w:num w:numId="5" w16cid:durableId="530654426">
    <w:abstractNumId w:val="17"/>
  </w:num>
  <w:num w:numId="6" w16cid:durableId="122506877">
    <w:abstractNumId w:val="0"/>
  </w:num>
  <w:num w:numId="7" w16cid:durableId="23991678">
    <w:abstractNumId w:val="21"/>
  </w:num>
  <w:num w:numId="8" w16cid:durableId="79983306">
    <w:abstractNumId w:val="7"/>
  </w:num>
  <w:num w:numId="9" w16cid:durableId="1610116658">
    <w:abstractNumId w:val="2"/>
  </w:num>
  <w:num w:numId="10" w16cid:durableId="1509713585">
    <w:abstractNumId w:val="19"/>
  </w:num>
  <w:num w:numId="11" w16cid:durableId="708141573">
    <w:abstractNumId w:val="5"/>
  </w:num>
  <w:num w:numId="12" w16cid:durableId="1697777257">
    <w:abstractNumId w:val="6"/>
  </w:num>
  <w:num w:numId="13" w16cid:durableId="317618300">
    <w:abstractNumId w:val="10"/>
  </w:num>
  <w:num w:numId="14" w16cid:durableId="1844516330">
    <w:abstractNumId w:val="29"/>
  </w:num>
  <w:num w:numId="15" w16cid:durableId="1296065566">
    <w:abstractNumId w:val="23"/>
  </w:num>
  <w:num w:numId="16" w16cid:durableId="790170836">
    <w:abstractNumId w:val="3"/>
  </w:num>
  <w:num w:numId="17" w16cid:durableId="111171091">
    <w:abstractNumId w:val="24"/>
  </w:num>
  <w:num w:numId="18" w16cid:durableId="1618103735">
    <w:abstractNumId w:val="22"/>
  </w:num>
  <w:num w:numId="19" w16cid:durableId="185367130">
    <w:abstractNumId w:val="16"/>
  </w:num>
  <w:num w:numId="20" w16cid:durableId="1538742019">
    <w:abstractNumId w:val="4"/>
  </w:num>
  <w:num w:numId="21" w16cid:durableId="1271008830">
    <w:abstractNumId w:val="20"/>
  </w:num>
  <w:num w:numId="22" w16cid:durableId="1729262860">
    <w:abstractNumId w:val="8"/>
  </w:num>
  <w:num w:numId="23" w16cid:durableId="1820029518">
    <w:abstractNumId w:val="11"/>
  </w:num>
  <w:num w:numId="24" w16cid:durableId="575941823">
    <w:abstractNumId w:val="1"/>
  </w:num>
  <w:num w:numId="25" w16cid:durableId="1666662370">
    <w:abstractNumId w:val="27"/>
  </w:num>
  <w:num w:numId="26" w16cid:durableId="2049211478">
    <w:abstractNumId w:val="30"/>
  </w:num>
  <w:num w:numId="27" w16cid:durableId="1514372113">
    <w:abstractNumId w:val="18"/>
  </w:num>
  <w:num w:numId="28" w16cid:durableId="55011249">
    <w:abstractNumId w:val="25"/>
  </w:num>
  <w:num w:numId="29" w16cid:durableId="1881815851">
    <w:abstractNumId w:val="13"/>
  </w:num>
  <w:num w:numId="30" w16cid:durableId="481041368">
    <w:abstractNumId w:val="9"/>
  </w:num>
  <w:num w:numId="31" w16cid:durableId="2635415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2A"/>
    <w:rsid w:val="00460FBD"/>
    <w:rsid w:val="00571B00"/>
    <w:rsid w:val="005D7111"/>
    <w:rsid w:val="00AD4175"/>
    <w:rsid w:val="00C05B1C"/>
    <w:rsid w:val="00E91DB6"/>
    <w:rsid w:val="00F50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CDE4"/>
  <w15:chartTrackingRefBased/>
  <w15:docId w15:val="{D53C325F-0D81-47F1-8E40-D8F0973B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C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C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50C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C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C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C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C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0C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C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C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C2A"/>
    <w:rPr>
      <w:rFonts w:eastAsiaTheme="majorEastAsia" w:cstheme="majorBidi"/>
      <w:color w:val="272727" w:themeColor="text1" w:themeTint="D8"/>
    </w:rPr>
  </w:style>
  <w:style w:type="paragraph" w:styleId="Title">
    <w:name w:val="Title"/>
    <w:basedOn w:val="Normal"/>
    <w:next w:val="Normal"/>
    <w:link w:val="TitleChar"/>
    <w:uiPriority w:val="10"/>
    <w:qFormat/>
    <w:rsid w:val="00F50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C2A"/>
    <w:pPr>
      <w:spacing w:before="160"/>
      <w:jc w:val="center"/>
    </w:pPr>
    <w:rPr>
      <w:i/>
      <w:iCs/>
      <w:color w:val="404040" w:themeColor="text1" w:themeTint="BF"/>
    </w:rPr>
  </w:style>
  <w:style w:type="character" w:customStyle="1" w:styleId="QuoteChar">
    <w:name w:val="Quote Char"/>
    <w:basedOn w:val="DefaultParagraphFont"/>
    <w:link w:val="Quote"/>
    <w:uiPriority w:val="29"/>
    <w:rsid w:val="00F50C2A"/>
    <w:rPr>
      <w:i/>
      <w:iCs/>
      <w:color w:val="404040" w:themeColor="text1" w:themeTint="BF"/>
    </w:rPr>
  </w:style>
  <w:style w:type="paragraph" w:styleId="ListParagraph">
    <w:name w:val="List Paragraph"/>
    <w:basedOn w:val="Normal"/>
    <w:uiPriority w:val="34"/>
    <w:qFormat/>
    <w:rsid w:val="00F50C2A"/>
    <w:pPr>
      <w:ind w:left="720"/>
      <w:contextualSpacing/>
    </w:pPr>
  </w:style>
  <w:style w:type="character" w:styleId="IntenseEmphasis">
    <w:name w:val="Intense Emphasis"/>
    <w:basedOn w:val="DefaultParagraphFont"/>
    <w:uiPriority w:val="21"/>
    <w:qFormat/>
    <w:rsid w:val="00F50C2A"/>
    <w:rPr>
      <w:i/>
      <w:iCs/>
      <w:color w:val="2F5496" w:themeColor="accent1" w:themeShade="BF"/>
    </w:rPr>
  </w:style>
  <w:style w:type="paragraph" w:styleId="IntenseQuote">
    <w:name w:val="Intense Quote"/>
    <w:basedOn w:val="Normal"/>
    <w:next w:val="Normal"/>
    <w:link w:val="IntenseQuoteChar"/>
    <w:uiPriority w:val="30"/>
    <w:qFormat/>
    <w:rsid w:val="00F50C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C2A"/>
    <w:rPr>
      <w:i/>
      <w:iCs/>
      <w:color w:val="2F5496" w:themeColor="accent1" w:themeShade="BF"/>
    </w:rPr>
  </w:style>
  <w:style w:type="character" w:styleId="IntenseReference">
    <w:name w:val="Intense Reference"/>
    <w:basedOn w:val="DefaultParagraphFont"/>
    <w:uiPriority w:val="32"/>
    <w:qFormat/>
    <w:rsid w:val="00F50C2A"/>
    <w:rPr>
      <w:b/>
      <w:bCs/>
      <w:smallCaps/>
      <w:color w:val="2F5496" w:themeColor="accent1" w:themeShade="BF"/>
      <w:spacing w:val="5"/>
    </w:rPr>
  </w:style>
  <w:style w:type="paragraph" w:styleId="NormalWeb">
    <w:name w:val="Normal (Web)"/>
    <w:basedOn w:val="Normal"/>
    <w:uiPriority w:val="99"/>
    <w:semiHidden/>
    <w:unhideWhenUsed/>
    <w:rsid w:val="00F50C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0C2A"/>
    <w:rPr>
      <w:b/>
      <w:bCs/>
    </w:rPr>
  </w:style>
  <w:style w:type="character" w:styleId="Emphasis">
    <w:name w:val="Emphasis"/>
    <w:basedOn w:val="DefaultParagraphFont"/>
    <w:uiPriority w:val="20"/>
    <w:qFormat/>
    <w:rsid w:val="00571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5417">
      <w:bodyDiv w:val="1"/>
      <w:marLeft w:val="0"/>
      <w:marRight w:val="0"/>
      <w:marTop w:val="0"/>
      <w:marBottom w:val="0"/>
      <w:divBdr>
        <w:top w:val="none" w:sz="0" w:space="0" w:color="auto"/>
        <w:left w:val="none" w:sz="0" w:space="0" w:color="auto"/>
        <w:bottom w:val="none" w:sz="0" w:space="0" w:color="auto"/>
        <w:right w:val="none" w:sz="0" w:space="0" w:color="auto"/>
      </w:divBdr>
    </w:div>
    <w:div w:id="287660366">
      <w:bodyDiv w:val="1"/>
      <w:marLeft w:val="0"/>
      <w:marRight w:val="0"/>
      <w:marTop w:val="0"/>
      <w:marBottom w:val="0"/>
      <w:divBdr>
        <w:top w:val="none" w:sz="0" w:space="0" w:color="auto"/>
        <w:left w:val="none" w:sz="0" w:space="0" w:color="auto"/>
        <w:bottom w:val="none" w:sz="0" w:space="0" w:color="auto"/>
        <w:right w:val="none" w:sz="0" w:space="0" w:color="auto"/>
      </w:divBdr>
    </w:div>
    <w:div w:id="426386993">
      <w:bodyDiv w:val="1"/>
      <w:marLeft w:val="0"/>
      <w:marRight w:val="0"/>
      <w:marTop w:val="0"/>
      <w:marBottom w:val="0"/>
      <w:divBdr>
        <w:top w:val="none" w:sz="0" w:space="0" w:color="auto"/>
        <w:left w:val="none" w:sz="0" w:space="0" w:color="auto"/>
        <w:bottom w:val="none" w:sz="0" w:space="0" w:color="auto"/>
        <w:right w:val="none" w:sz="0" w:space="0" w:color="auto"/>
      </w:divBdr>
    </w:div>
    <w:div w:id="525561545">
      <w:bodyDiv w:val="1"/>
      <w:marLeft w:val="0"/>
      <w:marRight w:val="0"/>
      <w:marTop w:val="0"/>
      <w:marBottom w:val="0"/>
      <w:divBdr>
        <w:top w:val="none" w:sz="0" w:space="0" w:color="auto"/>
        <w:left w:val="none" w:sz="0" w:space="0" w:color="auto"/>
        <w:bottom w:val="none" w:sz="0" w:space="0" w:color="auto"/>
        <w:right w:val="none" w:sz="0" w:space="0" w:color="auto"/>
      </w:divBdr>
    </w:div>
    <w:div w:id="685326791">
      <w:bodyDiv w:val="1"/>
      <w:marLeft w:val="0"/>
      <w:marRight w:val="0"/>
      <w:marTop w:val="0"/>
      <w:marBottom w:val="0"/>
      <w:divBdr>
        <w:top w:val="none" w:sz="0" w:space="0" w:color="auto"/>
        <w:left w:val="none" w:sz="0" w:space="0" w:color="auto"/>
        <w:bottom w:val="none" w:sz="0" w:space="0" w:color="auto"/>
        <w:right w:val="none" w:sz="0" w:space="0" w:color="auto"/>
      </w:divBdr>
    </w:div>
    <w:div w:id="697201838">
      <w:bodyDiv w:val="1"/>
      <w:marLeft w:val="0"/>
      <w:marRight w:val="0"/>
      <w:marTop w:val="0"/>
      <w:marBottom w:val="0"/>
      <w:divBdr>
        <w:top w:val="none" w:sz="0" w:space="0" w:color="auto"/>
        <w:left w:val="none" w:sz="0" w:space="0" w:color="auto"/>
        <w:bottom w:val="none" w:sz="0" w:space="0" w:color="auto"/>
        <w:right w:val="none" w:sz="0" w:space="0" w:color="auto"/>
      </w:divBdr>
    </w:div>
    <w:div w:id="1435633489">
      <w:bodyDiv w:val="1"/>
      <w:marLeft w:val="0"/>
      <w:marRight w:val="0"/>
      <w:marTop w:val="0"/>
      <w:marBottom w:val="0"/>
      <w:divBdr>
        <w:top w:val="none" w:sz="0" w:space="0" w:color="auto"/>
        <w:left w:val="none" w:sz="0" w:space="0" w:color="auto"/>
        <w:bottom w:val="none" w:sz="0" w:space="0" w:color="auto"/>
        <w:right w:val="none" w:sz="0" w:space="0" w:color="auto"/>
      </w:divBdr>
    </w:div>
    <w:div w:id="1571302980">
      <w:bodyDiv w:val="1"/>
      <w:marLeft w:val="0"/>
      <w:marRight w:val="0"/>
      <w:marTop w:val="0"/>
      <w:marBottom w:val="0"/>
      <w:divBdr>
        <w:top w:val="none" w:sz="0" w:space="0" w:color="auto"/>
        <w:left w:val="none" w:sz="0" w:space="0" w:color="auto"/>
        <w:bottom w:val="none" w:sz="0" w:space="0" w:color="auto"/>
        <w:right w:val="none" w:sz="0" w:space="0" w:color="auto"/>
      </w:divBdr>
    </w:div>
    <w:div w:id="1852603354">
      <w:bodyDiv w:val="1"/>
      <w:marLeft w:val="0"/>
      <w:marRight w:val="0"/>
      <w:marTop w:val="0"/>
      <w:marBottom w:val="0"/>
      <w:divBdr>
        <w:top w:val="none" w:sz="0" w:space="0" w:color="auto"/>
        <w:left w:val="none" w:sz="0" w:space="0" w:color="auto"/>
        <w:bottom w:val="none" w:sz="0" w:space="0" w:color="auto"/>
        <w:right w:val="none" w:sz="0" w:space="0" w:color="auto"/>
      </w:divBdr>
      <w:divsChild>
        <w:div w:id="1841383244">
          <w:marLeft w:val="0"/>
          <w:marRight w:val="0"/>
          <w:marTop w:val="0"/>
          <w:marBottom w:val="0"/>
          <w:divBdr>
            <w:top w:val="none" w:sz="0" w:space="0" w:color="auto"/>
            <w:left w:val="none" w:sz="0" w:space="0" w:color="auto"/>
            <w:bottom w:val="none" w:sz="0" w:space="0" w:color="auto"/>
            <w:right w:val="none" w:sz="0" w:space="0" w:color="auto"/>
          </w:divBdr>
          <w:divsChild>
            <w:div w:id="104739559">
              <w:marLeft w:val="0"/>
              <w:marRight w:val="0"/>
              <w:marTop w:val="0"/>
              <w:marBottom w:val="0"/>
              <w:divBdr>
                <w:top w:val="none" w:sz="0" w:space="0" w:color="auto"/>
                <w:left w:val="none" w:sz="0" w:space="0" w:color="auto"/>
                <w:bottom w:val="none" w:sz="0" w:space="0" w:color="auto"/>
                <w:right w:val="none" w:sz="0" w:space="0" w:color="auto"/>
              </w:divBdr>
              <w:divsChild>
                <w:div w:id="542906623">
                  <w:marLeft w:val="0"/>
                  <w:marRight w:val="0"/>
                  <w:marTop w:val="0"/>
                  <w:marBottom w:val="0"/>
                  <w:divBdr>
                    <w:top w:val="none" w:sz="0" w:space="0" w:color="auto"/>
                    <w:left w:val="none" w:sz="0" w:space="0" w:color="auto"/>
                    <w:bottom w:val="none" w:sz="0" w:space="0" w:color="auto"/>
                    <w:right w:val="none" w:sz="0" w:space="0" w:color="auto"/>
                  </w:divBdr>
                  <w:divsChild>
                    <w:div w:id="772014104">
                      <w:marLeft w:val="0"/>
                      <w:marRight w:val="0"/>
                      <w:marTop w:val="0"/>
                      <w:marBottom w:val="0"/>
                      <w:divBdr>
                        <w:top w:val="none" w:sz="0" w:space="0" w:color="auto"/>
                        <w:left w:val="none" w:sz="0" w:space="0" w:color="auto"/>
                        <w:bottom w:val="none" w:sz="0" w:space="0" w:color="auto"/>
                        <w:right w:val="none" w:sz="0" w:space="0" w:color="auto"/>
                      </w:divBdr>
                      <w:divsChild>
                        <w:div w:id="129640145">
                          <w:marLeft w:val="0"/>
                          <w:marRight w:val="0"/>
                          <w:marTop w:val="0"/>
                          <w:marBottom w:val="0"/>
                          <w:divBdr>
                            <w:top w:val="none" w:sz="0" w:space="0" w:color="auto"/>
                            <w:left w:val="none" w:sz="0" w:space="0" w:color="auto"/>
                            <w:bottom w:val="none" w:sz="0" w:space="0" w:color="auto"/>
                            <w:right w:val="none" w:sz="0" w:space="0" w:color="auto"/>
                          </w:divBdr>
                          <w:divsChild>
                            <w:div w:id="1584030443">
                              <w:marLeft w:val="0"/>
                              <w:marRight w:val="0"/>
                              <w:marTop w:val="0"/>
                              <w:marBottom w:val="0"/>
                              <w:divBdr>
                                <w:top w:val="none" w:sz="0" w:space="0" w:color="auto"/>
                                <w:left w:val="none" w:sz="0" w:space="0" w:color="auto"/>
                                <w:bottom w:val="none" w:sz="0" w:space="0" w:color="auto"/>
                                <w:right w:val="none" w:sz="0" w:space="0" w:color="auto"/>
                              </w:divBdr>
                              <w:divsChild>
                                <w:div w:id="2062047354">
                                  <w:marLeft w:val="0"/>
                                  <w:marRight w:val="0"/>
                                  <w:marTop w:val="0"/>
                                  <w:marBottom w:val="0"/>
                                  <w:divBdr>
                                    <w:top w:val="none" w:sz="0" w:space="0" w:color="auto"/>
                                    <w:left w:val="none" w:sz="0" w:space="0" w:color="auto"/>
                                    <w:bottom w:val="none" w:sz="0" w:space="0" w:color="auto"/>
                                    <w:right w:val="none" w:sz="0" w:space="0" w:color="auto"/>
                                  </w:divBdr>
                                  <w:divsChild>
                                    <w:div w:id="15713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196494">
          <w:marLeft w:val="0"/>
          <w:marRight w:val="0"/>
          <w:marTop w:val="0"/>
          <w:marBottom w:val="0"/>
          <w:divBdr>
            <w:top w:val="none" w:sz="0" w:space="0" w:color="auto"/>
            <w:left w:val="none" w:sz="0" w:space="0" w:color="auto"/>
            <w:bottom w:val="none" w:sz="0" w:space="0" w:color="auto"/>
            <w:right w:val="none" w:sz="0" w:space="0" w:color="auto"/>
          </w:divBdr>
          <w:divsChild>
            <w:div w:id="1933931914">
              <w:marLeft w:val="0"/>
              <w:marRight w:val="0"/>
              <w:marTop w:val="0"/>
              <w:marBottom w:val="0"/>
              <w:divBdr>
                <w:top w:val="none" w:sz="0" w:space="0" w:color="auto"/>
                <w:left w:val="none" w:sz="0" w:space="0" w:color="auto"/>
                <w:bottom w:val="none" w:sz="0" w:space="0" w:color="auto"/>
                <w:right w:val="none" w:sz="0" w:space="0" w:color="auto"/>
              </w:divBdr>
              <w:divsChild>
                <w:div w:id="1192111043">
                  <w:marLeft w:val="0"/>
                  <w:marRight w:val="0"/>
                  <w:marTop w:val="0"/>
                  <w:marBottom w:val="0"/>
                  <w:divBdr>
                    <w:top w:val="none" w:sz="0" w:space="0" w:color="auto"/>
                    <w:left w:val="none" w:sz="0" w:space="0" w:color="auto"/>
                    <w:bottom w:val="none" w:sz="0" w:space="0" w:color="auto"/>
                    <w:right w:val="none" w:sz="0" w:space="0" w:color="auto"/>
                  </w:divBdr>
                  <w:divsChild>
                    <w:div w:id="1670061583">
                      <w:marLeft w:val="0"/>
                      <w:marRight w:val="0"/>
                      <w:marTop w:val="0"/>
                      <w:marBottom w:val="0"/>
                      <w:divBdr>
                        <w:top w:val="none" w:sz="0" w:space="0" w:color="auto"/>
                        <w:left w:val="none" w:sz="0" w:space="0" w:color="auto"/>
                        <w:bottom w:val="none" w:sz="0" w:space="0" w:color="auto"/>
                        <w:right w:val="none" w:sz="0" w:space="0" w:color="auto"/>
                      </w:divBdr>
                      <w:divsChild>
                        <w:div w:id="1117454976">
                          <w:marLeft w:val="0"/>
                          <w:marRight w:val="0"/>
                          <w:marTop w:val="0"/>
                          <w:marBottom w:val="0"/>
                          <w:divBdr>
                            <w:top w:val="none" w:sz="0" w:space="0" w:color="auto"/>
                            <w:left w:val="none" w:sz="0" w:space="0" w:color="auto"/>
                            <w:bottom w:val="none" w:sz="0" w:space="0" w:color="auto"/>
                            <w:right w:val="none" w:sz="0" w:space="0" w:color="auto"/>
                          </w:divBdr>
                          <w:divsChild>
                            <w:div w:id="2038041429">
                              <w:marLeft w:val="0"/>
                              <w:marRight w:val="0"/>
                              <w:marTop w:val="0"/>
                              <w:marBottom w:val="0"/>
                              <w:divBdr>
                                <w:top w:val="none" w:sz="0" w:space="0" w:color="auto"/>
                                <w:left w:val="none" w:sz="0" w:space="0" w:color="auto"/>
                                <w:bottom w:val="none" w:sz="0" w:space="0" w:color="auto"/>
                                <w:right w:val="none" w:sz="0" w:space="0" w:color="auto"/>
                              </w:divBdr>
                              <w:divsChild>
                                <w:div w:id="46730090">
                                  <w:marLeft w:val="0"/>
                                  <w:marRight w:val="0"/>
                                  <w:marTop w:val="0"/>
                                  <w:marBottom w:val="0"/>
                                  <w:divBdr>
                                    <w:top w:val="none" w:sz="0" w:space="0" w:color="auto"/>
                                    <w:left w:val="none" w:sz="0" w:space="0" w:color="auto"/>
                                    <w:bottom w:val="none" w:sz="0" w:space="0" w:color="auto"/>
                                    <w:right w:val="none" w:sz="0" w:space="0" w:color="auto"/>
                                  </w:divBdr>
                                  <w:divsChild>
                                    <w:div w:id="419840672">
                                      <w:marLeft w:val="0"/>
                                      <w:marRight w:val="0"/>
                                      <w:marTop w:val="0"/>
                                      <w:marBottom w:val="0"/>
                                      <w:divBdr>
                                        <w:top w:val="none" w:sz="0" w:space="0" w:color="auto"/>
                                        <w:left w:val="none" w:sz="0" w:space="0" w:color="auto"/>
                                        <w:bottom w:val="none" w:sz="0" w:space="0" w:color="auto"/>
                                        <w:right w:val="none" w:sz="0" w:space="0" w:color="auto"/>
                                      </w:divBdr>
                                      <w:divsChild>
                                        <w:div w:id="11580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281246">
          <w:marLeft w:val="0"/>
          <w:marRight w:val="0"/>
          <w:marTop w:val="0"/>
          <w:marBottom w:val="0"/>
          <w:divBdr>
            <w:top w:val="none" w:sz="0" w:space="0" w:color="auto"/>
            <w:left w:val="none" w:sz="0" w:space="0" w:color="auto"/>
            <w:bottom w:val="none" w:sz="0" w:space="0" w:color="auto"/>
            <w:right w:val="none" w:sz="0" w:space="0" w:color="auto"/>
          </w:divBdr>
          <w:divsChild>
            <w:div w:id="1262226087">
              <w:marLeft w:val="0"/>
              <w:marRight w:val="0"/>
              <w:marTop w:val="0"/>
              <w:marBottom w:val="0"/>
              <w:divBdr>
                <w:top w:val="none" w:sz="0" w:space="0" w:color="auto"/>
                <w:left w:val="none" w:sz="0" w:space="0" w:color="auto"/>
                <w:bottom w:val="none" w:sz="0" w:space="0" w:color="auto"/>
                <w:right w:val="none" w:sz="0" w:space="0" w:color="auto"/>
              </w:divBdr>
              <w:divsChild>
                <w:div w:id="163447122">
                  <w:marLeft w:val="0"/>
                  <w:marRight w:val="0"/>
                  <w:marTop w:val="0"/>
                  <w:marBottom w:val="0"/>
                  <w:divBdr>
                    <w:top w:val="none" w:sz="0" w:space="0" w:color="auto"/>
                    <w:left w:val="none" w:sz="0" w:space="0" w:color="auto"/>
                    <w:bottom w:val="none" w:sz="0" w:space="0" w:color="auto"/>
                    <w:right w:val="none" w:sz="0" w:space="0" w:color="auto"/>
                  </w:divBdr>
                  <w:divsChild>
                    <w:div w:id="402722951">
                      <w:marLeft w:val="0"/>
                      <w:marRight w:val="0"/>
                      <w:marTop w:val="0"/>
                      <w:marBottom w:val="0"/>
                      <w:divBdr>
                        <w:top w:val="none" w:sz="0" w:space="0" w:color="auto"/>
                        <w:left w:val="none" w:sz="0" w:space="0" w:color="auto"/>
                        <w:bottom w:val="none" w:sz="0" w:space="0" w:color="auto"/>
                        <w:right w:val="none" w:sz="0" w:space="0" w:color="auto"/>
                      </w:divBdr>
                      <w:divsChild>
                        <w:div w:id="262346040">
                          <w:marLeft w:val="0"/>
                          <w:marRight w:val="0"/>
                          <w:marTop w:val="0"/>
                          <w:marBottom w:val="0"/>
                          <w:divBdr>
                            <w:top w:val="none" w:sz="0" w:space="0" w:color="auto"/>
                            <w:left w:val="none" w:sz="0" w:space="0" w:color="auto"/>
                            <w:bottom w:val="none" w:sz="0" w:space="0" w:color="auto"/>
                            <w:right w:val="none" w:sz="0" w:space="0" w:color="auto"/>
                          </w:divBdr>
                          <w:divsChild>
                            <w:div w:id="1934628125">
                              <w:marLeft w:val="0"/>
                              <w:marRight w:val="0"/>
                              <w:marTop w:val="0"/>
                              <w:marBottom w:val="0"/>
                              <w:divBdr>
                                <w:top w:val="none" w:sz="0" w:space="0" w:color="auto"/>
                                <w:left w:val="none" w:sz="0" w:space="0" w:color="auto"/>
                                <w:bottom w:val="none" w:sz="0" w:space="0" w:color="auto"/>
                                <w:right w:val="none" w:sz="0" w:space="0" w:color="auto"/>
                              </w:divBdr>
                              <w:divsChild>
                                <w:div w:id="6247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14568">
                  <w:marLeft w:val="0"/>
                  <w:marRight w:val="0"/>
                  <w:marTop w:val="0"/>
                  <w:marBottom w:val="0"/>
                  <w:divBdr>
                    <w:top w:val="none" w:sz="0" w:space="0" w:color="auto"/>
                    <w:left w:val="none" w:sz="0" w:space="0" w:color="auto"/>
                    <w:bottom w:val="none" w:sz="0" w:space="0" w:color="auto"/>
                    <w:right w:val="none" w:sz="0" w:space="0" w:color="auto"/>
                  </w:divBdr>
                  <w:divsChild>
                    <w:div w:id="984162286">
                      <w:marLeft w:val="0"/>
                      <w:marRight w:val="0"/>
                      <w:marTop w:val="0"/>
                      <w:marBottom w:val="0"/>
                      <w:divBdr>
                        <w:top w:val="none" w:sz="0" w:space="0" w:color="auto"/>
                        <w:left w:val="none" w:sz="0" w:space="0" w:color="auto"/>
                        <w:bottom w:val="none" w:sz="0" w:space="0" w:color="auto"/>
                        <w:right w:val="none" w:sz="0" w:space="0" w:color="auto"/>
                      </w:divBdr>
                      <w:divsChild>
                        <w:div w:id="1301568560">
                          <w:marLeft w:val="0"/>
                          <w:marRight w:val="0"/>
                          <w:marTop w:val="0"/>
                          <w:marBottom w:val="0"/>
                          <w:divBdr>
                            <w:top w:val="none" w:sz="0" w:space="0" w:color="auto"/>
                            <w:left w:val="none" w:sz="0" w:space="0" w:color="auto"/>
                            <w:bottom w:val="none" w:sz="0" w:space="0" w:color="auto"/>
                            <w:right w:val="none" w:sz="0" w:space="0" w:color="auto"/>
                          </w:divBdr>
                          <w:divsChild>
                            <w:div w:id="1132869681">
                              <w:marLeft w:val="0"/>
                              <w:marRight w:val="0"/>
                              <w:marTop w:val="0"/>
                              <w:marBottom w:val="0"/>
                              <w:divBdr>
                                <w:top w:val="none" w:sz="0" w:space="0" w:color="auto"/>
                                <w:left w:val="none" w:sz="0" w:space="0" w:color="auto"/>
                                <w:bottom w:val="none" w:sz="0" w:space="0" w:color="auto"/>
                                <w:right w:val="none" w:sz="0" w:space="0" w:color="auto"/>
                              </w:divBdr>
                              <w:divsChild>
                                <w:div w:id="1257060931">
                                  <w:marLeft w:val="0"/>
                                  <w:marRight w:val="0"/>
                                  <w:marTop w:val="0"/>
                                  <w:marBottom w:val="0"/>
                                  <w:divBdr>
                                    <w:top w:val="none" w:sz="0" w:space="0" w:color="auto"/>
                                    <w:left w:val="none" w:sz="0" w:space="0" w:color="auto"/>
                                    <w:bottom w:val="none" w:sz="0" w:space="0" w:color="auto"/>
                                    <w:right w:val="none" w:sz="0" w:space="0" w:color="auto"/>
                                  </w:divBdr>
                                  <w:divsChild>
                                    <w:div w:id="11884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3765</Words>
  <Characters>21464</Characters>
  <Application>Microsoft Office Word</Application>
  <DocSecurity>0</DocSecurity>
  <Lines>178</Lines>
  <Paragraphs>50</Paragraphs>
  <ScaleCrop>false</ScaleCrop>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porwal</dc:creator>
  <cp:keywords/>
  <dc:description/>
  <cp:lastModifiedBy>anshika porwal</cp:lastModifiedBy>
  <cp:revision>2</cp:revision>
  <dcterms:created xsi:type="dcterms:W3CDTF">2025-01-17T20:28:00Z</dcterms:created>
  <dcterms:modified xsi:type="dcterms:W3CDTF">2025-01-17T20:36:00Z</dcterms:modified>
</cp:coreProperties>
</file>