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5FA3"/>
          <w:sz w:val="36"/>
          <w:szCs w:val="36"/>
        </w:rPr>
        <w:t xml:space="preserve">RegGAN Domain Adaptation — Progress Update</w:t>
      </w:r>
    </w:p>
    <w:p>
      <w:pPr>
        <w:spacing w:after="300"/>
        <w:jc w:val="center"/>
      </w:pPr>
      <w:r>
        <w:rPr>
          <w:color w:val="666666"/>
          <w:sz w:val="22"/>
          <w:szCs w:val="22"/>
        </w:rPr>
        <w:t xml:space="preserve">Anshika Bajpai  ·  July 2026</w:t>
      </w:r>
    </w:p>
    <w:p>
      <w:pPr>
        <w:pBdr>
          <w:bottom w:val="single" w:color="CCCCCC" w:sz="6"/>
        </w:pBdr>
        <w:spacing w:after="160"/>
      </w:pPr>
    </w:p>
    <w:p>
      <w:pPr>
        <w:pStyle w:val="Heading1"/>
        <w:spacing w:after="120" w:before="300"/>
      </w:pPr>
      <w:r>
        <w:t xml:space="preserve">Project Overview</w:t>
      </w:r>
    </w:p>
    <w:p>
      <w:pPr>
        <w:spacing w:after="120"/>
      </w:pPr>
      <w:r>
        <w:t xml:space="preserve">The goal is to adapt DESS knee MRI (SKM-TEA dataset) to look like PD-weighted knee MRI (IU dataset) using unpaired image-to-image translation, while preserving meniscus anatomy. This enables segmentation models trained on DESS (which has masks) to work on real PD images (which have no masks).</w:t>
      </w:r>
    </w:p>
    <w:p>
      <w:pPr>
        <w:spacing w:after="120"/>
      </w:pPr>
      <w:r>
        <w:t xml:space="preserve">The pipeline has two phases:</w:t>
      </w:r>
    </w:p>
    <w:p>
      <w:pPr>
        <w:spacing w:after="80"/>
      </w:pPr>
    </w:p>
    <w:p>
      <w:pPr>
        <w:pStyle w:val="Heading1"/>
        <w:spacing w:after="120" w:before="300"/>
      </w:pPr>
      <w:r>
        <w:t xml:space="preserve">Phase 1: RegGAN — Domain Adaptation</w:t>
      </w:r>
    </w:p>
    <w:p>
      <w:pPr>
        <w:spacing w:after="120"/>
      </w:pPr>
      <w:r>
        <w:rPr>
          <w:b/>
          <w:bCs/>
        </w:rPr>
        <w:t xml:space="preserve">What it does: </w:t>
      </w:r>
      <w:r>
        <w:t xml:space="preserve">Trains a RegGAN model to translate DESS images into pseudo-PD images. The model must change the image contrast/texture to match PD while keeping all anatomy exactly in place — no stretching, no warping of the meniscus.</w:t>
      </w:r>
    </w:p>
    <w:p>
      <w:pPr>
        <w:spacing w:after="120"/>
      </w:pPr>
      <w:r>
        <w:rPr>
          <w:b/>
          <w:bCs/>
        </w:rPr>
        <w:t xml:space="preserve">Why RegGAN over CycleGAN: </w:t>
      </w:r>
      <w:r>
        <w:t xml:space="preserve">Standard CycleGAN showed &gt;2px deformation — unacceptable for medical imaging. RegGAN adds a registration network that constrains spatial deformation to sub-pixel levels (0.028–0.075 px), with 0% topology violations across all experiments.</w:t>
      </w:r>
    </w:p>
    <w:p>
      <w:pPr>
        <w:spacing w:after="120"/>
      </w:pPr>
      <w:r>
        <w:t xml:space="preserve">Key metrics:</w:t>
      </w:r>
    </w:p>
    <w:p>
      <w:pPr>
        <w:pStyle w:val="ListParagraph"/>
        <w:numPr>
          <w:ilvl w:val="0"/>
          <w:numId w:val="1"/>
        </w:numPr>
        <w:spacing w:after="80"/>
      </w:pPr>
      <w:r>
        <w:t xml:space="preserve">FID (Fréchet Inception Distance) — how similar fake PD looks to real PD. Lower is better.</w:t>
      </w:r>
    </w:p>
    <w:p>
      <w:pPr>
        <w:pStyle w:val="ListParagraph"/>
        <w:numPr>
          <w:ilvl w:val="0"/>
          <w:numId w:val="1"/>
        </w:numPr>
        <w:spacing w:after="80"/>
      </w:pPr>
      <w:r>
        <w:t xml:space="preserve">Deformation magnitude — how much anatomy moved. Must be sub-pixel.</w:t>
      </w:r>
    </w:p>
    <w:p>
      <w:pPr>
        <w:pStyle w:val="ListParagraph"/>
        <w:numPr>
          <w:ilvl w:val="0"/>
          <w:numId w:val="1"/>
        </w:numPr>
        <w:spacing w:after="80"/>
      </w:pPr>
      <w:r>
        <w:t xml:space="preserve">Jacobian folding % — topology violations (anatomy destroyed). Must be 0%.</w:t>
      </w:r>
    </w:p>
    <w:p>
      <w:pPr>
        <w:spacing w:after="80"/>
      </w:pPr>
    </w:p>
    <w:p>
      <w:pPr>
        <w:pStyle w:val="Heading1"/>
        <w:spacing w:after="120" w:before="300"/>
      </w:pPr>
      <w:r>
        <w:t xml:space="preserve">Phase 2: Fine-tuning — Segmentation</w:t>
      </w:r>
    </w:p>
    <w:p>
      <w:pPr>
        <w:spacing w:after="120"/>
      </w:pPr>
      <w:r>
        <w:rPr>
          <w:b/>
          <w:bCs/>
        </w:rPr>
        <w:t xml:space="preserve">What it does: </w:t>
      </w:r>
      <w:r>
        <w:t xml:space="preserve">Uses the fake PD images from Phase 1 (paired with known DESS segmentation masks) to fine-tune a meniscus segmentation model. The model learns to segment meniscus on PD-like images, then is applied to real PD scans.</w:t>
      </w:r>
    </w:p>
    <w:p>
      <w:pPr>
        <w:spacing w:after="120"/>
      </w:pPr>
      <w:r>
        <w:rPr>
          <w:b/>
          <w:bCs/>
        </w:rPr>
        <w:t xml:space="preserve">Key metric: </w:t>
      </w:r>
      <w:r>
        <w:t xml:space="preserve">Dice score — measures overlap between predicted meniscus segmentation and ground truth. Higher is better (max = 1.0).</w:t>
      </w:r>
    </w:p>
    <w:p>
      <w:pPr>
        <w:spacing w:after="80"/>
      </w:pPr>
    </w:p>
    <w:p>
      <w:pPr>
        <w:pStyle w:val="Heading1"/>
        <w:spacing w:after="120" w:before="300"/>
      </w:pPr>
      <w:r>
        <w:t xml:space="preserve">What I Did to Improve</w:t>
      </w:r>
    </w:p>
    <w:p>
      <w:pPr>
        <w:pStyle w:val="Heading2"/>
        <w:spacing w:after="100" w:before="240"/>
      </w:pPr>
      <w:r>
        <w:t xml:space="preserve">1. Scaled Up the Dataset</w:t>
      </w:r>
    </w:p>
    <w:p>
      <w:pPr>
        <w:spacing w:after="120"/>
      </w:pPr>
      <w:r>
        <w:t xml:space="preserve">The previous best result used only 69 DESS + 69 PD volumes. I expanded to the full available dataset — 155 DESS + 155 PD volumes — more than doubling the training data. This gives the model exposure to greater anatomical variation, different knee shapes, and more imaging conditions.</w:t>
      </w:r>
    </w:p>
    <w:p>
      <w:pPr>
        <w:spacing w:after="80"/>
      </w:pPr>
    </w:p>
    <w:p>
      <w:pPr>
        <w:pStyle w:val="Heading2"/>
        <w:spacing w:after="100" w:before="240"/>
      </w:pPr>
      <w:r>
        <w:t xml:space="preserve">2. Trained Longer with Checkpoint Tracking</w:t>
      </w:r>
    </w:p>
    <w:p>
      <w:pPr>
        <w:spacing w:after="120"/>
      </w:pPr>
      <w:r>
        <w:t xml:space="preserve">The model trains in resume-able jobs on BigRed200 HPC (~20 epochs per job before timeout). I tracked the best checkpoint across all runs using validation L1 as a proxy metric and evaluated each with full FID/deformation metrics:</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600"/>
        <w:gridCol w:w="1800"/>
        <w:gridCol w:w="1000"/>
      </w:tblGrid>
      <w:tr>
        <w:tc>
          <w:tcPr>
            <w:tcW w:type="dxa" w:w="2200"/>
            <w:shd w:fill="2E5FA3" w:val="clear"/>
          </w:tcPr>
          <w:p>
            <w:pPr>
              <w:jc w:val="center"/>
            </w:pPr>
            <w:r>
              <w:rPr>
                <w:b/>
                <w:bCs/>
                <w:color w:val="FFFFFF"/>
              </w:rPr>
              <w:t xml:space="preserve">Checkpoint</w:t>
            </w:r>
          </w:p>
        </w:tc>
        <w:tc>
          <w:tcPr>
            <w:tcW w:type="dxa" w:w="1200"/>
            <w:shd w:fill="2E5FA3" w:val="clear"/>
          </w:tcPr>
          <w:p>
            <w:pPr>
              <w:jc w:val="center"/>
            </w:pPr>
            <w:r>
              <w:rPr>
                <w:b/>
                <w:bCs/>
                <w:color w:val="FFFFFF"/>
              </w:rPr>
              <w:t xml:space="preserve"># Patients</w:t>
            </w:r>
          </w:p>
        </w:tc>
        <w:tc>
          <w:tcPr>
            <w:tcW w:type="dxa" w:w="1000"/>
            <w:shd w:fill="2E5FA3" w:val="clear"/>
          </w:tcPr>
          <w:p>
            <w:pPr>
              <w:jc w:val="center"/>
            </w:pPr>
            <w:r>
              <w:rPr>
                <w:b/>
                <w:bCs/>
                <w:color w:val="FFFFFF"/>
              </w:rPr>
              <w:t xml:space="preserve">FID ↓</w:t>
            </w:r>
          </w:p>
        </w:tc>
        <w:tc>
          <w:tcPr>
            <w:tcW w:type="dxa" w:w="1600"/>
            <w:shd w:fill="2E5FA3" w:val="clear"/>
          </w:tcPr>
          <w:p>
            <w:pPr>
              <w:jc w:val="center"/>
            </w:pPr>
            <w:r>
              <w:rPr>
                <w:b/>
                <w:bCs/>
                <w:color w:val="FFFFFF"/>
              </w:rPr>
              <w:t xml:space="preserve">FID Improvement ↑</w:t>
            </w:r>
          </w:p>
        </w:tc>
        <w:tc>
          <w:tcPr>
            <w:tcW w:type="dxa" w:w="1800"/>
            <w:shd w:fill="2E5FA3" w:val="clear"/>
          </w:tcPr>
          <w:p>
            <w:pPr>
              <w:jc w:val="center"/>
            </w:pPr>
            <w:r>
              <w:rPr>
                <w:b/>
                <w:bCs/>
                <w:color w:val="FFFFFF"/>
              </w:rPr>
              <w:t xml:space="preserve">Meniscus Deformation ↓</w:t>
            </w:r>
          </w:p>
        </w:tc>
        <w:tc>
          <w:tcPr>
            <w:tcW w:type="dxa" w:w="1000"/>
            <w:shd w:fill="2E5FA3" w:val="clear"/>
          </w:tcPr>
          <w:p>
            <w:pPr>
              <w:jc w:val="center"/>
            </w:pPr>
            <w:r>
              <w:rPr>
                <w:b/>
                <w:bCs/>
                <w:color w:val="FFFFFF"/>
              </w:rPr>
              <w:t xml:space="preserve">Folding %</w:t>
            </w:r>
          </w:p>
        </w:tc>
      </w:tr>
      <w:tr>
        <w:tc>
          <w:tcPr>
            <w:tcW w:type="dxa" w:w="2200"/>
            <w:shd w:fill="EEF2FA" w:val="clear"/>
          </w:tcPr>
          <w:p>
            <w:pPr>
              <w:jc w:val="left"/>
            </w:pPr>
            <w:r>
              <w:t xml:space="preserve">Previous best</w:t>
            </w:r>
          </w:p>
        </w:tc>
        <w:tc>
          <w:tcPr>
            <w:tcW w:type="dxa" w:w="1200"/>
            <w:shd w:fill="EEF2FA" w:val="clear"/>
          </w:tcPr>
          <w:p>
            <w:pPr>
              <w:jc w:val="center"/>
            </w:pPr>
            <w:r>
              <w:t xml:space="preserve">69</w:t>
            </w:r>
          </w:p>
        </w:tc>
        <w:tc>
          <w:tcPr>
            <w:tcW w:type="dxa" w:w="1000"/>
            <w:shd w:fill="EEF2FA" w:val="clear"/>
          </w:tcPr>
          <w:p>
            <w:pPr>
              <w:jc w:val="center"/>
            </w:pPr>
            <w:r>
              <w:t xml:space="preserve">164.4</w:t>
            </w:r>
          </w:p>
        </w:tc>
        <w:tc>
          <w:tcPr>
            <w:tcW w:type="dxa" w:w="1600"/>
            <w:shd w:fill="EEF2FA" w:val="clear"/>
          </w:tcPr>
          <w:p>
            <w:pPr>
              <w:jc w:val="center"/>
            </w:pPr>
            <w:r>
              <w:t xml:space="preserve">96.0</w:t>
            </w:r>
          </w:p>
        </w:tc>
        <w:tc>
          <w:tcPr>
            <w:tcW w:type="dxa" w:w="1800"/>
            <w:shd w:fill="EEF2FA" w:val="clear"/>
          </w:tcPr>
          <w:p>
            <w:pPr>
              <w:jc w:val="center"/>
            </w:pPr>
            <w:r>
              <w:t xml:space="preserve">0.055 px</w:t>
            </w:r>
          </w:p>
        </w:tc>
        <w:tc>
          <w:tcPr>
            <w:tcW w:type="dxa" w:w="1000"/>
            <w:shd w:fill="EEF2FA" w:val="clear"/>
          </w:tcPr>
          <w:p>
            <w:pPr>
              <w:jc w:val="center"/>
            </w:pPr>
            <w:r>
              <w:t xml:space="preserve">0%</w:t>
            </w:r>
          </w:p>
        </w:tc>
      </w:tr>
      <w:tr>
        <w:tc>
          <w:tcPr>
            <w:tcW w:type="dxa" w:w="2200"/>
            <w:shd w:fill="FFFFFF" w:val="clear"/>
          </w:tcPr>
          <w:p>
            <w:pPr>
              <w:jc w:val="left"/>
            </w:pPr>
            <w:r>
              <w:t xml:space="preserve">Epoch 14</w:t>
            </w:r>
          </w:p>
        </w:tc>
        <w:tc>
          <w:tcPr>
            <w:tcW w:type="dxa" w:w="1200"/>
            <w:shd w:fill="FFFFFF" w:val="clear"/>
          </w:tcPr>
          <w:p>
            <w:pPr>
              <w:jc w:val="center"/>
            </w:pPr>
            <w:r>
              <w:t xml:space="preserve">155</w:t>
            </w:r>
          </w:p>
        </w:tc>
        <w:tc>
          <w:tcPr>
            <w:tcW w:type="dxa" w:w="1000"/>
            <w:shd w:fill="FFFFFF" w:val="clear"/>
          </w:tcPr>
          <w:p>
            <w:pPr>
              <w:jc w:val="center"/>
            </w:pPr>
            <w:r>
              <w:t xml:space="preserve">174.4</w:t>
            </w:r>
          </w:p>
        </w:tc>
        <w:tc>
          <w:tcPr>
            <w:tcW w:type="dxa" w:w="1600"/>
            <w:shd w:fill="FFFFFF" w:val="clear"/>
          </w:tcPr>
          <w:p>
            <w:pPr>
              <w:jc w:val="center"/>
            </w:pPr>
            <w:r>
              <w:t xml:space="preserve">75.2</w:t>
            </w:r>
          </w:p>
        </w:tc>
        <w:tc>
          <w:tcPr>
            <w:tcW w:type="dxa" w:w="1800"/>
            <w:shd w:fill="FFFFFF" w:val="clear"/>
          </w:tcPr>
          <w:p>
            <w:pPr>
              <w:jc w:val="center"/>
            </w:pPr>
            <w:r>
              <w:t xml:space="preserve">0.075 px</w:t>
            </w:r>
          </w:p>
        </w:tc>
        <w:tc>
          <w:tcPr>
            <w:tcW w:type="dxa" w:w="1000"/>
            <w:shd w:fill="FFFFFF" w:val="clear"/>
          </w:tcPr>
          <w:p>
            <w:pPr>
              <w:jc w:val="center"/>
            </w:pPr>
            <w:r>
              <w:t xml:space="preserve">0%</w:t>
            </w:r>
          </w:p>
        </w:tc>
      </w:tr>
      <w:tr>
        <w:tc>
          <w:tcPr>
            <w:tcW w:type="dxa" w:w="2200"/>
            <w:shd w:fill="EEF2FA" w:val="clear"/>
          </w:tcPr>
          <w:p>
            <w:pPr>
              <w:jc w:val="left"/>
            </w:pPr>
            <w:r>
              <w:t xml:space="preserve">Epoch 34</w:t>
            </w:r>
          </w:p>
        </w:tc>
        <w:tc>
          <w:tcPr>
            <w:tcW w:type="dxa" w:w="1200"/>
            <w:shd w:fill="EEF2FA" w:val="clear"/>
          </w:tcPr>
          <w:p>
            <w:pPr>
              <w:jc w:val="center"/>
            </w:pPr>
            <w:r>
              <w:t xml:space="preserve">155</w:t>
            </w:r>
          </w:p>
        </w:tc>
        <w:tc>
          <w:tcPr>
            <w:tcW w:type="dxa" w:w="1000"/>
            <w:shd w:fill="EEF2FA" w:val="clear"/>
          </w:tcPr>
          <w:p>
            <w:pPr>
              <w:jc w:val="center"/>
            </w:pPr>
            <w:r>
              <w:t xml:space="preserve">174.4</w:t>
            </w:r>
          </w:p>
        </w:tc>
        <w:tc>
          <w:tcPr>
            <w:tcW w:type="dxa" w:w="1600"/>
            <w:shd w:fill="EEF2FA" w:val="clear"/>
          </w:tcPr>
          <w:p>
            <w:pPr>
              <w:jc w:val="center"/>
            </w:pPr>
            <w:r>
              <w:t xml:space="preserve">75.2</w:t>
            </w:r>
          </w:p>
        </w:tc>
        <w:tc>
          <w:tcPr>
            <w:tcW w:type="dxa" w:w="1800"/>
            <w:shd w:fill="EEF2FA" w:val="clear"/>
          </w:tcPr>
          <w:p>
            <w:pPr>
              <w:jc w:val="center"/>
            </w:pPr>
            <w:r>
              <w:t xml:space="preserve">0.075 px</w:t>
            </w:r>
          </w:p>
        </w:tc>
        <w:tc>
          <w:tcPr>
            <w:tcW w:type="dxa" w:w="1000"/>
            <w:shd w:fill="EEF2FA" w:val="clear"/>
          </w:tcPr>
          <w:p>
            <w:pPr>
              <w:jc w:val="center"/>
            </w:pPr>
            <w:r>
              <w:t xml:space="preserve">0%</w:t>
            </w:r>
          </w:p>
        </w:tc>
      </w:tr>
      <w:tr>
        <w:tc>
          <w:tcPr>
            <w:tcW w:type="dxa" w:w="2200"/>
            <w:shd w:fill="FFFFFF" w:val="clear"/>
          </w:tcPr>
          <w:p>
            <w:pPr>
              <w:jc w:val="left"/>
            </w:pPr>
            <w:r>
              <w:rPr>
                <w:b/>
                <w:bCs/>
              </w:rPr>
              <w:t xml:space="preserve">Epoch 52 ★ Current Best</w:t>
            </w:r>
          </w:p>
        </w:tc>
        <w:tc>
          <w:tcPr>
            <w:tcW w:type="dxa" w:w="1200"/>
            <w:shd w:fill="FFFFFF" w:val="clear"/>
          </w:tcPr>
          <w:p>
            <w:pPr>
              <w:jc w:val="center"/>
            </w:pPr>
            <w:r>
              <w:rPr>
                <w:b/>
                <w:bCs/>
              </w:rPr>
              <w:t xml:space="preserve">155</w:t>
            </w:r>
          </w:p>
        </w:tc>
        <w:tc>
          <w:tcPr>
            <w:tcW w:type="dxa" w:w="1000"/>
            <w:shd w:fill="FFFFFF" w:val="clear"/>
          </w:tcPr>
          <w:p>
            <w:pPr>
              <w:jc w:val="center"/>
            </w:pPr>
            <w:r>
              <w:rPr>
                <w:b/>
                <w:bCs/>
              </w:rPr>
              <w:t xml:space="preserve">147.6</w:t>
            </w:r>
          </w:p>
        </w:tc>
        <w:tc>
          <w:tcPr>
            <w:tcW w:type="dxa" w:w="1600"/>
            <w:shd w:fill="FFFFFF" w:val="clear"/>
          </w:tcPr>
          <w:p>
            <w:pPr>
              <w:jc w:val="center"/>
            </w:pPr>
            <w:r>
              <w:rPr>
                <w:b/>
                <w:bCs/>
              </w:rPr>
              <w:t xml:space="preserve">102.0</w:t>
            </w:r>
          </w:p>
        </w:tc>
        <w:tc>
          <w:tcPr>
            <w:tcW w:type="dxa" w:w="1800"/>
            <w:shd w:fill="FFFFFF" w:val="clear"/>
          </w:tcPr>
          <w:p>
            <w:pPr>
              <w:jc w:val="center"/>
            </w:pPr>
            <w:r>
              <w:rPr>
                <w:b/>
                <w:bCs/>
              </w:rPr>
              <w:t xml:space="preserve">0.065 px</w:t>
            </w:r>
          </w:p>
        </w:tc>
        <w:tc>
          <w:tcPr>
            <w:tcW w:type="dxa" w:w="1000"/>
            <w:shd w:fill="FFFFFF" w:val="clear"/>
          </w:tcPr>
          <w:p>
            <w:pPr>
              <w:jc w:val="center"/>
            </w:pPr>
            <w:r>
              <w:rPr>
                <w:b/>
                <w:bCs/>
              </w:rPr>
              <w:t xml:space="preserve">0%</w:t>
            </w:r>
          </w:p>
        </w:tc>
      </w:tr>
    </w:tbl>
    <w:p>
      <w:pPr>
        <w:spacing w:after="80"/>
      </w:pPr>
    </w:p>
    <w:p>
      <w:pPr>
        <w:spacing w:after="120"/>
      </w:pPr>
      <w:r>
        <w:t xml:space="preserve">Epoch 52 is the best overall — FID 147.6 beats the previous 69-patient best (164.4), and FID improvement of 102.0 is the highest yet. The larger dataset initially hurt early-epoch metrics (more variance to learn), but by epoch 52 the model surpassed the old run entirely. Deformation remains sub-pixel with 0% topology violations across all checkpoints.</w:t>
      </w:r>
    </w:p>
    <w:p>
      <w:pPr>
        <w:spacing w:after="80"/>
      </w:pPr>
    </w:p>
    <w:p>
      <w:pPr>
        <w:pStyle w:val="Heading1"/>
        <w:spacing w:after="120" w:before="300"/>
      </w:pPr>
      <w:r>
        <w:t xml:space="preserve">Why Wait for Epoch 100+ (Learning Rate Decay)</w:t>
      </w:r>
    </w:p>
    <w:p>
      <w:pPr>
        <w:spacing w:after="120"/>
      </w:pPr>
      <w:r>
        <w:t xml:space="preserve">Training uses a standard two-phase learning rate schedule:</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800"/>
      </w:tblGrid>
      <w:tr>
        <w:tc>
          <w:tcPr>
            <w:tcW w:type="dxa" w:w="1600"/>
            <w:shd w:fill="2E5FA3" w:val="clear"/>
          </w:tcPr>
          <w:p>
            <w:pPr>
              <w:jc w:val="center"/>
            </w:pPr>
            <w:r>
              <w:rPr>
                <w:b/>
                <w:bCs/>
                <w:color w:val="FFFFFF"/>
              </w:rPr>
              <w:t xml:space="preserve">Phase</w:t>
            </w:r>
          </w:p>
        </w:tc>
        <w:tc>
          <w:tcPr>
            <w:tcW w:type="dxa" w:w="1400"/>
            <w:shd w:fill="2E5FA3" w:val="clear"/>
          </w:tcPr>
          <w:p>
            <w:pPr>
              <w:jc w:val="center"/>
            </w:pPr>
            <w:r>
              <w:rPr>
                <w:b/>
                <w:bCs/>
                <w:color w:val="FFFFFF"/>
              </w:rPr>
              <w:t xml:space="preserve">Epochs</w:t>
            </w:r>
          </w:p>
        </w:tc>
        <w:tc>
          <w:tcPr>
            <w:tcW w:type="dxa" w:w="5800"/>
            <w:shd w:fill="2E5FA3" w:val="clear"/>
          </w:tcPr>
          <w:p>
            <w:pPr>
              <w:jc w:val="center"/>
            </w:pPr>
            <w:r>
              <w:rPr>
                <w:b/>
                <w:bCs/>
                <w:color w:val="FFFFFF"/>
              </w:rPr>
              <w:t xml:space="preserve">Behaviour</w:t>
            </w:r>
          </w:p>
        </w:tc>
      </w:tr>
      <w:tr>
        <w:tc>
          <w:tcPr>
            <w:tcW w:type="dxa" w:w="1600"/>
            <w:shd w:fill="EEF2FA" w:val="clear"/>
          </w:tcPr>
          <w:p>
            <w:pPr>
              <w:jc w:val="left"/>
            </w:pPr>
            <w:r>
              <w:t xml:space="preserve">Constant LR</w:t>
            </w:r>
          </w:p>
        </w:tc>
        <w:tc>
          <w:tcPr>
            <w:tcW w:type="dxa" w:w="1400"/>
            <w:shd w:fill="EEF2FA" w:val="clear"/>
          </w:tcPr>
          <w:p>
            <w:pPr>
              <w:jc w:val="center"/>
            </w:pPr>
            <w:r>
              <w:t xml:space="preserve">0 → 50</w:t>
            </w:r>
          </w:p>
        </w:tc>
        <w:tc>
          <w:tcPr>
            <w:tcW w:type="dxa" w:w="5800"/>
            <w:shd w:fill="EEF2FA" w:val="clear"/>
          </w:tcPr>
          <w:p>
            <w:pPr>
              <w:jc w:val="center"/>
            </w:pPr>
            <w:r>
              <w:t xml:space="preserve">Large updates. Model explores broadly. Val loss oscillates (normal GAN behaviour).</w:t>
            </w:r>
          </w:p>
        </w:tc>
      </w:tr>
      <w:tr>
        <w:tc>
          <w:tcPr>
            <w:tcW w:type="dxa" w:w="1600"/>
            <w:shd w:fill="FFFFFF" w:val="clear"/>
          </w:tcPr>
          <w:p>
            <w:pPr>
              <w:jc w:val="left"/>
            </w:pPr>
            <w:r>
              <w:t xml:space="preserve">Linear LR Decay</w:t>
            </w:r>
          </w:p>
        </w:tc>
        <w:tc>
          <w:tcPr>
            <w:tcW w:type="dxa" w:w="1400"/>
            <w:shd w:fill="FFFFFF" w:val="clear"/>
          </w:tcPr>
          <w:p>
            <w:pPr>
              <w:jc w:val="center"/>
            </w:pPr>
            <w:r>
              <w:t xml:space="preserve">50 → 100</w:t>
            </w:r>
          </w:p>
        </w:tc>
        <w:tc>
          <w:tcPr>
            <w:tcW w:type="dxa" w:w="5800"/>
            <w:shd w:fill="FFFFFF" w:val="clear"/>
          </w:tcPr>
          <w:p>
            <w:pPr>
              <w:jc w:val="center"/>
            </w:pPr>
            <w:r>
              <w:t xml:space="preserve">Updates shrink linearly to zero. Model settles into best minimum instead of jumping around.</w:t>
            </w:r>
          </w:p>
        </w:tc>
      </w:tr>
    </w:tbl>
    <w:p>
      <w:pPr>
        <w:spacing w:after="80"/>
      </w:pPr>
    </w:p>
    <w:p>
      <w:pPr>
        <w:spacing w:after="120"/>
      </w:pPr>
      <w:r>
        <w:t xml:space="preserve">Currently at epoch 59 — decay has just begun (decay starts at epoch 50 in the current schedule). The best quality checkpoint in CycleGAN-style training typically comes from the decay phase, where the model fine-tunes rather than making large updates. Stopping at epoch 52 would leave the model unsettled.</w:t>
      </w:r>
    </w:p>
    <w:p>
      <w:pPr>
        <w:spacing w:after="120"/>
      </w:pPr>
      <w:r>
        <w:t xml:space="preserve">Training is running in the background on BigRed200 and will complete at epoch 100 (~31 more hours).</w:t>
      </w:r>
    </w:p>
    <w:p>
      <w:pPr>
        <w:spacing w:after="80"/>
      </w:pPr>
    </w:p>
    <w:p>
      <w:pPr>
        <w:pStyle w:val="Heading1"/>
        <w:spacing w:after="120" w:before="300"/>
      </w:pPr>
      <w:r>
        <w:t xml:space="preserve">Next Steps</w:t>
      </w:r>
    </w:p>
    <w:p>
      <w:pPr>
        <w:pStyle w:val="Heading2"/>
        <w:spacing w:after="100" w:before="240"/>
      </w:pPr>
      <w:r>
        <w:t xml:space="preserve">1. RegGAN Training — Waiting for Epoch 100</w:t>
      </w:r>
    </w:p>
    <w:p>
      <w:pPr>
        <w:spacing w:after="120"/>
      </w:pPr>
      <w:r>
        <w:t xml:space="preserve">Resume training is running in background (BigRed200, gpu partition). Once epoch 100 completes, the best checkpoint from the LR decay phase will be evaluated with full metrics (FID, SSIM, Jacobian, deformation).</w:t>
      </w:r>
    </w:p>
    <w:p>
      <w:pPr>
        <w:spacing w:after="80"/>
      </w:pPr>
    </w:p>
    <w:p>
      <w:pPr>
        <w:pStyle w:val="Heading2"/>
        <w:spacing w:after="100" w:before="240"/>
      </w:pPr>
      <w:r>
        <w:t xml:space="preserve">2. Fine-tuning Segmentation — In Parallel</w:t>
      </w:r>
    </w:p>
    <w:p>
      <w:pPr>
        <w:spacing w:after="120"/>
      </w:pPr>
      <w:r>
        <w:t xml:space="preserve">Fine-tuning the segmentation model on epoch 52 fake PD is already running. This will tell us whether the better domain adaptation (FID 147.6) translates to improved Dice on real PD.</w:t>
      </w:r>
    </w:p>
    <w:p>
      <w:pPr>
        <w:spacing w:after="120"/>
      </w:pPr>
      <w:r>
        <w:t xml:space="preserve">Once epoch 100 RegGAN completes, fine-tuning will be re-run on the new (likely better) fake PD to compare Dice scores across checkpoints.</w:t>
      </w:r>
    </w:p>
    <w:p>
      <w:pPr>
        <w:spacing w:after="80"/>
      </w:pPr>
    </w:p>
    <w:p>
      <w:pPr>
        <w:pStyle w:val="Heading2"/>
        <w:spacing w:after="100" w:before="240"/>
      </w:pPr>
      <w:r>
        <w:t xml:space="preserve">3. Segmentation on Labeled Real PD — Pending Abhay</w:t>
      </w:r>
    </w:p>
    <w:p>
      <w:pPr>
        <w:spacing w:after="120"/>
      </w:pPr>
      <w:r>
        <w:t xml:space="preserve">To compute Dice on actual real PD images, we need ground truth segmentation masks for the IU PD dataset. Abhay is currently manually segmenting the labeled real PD patients (files sent to him). Once those labels are ready (expected this week), we will:</w:t>
      </w:r>
    </w:p>
    <w:p>
      <w:pPr>
        <w:pStyle w:val="ListParagraph"/>
        <w:numPr>
          <w:ilvl w:val="0"/>
          <w:numId w:val="1"/>
        </w:numPr>
        <w:spacing w:after="80"/>
      </w:pPr>
      <w:r>
        <w:t xml:space="preserve">Run the fine-tuned model on all labeled real PD volumes</w:t>
      </w:r>
    </w:p>
    <w:p>
      <w:pPr>
        <w:pStyle w:val="ListParagraph"/>
        <w:numPr>
          <w:ilvl w:val="0"/>
          <w:numId w:val="1"/>
        </w:numPr>
        <w:spacing w:after="80"/>
      </w:pPr>
      <w:r>
        <w:t xml:space="preserve">Compute Dice score against Abhay's manual segmentations</w:t>
      </w:r>
    </w:p>
    <w:p>
      <w:pPr>
        <w:pStyle w:val="ListParagraph"/>
        <w:numPr>
          <w:ilvl w:val="0"/>
          <w:numId w:val="1"/>
        </w:numPr>
        <w:spacing w:after="80"/>
      </w:pPr>
      <w:r>
        <w:t xml:space="preserve">This is the true end-to-end validation of the full pipeline</w:t>
      </w:r>
    </w:p>
    <w:p>
      <w:pPr>
        <w:spacing w:after="80"/>
      </w:pPr>
    </w:p>
    <w:p>
      <w:pPr>
        <w:pBdr>
          <w:bottom w:val="single" w:color="CCCCCC" w:sz="6"/>
        </w:pBdr>
        <w:spacing w:after="160"/>
      </w:pPr>
    </w:p>
    <w:p>
      <w:pPr>
        <w:jc w:val="center"/>
      </w:pPr>
      <w:r>
        <w:rPr>
          <w:color w:val="888888"/>
          <w:sz w:val="18"/>
          <w:szCs w:val="18"/>
        </w:rPr>
        <w:t xml:space="preserve">All experiments run on NVIDIA A100 40GB · BigRed200 HPC · IU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2026-07-28T12:11:21.560Z</dcterms:created>
  <dcterms:modified xsi:type="dcterms:W3CDTF">2026-07-28T12:11:21.561Z</dcterms:modified>
</cp:coreProperties>
</file>

<file path=docProps/custom.xml><?xml version="1.0" encoding="utf-8"?>
<Properties xmlns="http://schemas.openxmlformats.org/officeDocument/2006/custom-properties" xmlns:vt="http://schemas.openxmlformats.org/officeDocument/2006/docPropsVTypes"/>
</file>