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Label-Efficient Meniscus Segmentation in PD-Weighted Knee MRI via Registration-Constrained DESS-to-PD Translation, with Evaluation on Torn Menisci</w:t>
      </w:r>
    </w:p>
    <w:p>
      <w:pPr>
        <w:spacing w:after="20"/>
        <w:jc w:val="center"/>
      </w:pPr>
      <w:r>
        <w:rPr>
          <w:rFonts w:ascii="Times New Roman" w:cs="Times New Roman" w:eastAsia="Times New Roman" w:hAnsi="Times New Roman"/>
          <w:sz w:val="22"/>
          <w:szCs w:val="22"/>
        </w:rPr>
        <w:t xml:space="preserve">Anshika Bajpai and Rakesh Shiradkar</w:t>
      </w:r>
    </w:p>
    <w:p>
      <w:pPr>
        <w:spacing w:after="20"/>
        <w:jc w:val="center"/>
      </w:pPr>
      <w:r>
        <w:rPr>
          <w:rFonts w:ascii="Times New Roman" w:cs="Times New Roman" w:eastAsia="Times New Roman" w:hAnsi="Times New Roman"/>
          <w:i/>
          <w:iCs/>
          <w:sz w:val="18"/>
          <w:szCs w:val="18"/>
        </w:rPr>
        <w:t xml:space="preserve">Department of Biomedical Engineering and Informatics, Indiana University Indianapolis, Indianapolis, IN, USA</w:t>
      </w:r>
    </w:p>
    <w:p>
      <w:pPr>
        <w:pBdr>
          <w:left w:val="single" w:color="B45F06" w:sz="12" w:space="4"/>
        </w:pBdr>
        <w:shd w:fill="FFF2CC" w:val="clear"/>
        <w:spacing w:after="100" w:before="40" w:line="252"/>
        <w:jc w:val="center"/>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Confirm the full author list and order (annotators, radiologist co-author, anyone who curated the torn cohort). Check whether the target venue is double blind; if so, remove names, affiliation and the acknowledgments before submission.</w:t>
      </w:r>
    </w:p>
    <w:p>
      <w:pPr>
        <w:pBdr>
          <w:top w:val="single" w:color="808080" w:sz="6" w:space="4"/>
          <w:bottom w:val="single" w:color="808080" w:sz="6" w:space="4"/>
        </w:pBdr>
        <w:spacing w:after="40" w:before="60"/>
      </w:pPr>
      <w:r>
        <w:rPr>
          <w:rFonts w:ascii="Times New Roman" w:cs="Times New Roman" w:eastAsia="Times New Roman" w:hAnsi="Times New Roman"/>
          <w:b/>
          <w:bCs/>
          <w:sz w:val="18"/>
          <w:szCs w:val="18"/>
        </w:rPr>
        <w:t xml:space="preserve">How to read this draft. </w:t>
      </w:r>
      <w:r>
        <w:rPr>
          <w:rFonts w:ascii="Times New Roman" w:cs="Times New Roman" w:eastAsia="Times New Roman" w:hAnsi="Times New Roman"/>
          <w:sz w:val="18"/>
          <w:szCs w:val="18"/>
        </w:rPr>
        <w:t xml:space="preserve">Black text is finalized content backed by completed experiments in this repository. </w:t>
      </w:r>
      <w:r>
        <w:rPr>
          <w:rFonts w:ascii="Times New Roman" w:cs="Times New Roman" w:eastAsia="Times New Roman" w:hAnsi="Times New Roman"/>
          <w:color w:val="B45F06"/>
          <w:sz w:val="18"/>
          <w:szCs w:val="18"/>
          <w:shd w:fill="FFF2CC" w:val="clear"/>
        </w:rPr>
        <w:t xml:space="preserve">Orange shaded text marks a placeholder: missing data, an experiment not yet run, a claim that needs verification, or an improvement that would strengthen the paper. Replace or delete every orange block before submission.</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Venue. This draft is organised for ISBI 2027 (full paper due 26 Oct 2026 and a 4 page limit plus references, per your planning notes; confirm the page limit and blind policy when the call for papers posts). The same content maps to CVPR, but your own scoring puts CVPR as a poor fit (single site, small labeled cohort), so ISBI or MICCAI is the better target. The draft is longer than 4 pages; cut Sections 2, 4.3 and 5 first, and move the position-aware ablation to a supplement.</w:t>
      </w:r>
    </w:p>
    <w:p>
      <w:pPr>
        <w:spacing w:after="40" w:before="100"/>
      </w:pPr>
      <w:r>
        <w:rPr>
          <w:rFonts w:ascii="Times New Roman" w:cs="Times New Roman" w:eastAsia="Times New Roman" w:hAnsi="Times New Roman"/>
          <w:b/>
          <w:bCs/>
          <w:i/>
          <w:iCs/>
          <w:sz w:val="20"/>
          <w:szCs w:val="20"/>
        </w:rPr>
        <w:t xml:space="preserve">Abstract</w:t>
      </w:r>
    </w:p>
    <w:p>
      <w:pPr>
        <w:spacing w:after="100" w:line="252"/>
        <w:jc w:val="both"/>
      </w:pPr>
      <w:r>
        <w:rPr>
          <w:rFonts w:ascii="Times New Roman" w:cs="Times New Roman" w:eastAsia="Times New Roman" w:hAnsi="Times New Roman"/>
          <w:sz w:val="20"/>
          <w:szCs w:val="20"/>
        </w:rPr>
        <w:t xml:space="preserve">Automated meniscus segmentation in clinical proton density (PD) weighted knee MRI is limited by the scarcity of voxel-level labels, whereas public dual-echo steady-state (DESS) knee datasets are densely annotated. Fluid appears dark on DESS and bright on PD, so a DESS-trained model scores a Dice of 0.00 on real PD, and unconstrained image translation deforms the very anatomy the labels describe. We translate DESS volumes to synthetic PD with a registration-constrained GAN (RegGAN) that penalises the magnitude and roughness of the predicted deformation field (mean Jacobian determinant 1.00006, 0% folding, 0.055 px mean meniscus displacement), and fine-tune a 2.5D U-Net with a ResNet34 encoder on the synthetic slices and their inherited DESS masks. On 17 held-out, expert-annotated PD patients this reaches a Dice of 0.69, and 0.78 when a small set of annotated real PD patients is added. A cross-slice ConvLSTM at the encoder bottleneck combined with a fixed knee crop raises this to 0.806, the only change that improved on the baseline by more than our measured noise floor (0.0226); none of six position-aware variants did. Applied without retraining to five torn-meniscus patients, the models reach a mean Dice of 0.72 (2.5D replica recipe) and 0.73 (crop and sequence) against single-rater masks, with errors split between over-segmentation into adjacent grey tissue and under-segmentation at the ends of the structure. </w:t>
      </w:r>
      <w:r>
        <w:rPr>
          <w:rFonts w:ascii="Times New Roman" w:cs="Times New Roman" w:eastAsia="Times New Roman" w:hAnsi="Times New Roman"/>
          <w:color w:val="B45F06"/>
          <w:sz w:val="20"/>
          <w:szCs w:val="20"/>
          <w:shd w:fill="FFF2CC" w:val="clear"/>
        </w:rPr>
        <w:t xml:space="preserve">[Add one sentence with the clinical confirmation of tears and the headline torn-cohort result once more torn patients are labeled and a second rater is available.]</w:t>
      </w:r>
    </w:p>
    <w:p>
      <w:pPr>
        <w:spacing w:after="100"/>
        <w:sectPr>
          <w:pgSz w:w="12240" w:h="15840" w:orient="portrait"/>
          <w:pgMar w:top="1000" w:right="1080" w:bottom="1000" w:left="1080" w:header="708" w:footer="708" w:gutter="0"/>
          <w:pgNumType/>
          <w:docGrid w:linePitch="360"/>
        </w:sectPr>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i/>
          <w:iCs/>
          <w:sz w:val="18"/>
          <w:szCs w:val="18"/>
        </w:rPr>
        <w:t xml:space="preserve">meniscus segmentation, domain adaptation, unpaired image translation, knee MRI, torn meniscus, label efficiency</w:t>
      </w:r>
    </w:p>
    <w:p>
      <w:pPr>
        <w:pStyle w:val="Heading1"/>
      </w:pPr>
      <w:r>
        <w:rPr>
          <w:rFonts w:ascii="Times New Roman" w:cs="Times New Roman" w:eastAsia="Times New Roman" w:hAnsi="Times New Roman"/>
          <w:b/>
          <w:bCs/>
          <w:sz w:val="22"/>
          <w:szCs w:val="22"/>
        </w:rPr>
        <w:t xml:space="preserve">1. INTRODUCTION</w:t>
      </w:r>
    </w:p>
    <w:p>
      <w:pPr>
        <w:spacing w:after="100" w:line="252"/>
        <w:jc w:val="both"/>
      </w:pPr>
      <w:r>
        <w:rPr>
          <w:rFonts w:ascii="Times New Roman" w:cs="Times New Roman" w:eastAsia="Times New Roman" w:hAnsi="Times New Roman"/>
          <w:sz w:val="20"/>
          <w:szCs w:val="20"/>
        </w:rPr>
        <w:t xml:space="preserve">The menisci distribute load, absorb shock and stabilise the knee, and meniscal injury is a frequent reason for knee MRI. PD-weighted fast spin echo is a dominant clinical protocol for knee evaluation, but building a supervised meniscus segmentation model for it requires expert voxel-level annotation, which is slow and expensive. </w:t>
      </w:r>
      <w:r>
        <w:rPr>
          <w:rFonts w:ascii="Times New Roman" w:cs="Times New Roman" w:eastAsia="Times New Roman" w:hAnsi="Times New Roman"/>
          <w:color w:val="B45F06"/>
          <w:sz w:val="20"/>
          <w:szCs w:val="20"/>
          <w:shd w:fill="FFF2CC" w:val="clear"/>
        </w:rPr>
        <w:t xml:space="preserve">[Add an epidemiology citation for meniscal tear prevalence and one sentence on why quantitative meniscus measures matter clinically.]</w:t>
      </w:r>
    </w:p>
    <w:p>
      <w:pPr>
        <w:spacing w:after="100" w:line="252"/>
        <w:jc w:val="both"/>
      </w:pPr>
      <w:r>
        <w:rPr>
          <w:rFonts w:ascii="Times New Roman" w:cs="Times New Roman" w:eastAsia="Times New Roman" w:hAnsi="Times New Roman"/>
          <w:sz w:val="20"/>
          <w:szCs w:val="20"/>
        </w:rPr>
        <w:t xml:space="preserve">Public DESS datasets such as SKM-TEA [1] ship with dense expert segmentations, including the lateral and medial menisci. The two sequences differ strongly in contrast: fluid and cartilage are dark on DESS and bright on PD. A DESS-trained network therefore fails on PD (Dice 0.00 in our experiments), and unpaired translation methods such as CycleGAN [2] can change appearance but also introduce uncontrolled spatial deformation, which corrupts the masks that are meant to carry over to the synthetic images.</w:t>
      </w:r>
    </w:p>
    <w:p>
      <w:pPr>
        <w:spacing w:after="100" w:line="252"/>
        <w:jc w:val="both"/>
      </w:pPr>
      <w:r>
        <w:rPr>
          <w:rFonts w:ascii="Times New Roman" w:cs="Times New Roman" w:eastAsia="Times New Roman" w:hAnsi="Times New Roman"/>
          <w:sz w:val="20"/>
          <w:szCs w:val="20"/>
        </w:rPr>
        <w:t xml:space="preserve">We use a registration-constrained translation network, RegGAN [3], with explicit penalties on the size and smoothness of the learned deformation, so that DESS masks remain valid on the synthetic PD volumes. We then study how far synthetic PD alone can take a 2.5D segmentation network, how much a small annotated real PD set adds, and which architectural changes help under the through-plane spacing mismatch between DESS (0.8 mm) and PD (3.6 mm). Finally, we apply the resulting models, unchanged, to torn menisci, where tear signal (bright fluid within or beside the dark fibrocartilage) makes the appearance harder than in healthy knees.</w:t>
      </w:r>
    </w:p>
    <w:p>
      <w:pPr>
        <w:spacing w:after="100" w:line="252"/>
        <w:jc w:val="both"/>
      </w:pPr>
      <w:r>
        <w:rPr>
          <w:rFonts w:ascii="Times New Roman" w:cs="Times New Roman" w:eastAsia="Times New Roman" w:hAnsi="Times New Roman"/>
          <w:b/>
          <w:bCs/>
          <w:sz w:val="20"/>
          <w:szCs w:val="20"/>
        </w:rPr>
        <w:t xml:space="preserve">Contributions. </w:t>
      </w:r>
      <w:r>
        <w:rPr>
          <w:rFonts w:ascii="Times New Roman" w:cs="Times New Roman" w:eastAsia="Times New Roman" w:hAnsi="Times New Roman"/>
          <w:sz w:val="20"/>
          <w:szCs w:val="20"/>
        </w:rPr>
        <w:t xml:space="preserve">(i) An anatomy-verified DESS-to-PD translation, with Jacobian-based evidence of near-rigid behaviour. (ii) A label-efficient segmentation recipe evaluated on 17 held-out patients with a measured noise floor, including negative results. (iii) A zero-shot evaluation on five torn-meniscus patients with a quantitative failure analysis.</w:t>
      </w:r>
    </w:p>
    <w:p>
      <w:pPr>
        <w:pStyle w:val="Heading1"/>
      </w:pPr>
      <w:r>
        <w:rPr>
          <w:rFonts w:ascii="Times New Roman" w:cs="Times New Roman" w:eastAsia="Times New Roman" w:hAnsi="Times New Roman"/>
          <w:b/>
          <w:bCs/>
          <w:sz w:val="22"/>
          <w:szCs w:val="22"/>
        </w:rPr>
        <w:t xml:space="preserve">2. RELATED WORK</w:t>
      </w:r>
    </w:p>
    <w:p>
      <w:pPr>
        <w:spacing w:after="100" w:line="252"/>
        <w:jc w:val="both"/>
      </w:pPr>
      <w:r>
        <w:rPr>
          <w:rFonts w:ascii="Times New Roman" w:cs="Times New Roman" w:eastAsia="Times New Roman" w:hAnsi="Times New Roman"/>
          <w:sz w:val="20"/>
          <w:szCs w:val="20"/>
        </w:rPr>
        <w:t xml:space="preserve">Meniscus segmentation on thin-slice 3D DESS is well studied. SKM-TEA reports a Dice of about 0.85 for the meniscus with a 2D U-Net or V-Net trained on dense native labels [1], and the IWOAI challenge found top architectures statistically close when data and labels match [4]. Adversarial shape priors [5] and large 2D U-Net studies [6] report similar or higher values on high-resolution DESS. Our setting differs: clinical 2D PD with 3.6 mm slices, a small annotated real-PD set, and labels transferred from another modality.</w:t>
      </w:r>
    </w:p>
    <w:p>
      <w:pPr>
        <w:spacing w:after="100" w:line="252"/>
        <w:jc w:val="both"/>
      </w:pPr>
      <w:r>
        <w:rPr>
          <w:rFonts w:ascii="Times New Roman" w:cs="Times New Roman" w:eastAsia="Times New Roman" w:hAnsi="Times New Roman"/>
          <w:sz w:val="20"/>
          <w:szCs w:val="20"/>
        </w:rPr>
        <w:t xml:space="preserve">Unpaired translation with cycle consistency [2] is widely used for medical modality transfer, but spatial fidelity is not guaranteed. RegGAN [3] adds a registration network, in the spirit of learning-based deformable registration [7], to correct misalignment during training. We reuse this idea and add direct penalties on deformation magnitude and smoothness to enforce minimal geometric change. For cross-slice context, ConvLSTM [8] provides a learned recurrent aggregation, in contrast to stacking neighbouring slices as input channels.</w:t>
      </w:r>
    </w:p>
    <w:p>
      <w:pPr>
        <w:spacing w:after="100" w:line="252"/>
        <w:jc w:val="both"/>
      </w:pPr>
      <w:r>
        <w:rPr>
          <w:rFonts w:ascii="Times New Roman" w:cs="Times New Roman" w:eastAsia="Times New Roman" w:hAnsi="Times New Roman"/>
          <w:sz w:val="20"/>
          <w:szCs w:val="20"/>
        </w:rPr>
        <w:t xml:space="preserve">For tear detection, fastMRI+ [9] provides radiologist bounding boxes on coronal knee scans, which are not pixel-level masks and not sagittal.</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Add and compare against: SAMRI-2 (slice-memory propagation, Sci Rep 2025), 3D nnU-Net, recent cross-modality MRI domain adaptation and diffusion-based translation papers, and published torn-meniscus detection or segmentation work. State their reported Dice next to ours in a literature table, and verify every number before citing (your notes mark several literature values as unverified).</w:t>
      </w:r>
    </w:p>
    <w:p>
      <w:pPr>
        <w:pStyle w:val="Heading1"/>
      </w:pPr>
      <w:r>
        <w:rPr>
          <w:rFonts w:ascii="Times New Roman" w:cs="Times New Roman" w:eastAsia="Times New Roman" w:hAnsi="Times New Roman"/>
          <w:b/>
          <w:bCs/>
          <w:sz w:val="22"/>
          <w:szCs w:val="22"/>
        </w:rPr>
        <w:t xml:space="preserve">3. METHODS</w:t>
      </w:r>
    </w:p>
    <w:p>
      <w:pPr>
        <w:pStyle w:val="Heading2"/>
      </w:pPr>
      <w:r>
        <w:rPr>
          <w:rFonts w:ascii="Times New Roman" w:cs="Times New Roman" w:eastAsia="Times New Roman" w:hAnsi="Times New Roman"/>
          <w:b/>
          <w:bCs/>
          <w:i/>
          <w:iCs/>
          <w:sz w:val="20"/>
          <w:szCs w:val="20"/>
        </w:rPr>
        <w:t xml:space="preserve">3.1 Data</w:t>
      </w:r>
    </w:p>
    <w:p>
      <w:pPr>
        <w:spacing w:after="100" w:line="252"/>
        <w:jc w:val="both"/>
      </w:pPr>
      <w:r>
        <w:rPr>
          <w:rFonts w:ascii="Times New Roman" w:cs="Times New Roman" w:eastAsia="Times New Roman" w:hAnsi="Times New Roman"/>
          <w:b/>
          <w:bCs/>
          <w:sz w:val="20"/>
          <w:szCs w:val="20"/>
        </w:rPr>
        <w:t xml:space="preserve">DESS (source). </w:t>
      </w:r>
      <w:r>
        <w:rPr>
          <w:rFonts w:ascii="Times New Roman" w:cs="Times New Roman" w:eastAsia="Times New Roman" w:hAnsi="Times New Roman"/>
          <w:sz w:val="20"/>
          <w:szCs w:val="20"/>
        </w:rPr>
        <w:t xml:space="preserve">SKM-TEA qDESS volumes, 512 x 512 x 160, 0.31 x 0.31 x 0.80 mm, sagittal, with dense expert labels (lateral meniscus label 5, medial meniscus label 6). The RegGAN was trained on 69 DESS volumes (about 11,000 slices); the trained generator then translated all 155 DESS volumes to synthetic PD. </w:t>
      </w:r>
      <w:r>
        <w:rPr>
          <w:rFonts w:ascii="Times New Roman" w:cs="Times New Roman" w:eastAsia="Times New Roman" w:hAnsi="Times New Roman"/>
          <w:b/>
          <w:bCs/>
          <w:sz w:val="20"/>
          <w:szCs w:val="20"/>
        </w:rPr>
        <w:t xml:space="preserve">PD (target). </w:t>
      </w:r>
      <w:r>
        <w:rPr>
          <w:rFonts w:ascii="Times New Roman" w:cs="Times New Roman" w:eastAsia="Times New Roman" w:hAnsi="Times New Roman"/>
          <w:sz w:val="20"/>
          <w:szCs w:val="20"/>
        </w:rPr>
        <w:t xml:space="preserve">Institutional sagittal PD fast spin echo volumes from IU, typically 384 x 384 x 36, 0.39 x 0.39 x 3.6 mm (69 volumes, about 2,300 slices for translation training). Fifteen PD patients were annotated for development (13 for fine-tuning, 2 for validation) and 17 for held-out testing; the test set comprises two annotation cohorts of 10 and 7 patients. </w:t>
      </w:r>
      <w:r>
        <w:rPr>
          <w:rFonts w:ascii="Times New Roman" w:cs="Times New Roman" w:eastAsia="Times New Roman" w:hAnsi="Times New Roman"/>
          <w:b/>
          <w:bCs/>
          <w:sz w:val="20"/>
          <w:szCs w:val="20"/>
        </w:rPr>
        <w:t xml:space="preserve">Torn cohort. </w:t>
      </w:r>
      <w:r>
        <w:rPr>
          <w:rFonts w:ascii="Times New Roman" w:cs="Times New Roman" w:eastAsia="Times New Roman" w:hAnsi="Times New Roman"/>
          <w:sz w:val="20"/>
          <w:szCs w:val="20"/>
        </w:rPr>
        <w:t xml:space="preserve">Five torn-meniscus PD patients were segmented by a single annotator as one binary meniscus mask in 3D Slicer; these patients were never used for training or model selection. </w:t>
      </w:r>
      <w:r>
        <w:rPr>
          <w:rFonts w:ascii="Times New Roman" w:cs="Times New Roman" w:eastAsia="Times New Roman" w:hAnsi="Times New Roman"/>
          <w:color w:val="B45F06"/>
          <w:sz w:val="20"/>
          <w:szCs w:val="20"/>
          <w:shd w:fill="FFF2CC" w:val="clear"/>
        </w:rPr>
        <w:t xml:space="preserve">[State the size and source of the full torn cohort, the criterion used to pick these five, the clinical confirmation of tears (arthroscopy or radiology report), tear types and locations, scanner models and protocols, and IRB or data use approval.]</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Confirm the annotator identity and experience for the 17 test patients and the 5 torn patients, whether annotation was blinded to model output, and add a second rater with inter-rater Dice on at least the torn patients. Right now every torn result is against one person's mask.</w:t>
      </w:r>
    </w:p>
    <w:p>
      <w:pPr>
        <w:pStyle w:val="Heading2"/>
      </w:pPr>
      <w:r>
        <w:rPr>
          <w:rFonts w:ascii="Times New Roman" w:cs="Times New Roman" w:eastAsia="Times New Roman" w:hAnsi="Times New Roman"/>
          <w:b/>
          <w:bCs/>
          <w:i/>
          <w:iCs/>
          <w:sz w:val="20"/>
          <w:szCs w:val="20"/>
        </w:rPr>
        <w:t xml:space="preserve">3.2 Preprocessing</w:t>
      </w:r>
    </w:p>
    <w:p>
      <w:pPr>
        <w:spacing w:after="100" w:line="252"/>
        <w:jc w:val="both"/>
      </w:pPr>
      <w:r>
        <w:rPr>
          <w:rFonts w:ascii="Times New Roman" w:cs="Times New Roman" w:eastAsia="Times New Roman" w:hAnsi="Times New Roman"/>
          <w:sz w:val="20"/>
          <w:szCs w:val="20"/>
        </w:rPr>
        <w:t xml:space="preserve">Volumes are reoriented to RAS, with a nibabel canonical fallback for scans whose direction cosines are not orthonormal. The in-plane axes are resampled to the finer of the two spacings (isotropic in-plane), the through-plane axis is left untouched, and each slice is resized to 384 x 384, intensities are clipped at the 1st and 99th percentile and scaled to [0, 1] (and to [-1, 1] for GAN training). Masks follow the same path with nearest-neighbour interpolation. Slices with mean intensity below 0.02 are discarded.</w:t>
      </w:r>
    </w:p>
    <w:p>
      <w:pPr>
        <w:pStyle w:val="Heading2"/>
      </w:pPr>
      <w:r>
        <w:rPr>
          <w:rFonts w:ascii="Times New Roman" w:cs="Times New Roman" w:eastAsia="Times New Roman" w:hAnsi="Times New Roman"/>
          <w:b/>
          <w:bCs/>
          <w:i/>
          <w:iCs/>
          <w:sz w:val="20"/>
          <w:szCs w:val="20"/>
        </w:rPr>
        <w:t xml:space="preserve">3.3 Registration-constrained translation</w:t>
      </w:r>
    </w:p>
    <w:p>
      <w:pPr>
        <w:spacing w:after="100" w:line="252"/>
        <w:jc w:val="both"/>
      </w:pPr>
      <w:r>
        <w:rPr>
          <w:rFonts w:ascii="Times New Roman" w:cs="Times New Roman" w:eastAsia="Times New Roman" w:hAnsi="Times New Roman"/>
          <w:sz w:val="20"/>
          <w:szCs w:val="20"/>
        </w:rPr>
        <w:t xml:space="preserve">The generator G_AB maps DESS to PD with a ResNet backbone (9 residual blocks, 48 base filters, instance normalisation, reflection padding and bilinear upsample plus convolution to avoid checkerboard artifacts); PatchGAN discriminators are trained with the least-squares objective [10]. A small 2D U-Net registration network R (16 base filters, near-zero initialised flow head) receives the concatenation of the translated and a real PD slice and predicts a dense displacement field applied by differentiable bilinear warping. The generator objective is the adversarial and cycle terms plus identity loss, a registration similarity term between the warped translation and real PD, a smoothness term on the field gradients, and a magnitude term on the field itself: L_smooth = mean(dx^2 + dy^2), L_mag = mean(flow^2), with weights lambda_cycle = 10, lambda_sim = 5, lambda_smooth = 10, lambda_mag = 5. Updates follow the order G, R, D. Training used Adam (beta1 = 0.5), learning rate 2e-4 for G and D and 1e-4 for R, batch size 8, an image pool of 50 and gradient clipping at 5 on one A100 40 GB GPU for about 15 hours (roughly four epochs). </w:t>
      </w:r>
      <w:r>
        <w:rPr>
          <w:rFonts w:ascii="Times New Roman" w:cs="Times New Roman" w:eastAsia="Times New Roman" w:hAnsi="Times New Roman"/>
          <w:color w:val="B45F06"/>
          <w:sz w:val="20"/>
          <w:szCs w:val="20"/>
          <w:shd w:fill="FFF2CC" w:val="clear"/>
        </w:rPr>
        <w:t xml:space="preserve">[Report the exact number of epochs of the model used downstream, and a longer-training run. Your later 100-epoch, 155-patient RegGAN has better pixel-feature distance (147.6) but gave lower downstream Dice than the 69-patient model; verify this on the 17-patient test set and add it as a finding.]</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The registration network is trained on (translated slice, unrelated real PD slice) pairs but evaluated on (translated slice, its own DESS source). Either fix the pairing (for example a modality-independent similarity such as MIND) or state this explicitly as a limitation with the evidence that the field does not collapse.</w:t>
      </w:r>
    </w:p>
    <w:p>
      <w:pPr>
        <w:pStyle w:val="Heading2"/>
      </w:pPr>
      <w:r>
        <w:rPr>
          <w:rFonts w:ascii="Times New Roman" w:cs="Times New Roman" w:eastAsia="Times New Roman" w:hAnsi="Times New Roman"/>
          <w:b/>
          <w:bCs/>
          <w:i/>
          <w:iCs/>
          <w:sz w:val="20"/>
          <w:szCs w:val="20"/>
        </w:rPr>
        <w:t xml:space="preserve">3.4 Segmentation and fine-tuning</w:t>
      </w:r>
    </w:p>
    <w:p>
      <w:pPr>
        <w:spacing w:after="100" w:line="252"/>
        <w:jc w:val="both"/>
      </w:pPr>
      <w:r>
        <w:rPr>
          <w:rFonts w:ascii="Times New Roman" w:cs="Times New Roman" w:eastAsia="Times New Roman" w:hAnsi="Times New Roman"/>
          <w:sz w:val="20"/>
          <w:szCs w:val="20"/>
        </w:rPr>
        <w:t xml:space="preserve">The source model is a 2.5D U-Net (segmentation_models_pytorch, ResNet34 encoder) pre-trained on DESS with three neighbouring slices (i-1, i, i+1) as input channels. The 5-class head is replaced by a 3-class head (background, lateral, medial). Fine-tuning minimises a class-weighted cross-entropy (0.1, 1.5, 1.5) plus soft Dice with a cosine learning-rate schedule from 1e-5, flip, brightness (+/-20%) and noise (sigma 0.02) augmentation, up to 50 epochs and early stopping (patience 10). We compare (a) synthetic PD only and (b) synthetic PD plus the 13 annotated real PD patients, whose lateral and medial probabilities are merged against a binary mask. In the replica recipe the real stream is revisited about 21.6 times per epoch; capping this repetition lowered Dice (Section 4.2). </w:t>
      </w:r>
      <w:r>
        <w:rPr>
          <w:rFonts w:ascii="Times New Roman" w:cs="Times New Roman" w:eastAsia="Times New Roman" w:hAnsi="Times New Roman"/>
          <w:color w:val="B45F06"/>
          <w:sz w:val="20"/>
          <w:szCs w:val="20"/>
          <w:shd w:fill="FFF2CC" w:val="clear"/>
        </w:rPr>
        <w:t xml:space="preserve">[Complete: optimizer and weight decay, final learning rate, batch size, number of epochs actually run, seeds, and software versions. Your SPIE abstract and notes disagree on the final learning rate (1e-7 vs 1e-8); resolve from the training script.]</w:t>
      </w:r>
    </w:p>
    <w:p>
      <w:pPr>
        <w:pStyle w:val="Heading2"/>
      </w:pPr>
      <w:r>
        <w:rPr>
          <w:rFonts w:ascii="Times New Roman" w:cs="Times New Roman" w:eastAsia="Times New Roman" w:hAnsi="Times New Roman"/>
          <w:b/>
          <w:bCs/>
          <w:i/>
          <w:iCs/>
          <w:sz w:val="20"/>
          <w:szCs w:val="20"/>
        </w:rPr>
        <w:t xml:space="preserve">3.5 Fixed crop and slice sequence</w:t>
      </w:r>
    </w:p>
    <w:p>
      <w:pPr>
        <w:spacing w:after="100" w:line="252"/>
        <w:jc w:val="both"/>
      </w:pPr>
      <w:r>
        <w:rPr>
          <w:rFonts w:ascii="Times New Roman" w:cs="Times New Roman" w:eastAsia="Times New Roman" w:hAnsi="Times New Roman"/>
          <w:sz w:val="20"/>
          <w:szCs w:val="20"/>
        </w:rPr>
        <w:t xml:space="preserve">A fixed bounding box (rows 79 to 373, columns 29 to 230 of the 384 x 384 grid after 15 px padding) is derived from the ground-truth extent of the 13 real PD training patients and applied to every slice before resizing back to 384 x 384; it contains 100% of ground-truth voxels for all 17 test patients. The sequence model encodes five slices (i-2 to i+2) separately with a shared ResNet34 encoder (each slice replicated to three channels), scans the five 512-channel bottleneck maps with a ConvLSTM cell, and uses the final hidden state in place of the centre slice bottleneck. Skip connections come from the centre slice only, so fine boundary detail is not blurred across slices. Predictions are resized and placed back at the box location.</w:t>
      </w:r>
    </w:p>
    <w:p>
      <w:pPr>
        <w:pStyle w:val="Heading2"/>
      </w:pPr>
      <w:r>
        <w:rPr>
          <w:rFonts w:ascii="Times New Roman" w:cs="Times New Roman" w:eastAsia="Times New Roman" w:hAnsi="Times New Roman"/>
          <w:b/>
          <w:bCs/>
          <w:i/>
          <w:iCs/>
          <w:sz w:val="20"/>
          <w:szCs w:val="20"/>
        </w:rPr>
        <w:t xml:space="preserve">3.6 Evaluation</w:t>
      </w:r>
    </w:p>
    <w:p>
      <w:pPr>
        <w:spacing w:after="100" w:line="252"/>
        <w:jc w:val="both"/>
      </w:pPr>
      <w:r>
        <w:rPr>
          <w:rFonts w:ascii="Times New Roman" w:cs="Times New Roman" w:eastAsia="Times New Roman" w:hAnsi="Times New Roman"/>
          <w:sz w:val="20"/>
          <w:szCs w:val="20"/>
        </w:rPr>
        <w:t xml:space="preserve">We report binary Dice (lateral and medial merged) on the 17 test patients, computed over the whole volume on the 384 x 384 grid. A change is called real only if it exceeds the largest per-patient difference between two training seeds (0.0226, measured on the two validation patients); the spread over five k-fold splits was 0.0104, and repeated inference is deterministic (a re-pulled run reproduced 0.7780 exactly). Translation quality is measured with a Frechet distance on 64 x 64 pixel features (FD-px), SSIM, and the Jacobian determinant of the registration field. </w:t>
      </w:r>
      <w:r>
        <w:rPr>
          <w:rFonts w:ascii="Times New Roman" w:cs="Times New Roman" w:eastAsia="Times New Roman" w:hAnsi="Times New Roman"/>
          <w:color w:val="B45F06"/>
          <w:sz w:val="20"/>
          <w:szCs w:val="20"/>
          <w:shd w:fill="FFF2CC" w:val="clear"/>
        </w:rPr>
        <w:t xml:space="preserve">[Add confidence intervals (bootstrap over patients), paired per-patient sign or Wilcoxon tests for every comparison, and a repeat-seed run for the headline crop and sequence model; the current noise floor comes from only two patients and two seeds.]</w:t>
      </w:r>
    </w:p>
    <w:p>
      <w:pPr>
        <w:spacing w:after="100" w:line="252"/>
        <w:jc w:val="both"/>
      </w:pPr>
      <w:r>
        <w:rPr>
          <w:rFonts w:ascii="Times New Roman" w:cs="Times New Roman" w:eastAsia="Times New Roman" w:hAnsi="Times New Roman"/>
          <w:sz w:val="20"/>
          <w:szCs w:val="20"/>
        </w:rPr>
        <w:t xml:space="preserve">For torn menisci the same trained models are run without any adaptation, predictions are merged to one label, and Dice is computed against the single-rater mask. We additionally split errors into true positive, false negative and false positive voxels and compare their mean image intensity.</w:t>
      </w:r>
    </w:p>
    <w:p>
      <w:pPr>
        <w:pStyle w:val="Heading1"/>
      </w:pPr>
      <w:r>
        <w:rPr>
          <w:rFonts w:ascii="Times New Roman" w:cs="Times New Roman" w:eastAsia="Times New Roman" w:hAnsi="Times New Roman"/>
          <w:b/>
          <w:bCs/>
          <w:sz w:val="22"/>
          <w:szCs w:val="22"/>
        </w:rPr>
        <w:t xml:space="preserve">4. EXPERIMENTS AND RESULTS</w:t>
      </w:r>
    </w:p>
    <w:p>
      <w:pPr>
        <w:pStyle w:val="Heading2"/>
      </w:pPr>
      <w:r>
        <w:rPr>
          <w:rFonts w:ascii="Times New Roman" w:cs="Times New Roman" w:eastAsia="Times New Roman" w:hAnsi="Times New Roman"/>
          <w:b/>
          <w:bCs/>
          <w:i/>
          <w:iCs/>
          <w:sz w:val="20"/>
          <w:szCs w:val="20"/>
        </w:rPr>
        <w:t xml:space="preserve">4.1 Translation quality and anatomy preservation</w:t>
      </w:r>
    </w:p>
    <w:p>
      <w:pPr>
        <w:spacing w:after="100" w:line="252"/>
        <w:jc w:val="both"/>
      </w:pPr>
      <w:r>
        <w:rPr>
          <w:rFonts w:ascii="Times New Roman" w:cs="Times New Roman" w:eastAsia="Times New Roman" w:hAnsi="Times New Roman"/>
          <w:sz w:val="20"/>
          <w:szCs w:val="20"/>
        </w:rPr>
        <w:t xml:space="preserve">Translated PD is closer to real PD than raw DESS (FD-px 164.4 vs 260.4, a 37% reduction; KID 0.020). SSIM between DESS and its translation is 0.357, as expected for a large contrast change. The learned field is nearly rigid: mean Jacobian determinant 1.000056, no folding (0.0%), global mean displacement 0.029 px and 0.055 px at the meniscus (Table 1). </w:t>
      </w:r>
      <w:r>
        <w:rPr>
          <w:rFonts w:ascii="Times New Roman" w:cs="Times New Roman" w:eastAsia="Times New Roman" w:hAnsi="Times New Roman"/>
          <w:sz w:val="20"/>
          <w:szCs w:val="20"/>
        </w:rPr>
        <w:t xml:space="preserve">We call the distance FD-px rather than FID because InceptionV3 weights were not available on the cluster. </w:t>
      </w:r>
      <w:r>
        <w:rPr>
          <w:rFonts w:ascii="Times New Roman" w:cs="Times New Roman" w:eastAsia="Times New Roman" w:hAnsi="Times New Roman"/>
          <w:color w:val="B45F06"/>
          <w:sz w:val="20"/>
          <w:szCs w:val="20"/>
          <w:shd w:fill="FFF2CC" w:val="clear"/>
        </w:rPr>
        <w:t xml:space="preserve">[Recompute true FID and KID with InceptionV3 features (copy the weights to the cluster once). Add the CycleGAN comparison: your notes record more than 2 px deformation for CycleGAN, about 40 times larger, but there is no logged number or downstream Dice for it in this draft; run the CycleGAN to segmentation pipeline and report both.]</w:t>
      </w:r>
    </w:p>
    <w:p>
      <w:pPr>
        <w:spacing w:after="140" w:before="60" w:line="240"/>
        <w:jc w:val="both"/>
      </w:pPr>
      <w:r>
        <w:rPr>
          <w:rFonts w:ascii="Times New Roman" w:cs="Times New Roman" w:eastAsia="Times New Roman" w:hAnsi="Times New Roman"/>
          <w:sz w:val="18"/>
          <w:szCs w:val="18"/>
        </w:rPr>
        <w:t xml:space="preserve">Table 1. Translation quality and deformation (69-patient RegGAN, test volumes).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tblGrid>
      <w:tr>
        <w:trPr>
          <w:tblHeader/>
        </w:trPr>
        <w:tc>
          <w:tcPr>
            <w:tcW w:type="dxa" w:w="265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Metric</w:t>
            </w:r>
          </w:p>
        </w:tc>
        <w:tc>
          <w:tcPr>
            <w:tcW w:type="dxa" w:w="21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Value</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FD-px, translated vs real PD</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164.4</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FD-px, raw DESS vs real PD</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260.4</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KID (pixel features)</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0.020</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SSIM, DESS vs translated</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0.357</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Mean Jacobian determinant</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1.000056</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Jacobian folding (det &lt; 0)</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Global mean displacement</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0.029 px</w:t>
            </w:r>
          </w:p>
        </w:tc>
      </w:tr>
      <w:tr>
        <w:trPr>
          <w:tblHeader w:val="off"/>
        </w:trPr>
        <w:tc>
          <w:tcPr>
            <w:tcW w:type="dxa" w:w="26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Meniscus mean displacement</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0.055 px</w:t>
            </w:r>
          </w:p>
        </w:tc>
      </w:tr>
      <w:tr>
        <w:trPr>
          <w:tblHeader w:val="off"/>
        </w:trPr>
        <w:tc>
          <w:tcPr>
            <w:tcW w:type="dxa" w:w="2650"/>
            <w:tcBorders>
              <w:top w:val="single" w:color="808080" w:sz="4"/>
              <w:left w:val="single" w:color="808080" w:sz="4"/>
              <w:bottom w:val="single" w:color="808080" w:sz="4"/>
              <w:right w:val="single" w:color="808080" w:sz="4"/>
            </w:tcBorders>
            <w:shd w:fill="FFF2CC" w:val="clear"/>
            <w:tcMar>
              <w:top w:type="dxa" w:w="30"/>
              <w:left w:type="dxa" w:w="70"/>
              <w:bottom w:type="dxa" w:w="30"/>
              <w:right w:type="dxa" w:w="70"/>
            </w:tcMar>
          </w:tcPr>
          <w:p>
            <w:pPr>
              <w:spacing w:after="0"/>
              <w:jc w:val="left"/>
            </w:pPr>
            <w:r>
              <w:rPr>
                <w:rFonts w:ascii="Times New Roman" w:cs="Times New Roman" w:eastAsia="Times New Roman" w:hAnsi="Times New Roman"/>
                <w:b w:val="false"/>
                <w:bCs w:val="false"/>
                <w:color w:val="B45F06"/>
                <w:sz w:val="17"/>
                <w:szCs w:val="17"/>
              </w:rPr>
              <w:t xml:space="preserve">CycleGAN deformation (comparison)</w:t>
            </w:r>
          </w:p>
        </w:tc>
        <w:tc>
          <w:tcPr>
            <w:tcW w:type="dxa" w:w="2100"/>
            <w:tcBorders>
              <w:top w:val="single" w:color="808080" w:sz="4"/>
              <w:left w:val="single" w:color="808080" w:sz="4"/>
              <w:bottom w:val="single" w:color="808080" w:sz="4"/>
              <w:right w:val="single" w:color="808080" w:sz="4"/>
            </w:tcBorders>
            <w:shd w:fill="FFF2CC" w:val="clear"/>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color w:val="B45F06"/>
                <w:sz w:val="17"/>
                <w:szCs w:val="17"/>
              </w:rPr>
              <w:t xml:space="preserve">to be measured</w:t>
            </w:r>
          </w:p>
        </w:tc>
      </w:tr>
    </w:tbl>
    <w:p>
      <w:pPr>
        <w:spacing w:after="100"/>
      </w:pPr>
    </w:p>
    <w:p>
      <w:pPr>
        <w:pStyle w:val="Heading2"/>
      </w:pPr>
      <w:r>
        <w:rPr>
          <w:rFonts w:ascii="Times New Roman" w:cs="Times New Roman" w:eastAsia="Times New Roman" w:hAnsi="Times New Roman"/>
          <w:b/>
          <w:bCs/>
          <w:i/>
          <w:iCs/>
          <w:sz w:val="20"/>
          <w:szCs w:val="20"/>
        </w:rPr>
        <w:t xml:space="preserve">4.2 Segmentation on healthy menisci (17 test patients)</w:t>
      </w:r>
    </w:p>
    <w:p>
      <w:pPr>
        <w:spacing w:after="100" w:line="252"/>
        <w:jc w:val="both"/>
      </w:pPr>
      <w:r>
        <w:rPr>
          <w:rFonts w:ascii="Times New Roman" w:cs="Times New Roman" w:eastAsia="Times New Roman" w:hAnsi="Times New Roman"/>
          <w:sz w:val="20"/>
          <w:szCs w:val="20"/>
        </w:rPr>
        <w:t xml:space="preserve">Zero-shot transfer of the DESS model fails (Dice 0.0003). Fine-tuning on synthetic PD alone gives 0.687, and adding the annotated real PD set gives 0.781 (0.778 for the replicated seed-42 run used as the reference below). A fixed crop gives +0.013 and the ConvLSTM sequence model +0.018, each below the noise floor of 0.0226; combined they give +0.028 (0.8057), which clears it, and the two gains are roughly additive. Wider neighbour stride (+0.008) and added negative slices (+0.002) did not help, and capping the real-PD repetition hurt (-0.029), indicating that the repeated real examples carry useful signal (Table 2).</w:t>
      </w:r>
    </w:p>
    <w:p>
      <w:pPr>
        <w:spacing w:after="140" w:before="60" w:line="240"/>
        <w:jc w:val="both"/>
      </w:pPr>
      <w:r>
        <w:rPr>
          <w:rFonts w:ascii="Times New Roman" w:cs="Times New Roman" w:eastAsia="Times New Roman" w:hAnsi="Times New Roman"/>
          <w:sz w:val="18"/>
          <w:szCs w:val="18"/>
        </w:rPr>
        <w:t xml:space="preserve">Table 2. Mean Dice on the 17 held-out patients. Delta is relative to the replica reference. The last three rows are exploratory single-change reads of the test set.</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50"/>
      </w:tblGrid>
      <w:tr>
        <w:trPr>
          <w:tblHeader/>
        </w:trPr>
        <w:tc>
          <w:tcPr>
            <w:tcW w:type="dxa" w:w="25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Model</w:t>
            </w:r>
          </w:p>
        </w:tc>
        <w:tc>
          <w:tcPr>
            <w:tcW w:type="dxa" w:w="12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Dice</w:t>
            </w:r>
          </w:p>
        </w:tc>
        <w:tc>
          <w:tcPr>
            <w:tcW w:type="dxa" w:w="105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Delta</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DESS pre-trained, no adaptation</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0.0003</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n/a</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Synthetic PD only</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0.6870</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n/a</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Synthetic + real PD (v8)</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0.7812</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n/a</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Replica, seed 42 (reference)</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0.7780</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 fixed crop</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0.7910</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+0.0130</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 slice sequence (ConvLSTM)</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0.7958</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+0.0178</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 crop and sequence</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0.8057</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+0.0277</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Neighbour stride (P4)</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0.7856</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+0.0076</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Negative slices (P2)</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0.7795</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+0.0015</w:t>
            </w:r>
          </w:p>
        </w:tc>
      </w:tr>
      <w:tr>
        <w:trPr>
          <w:tblHeader w:val="off"/>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Real-PD sampler cap (P1)</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0.7489</w:t>
            </w:r>
          </w:p>
        </w:tc>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-0.0292</w:t>
            </w:r>
          </w:p>
        </w:tc>
      </w:tr>
    </w:tbl>
    <w:p>
      <w:pPr>
        <w:spacing w:after="100"/>
      </w:pP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The 17 test patients were read about a dozen times to compare variants, which is model selection on the test set. Freeze one configuration chosen on validation and k-fold only, do a single clean test read, report the mean with a confidence interval, and label every earlier read as exploratory (Table 2 already marks them, but a reviewer will count the rows). This is the largest rejection risk.</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Add baselines that are missing: an ImageNet-initialised model trained on the 15 real PD patients only, a 3D nnU-Net, and the CycleGAN-translated training set with the same recipe. The current 'DESS model on PD = 0.00' row is a weak baseline on its own.</w:t>
      </w:r>
    </w:p>
    <w:p>
      <w:pPr>
        <w:pStyle w:val="Heading2"/>
      </w:pPr>
      <w:r>
        <w:rPr>
          <w:rFonts w:ascii="Times New Roman" w:cs="Times New Roman" w:eastAsia="Times New Roman" w:hAnsi="Times New Roman"/>
          <w:b/>
          <w:bCs/>
          <w:i/>
          <w:iCs/>
          <w:sz w:val="20"/>
          <w:szCs w:val="20"/>
        </w:rPr>
        <w:t xml:space="preserve">4.3 Position-aware variants (negative result)</w:t>
      </w:r>
    </w:p>
    <w:p>
      <w:pPr>
        <w:spacing w:after="100" w:line="252"/>
        <w:jc w:val="both"/>
      </w:pPr>
      <w:r>
        <w:rPr>
          <w:rFonts w:ascii="Times New Roman" w:cs="Times New Roman" w:eastAsia="Times New Roman" w:hAnsi="Times New Roman"/>
          <w:sz w:val="20"/>
          <w:szCs w:val="20"/>
        </w:rPr>
        <w:t xml:space="preserve">Starting from each baseline, six one-change variants were trained: slice-position weighted loss with end slices up-weighted or down-weighted (A3-up, A3-down), slice position as an extra input channel (E1) or as FiLM gating at the ConvLSTM bottleneck (E2), a region-darker-than-rim loss (G2), and a position-conditioned area prior (D). None exceeded the noise floor (Table 3); on the crop and sequence base every variant was slightly worse (per-patient wins 2 to 8 of 17 patients). The plain-model A3 runs use a corrected cross-entropy normalisation (A3v2); the crop-arm A3 runs carry the earlier normalisation bug, and the D shape term decays to almost nothing within a few epochs, so D behaves like its baseline.</w:t>
      </w:r>
    </w:p>
    <w:p>
      <w:pPr>
        <w:spacing w:after="140" w:before="60" w:line="240"/>
        <w:jc w:val="both"/>
      </w:pPr>
      <w:r>
        <w:rPr>
          <w:rFonts w:ascii="Times New Roman" w:cs="Times New Roman" w:eastAsia="Times New Roman" w:hAnsi="Times New Roman"/>
          <w:sz w:val="18"/>
          <w:szCs w:val="18"/>
        </w:rPr>
        <w:t xml:space="preserve">Table 3. Mean Dice on the 17 test patients for the one-change variants.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tblGrid>
      <w:tr>
        <w:trPr>
          <w:tblHeader/>
        </w:trPr>
        <w:tc>
          <w:tcPr>
            <w:tcW w:type="dxa" w:w="175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Variant</w:t>
            </w:r>
          </w:p>
        </w:tc>
        <w:tc>
          <w:tcPr>
            <w:tcW w:type="dxa" w:w="15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Crop+seq base</w:t>
            </w:r>
          </w:p>
        </w:tc>
        <w:tc>
          <w:tcPr>
            <w:tcW w:type="dxa" w:w="15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Plain 2.5D base</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Baseline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0.8057</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0.7780</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A3-up</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0.8006</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0.7590</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A3-down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0.7905</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0.7616</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E1 (position channel)</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0.7880</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0.7832</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E2 (FiLM)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0.8016</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0.7683</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G2 (rim loss)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0.8022</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0.7759</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D (shape prior)</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0.7997</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0.7766</w:t>
            </w:r>
          </w:p>
        </w:tc>
      </w:tr>
    </w:tbl>
    <w:p>
      <w:pPr>
        <w:spacing w:after="100"/>
      </w:pP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Explain why position cues do not help (the sequence model may already encode position from slice order; show this with the planned bottleneck analysis: PCA of bottleneck features, LSTM gate activations per neighbouring slice, and an ablation that replaces neighbours by the centre slice). Re-run the crop-arm A3 with the corrected normalisation so both arms are comparable.</w:t>
      </w:r>
    </w:p>
    <w:p>
      <w:pPr>
        <w:pStyle w:val="Heading2"/>
      </w:pPr>
      <w:r>
        <w:rPr>
          <w:rFonts w:ascii="Times New Roman" w:cs="Times New Roman" w:eastAsia="Times New Roman" w:hAnsi="Times New Roman"/>
          <w:b/>
          <w:bCs/>
          <w:i/>
          <w:iCs/>
          <w:sz w:val="20"/>
          <w:szCs w:val="20"/>
        </w:rPr>
        <w:t xml:space="preserve">4.4 Torn menisci</w:t>
      </w:r>
    </w:p>
    <w:p>
      <w:pPr>
        <w:spacing w:after="100" w:line="252"/>
        <w:jc w:val="both"/>
      </w:pPr>
      <w:r>
        <w:rPr>
          <w:rFonts w:ascii="Times New Roman" w:cs="Times New Roman" w:eastAsia="Times New Roman" w:hAnsi="Times New Roman"/>
          <w:sz w:val="20"/>
          <w:szCs w:val="20"/>
        </w:rPr>
        <w:t xml:space="preserve">Both models detect a meniscus in all five torn patients, with a mean Dice of 0.719 (replica) and 0.730 (crop and sequence) against the single-rater masks (Table 4), lower than on healthy knees (0.778 and 0.806). Dice ranges from 0.603 to 0.795 for the replica and 0.655 to 0.803 for crop and sequence. The lowest-scoring patient (T3) has the highest in-plane resolution (768 x 768); the highest-scoring (T4) is an FSE protocol, so protocol alone does not explain the spread. </w:t>
      </w:r>
      <w:r>
        <w:rPr>
          <w:rFonts w:ascii="Times New Roman" w:cs="Times New Roman" w:eastAsia="Times New Roman" w:hAnsi="Times New Roman"/>
          <w:color w:val="B45F06"/>
          <w:sz w:val="20"/>
          <w:szCs w:val="20"/>
          <w:shd w:fill="FFF2CC" w:val="clear"/>
        </w:rPr>
        <w:t xml:space="preserve">[Add the clinical tear type and location for each patient to relate the score to tear morphology.]</w:t>
      </w:r>
    </w:p>
    <w:p>
      <w:pPr>
        <w:spacing w:after="140" w:before="60" w:line="240"/>
        <w:jc w:val="both"/>
      </w:pPr>
      <w:r>
        <w:rPr>
          <w:rFonts w:ascii="Times New Roman" w:cs="Times New Roman" w:eastAsia="Times New Roman" w:hAnsi="Times New Roman"/>
          <w:sz w:val="18"/>
          <w:szCs w:val="18"/>
        </w:rPr>
        <w:t xml:space="preserve">Table 4. Dice against the single-rater mask on five torn-meniscus patients (no adaptation).</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350"/>
        <w:gridCol w:w="1700"/>
        <w:gridCol w:w="1700"/>
      </w:tblGrid>
      <w:tr>
        <w:trPr>
          <w:tblHeader/>
        </w:trPr>
        <w:tc>
          <w:tcPr>
            <w:tcW w:type="dxa" w:w="135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Patient</w:t>
            </w:r>
          </w:p>
        </w:tc>
        <w:tc>
          <w:tcPr>
            <w:tcW w:type="dxa" w:w="17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Replica</w:t>
            </w:r>
          </w:p>
        </w:tc>
        <w:tc>
          <w:tcPr>
            <w:tcW w:type="dxa" w:w="17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Crop+seq</w:t>
            </w:r>
          </w:p>
        </w:tc>
      </w:tr>
      <w:tr>
        <w:trPr>
          <w:tblHeader w:val="off"/>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T1</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0.712</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0.689</w:t>
            </w:r>
          </w:p>
        </w:tc>
      </w:tr>
      <w:tr>
        <w:trPr>
          <w:tblHeader w:val="off"/>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T2</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0.728</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0.771</w:t>
            </w:r>
          </w:p>
        </w:tc>
      </w:tr>
      <w:tr>
        <w:trPr>
          <w:tblHeader w:val="off"/>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T3</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0.603</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0.655</w:t>
            </w:r>
          </w:p>
        </w:tc>
      </w:tr>
      <w:tr>
        <w:trPr>
          <w:tblHeader w:val="off"/>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T4</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0.795</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0.803</w:t>
            </w:r>
          </w:p>
        </w:tc>
      </w:tr>
      <w:tr>
        <w:trPr>
          <w:tblHeader w:val="off"/>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T5</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0.755</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0.734</w:t>
            </w:r>
          </w:p>
        </w:tc>
      </w:tr>
      <w:tr>
        <w:trPr>
          <w:tblHeader w:val="off"/>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Mean</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0.719</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0.730</w:t>
            </w:r>
          </w:p>
        </w:tc>
      </w:tr>
    </w:tbl>
    <w:p>
      <w:pPr>
        <w:spacing w:after="100"/>
      </w:pPr>
    </w:p>
    <w:p>
      <w:pPr>
        <w:spacing w:after="100" w:line="252"/>
        <w:jc w:val="both"/>
      </w:pPr>
      <w:r>
        <w:rPr>
          <w:rFonts w:ascii="Times New Roman" w:cs="Times New Roman" w:eastAsia="Times New Roman" w:hAnsi="Times New Roman"/>
          <w:sz w:val="20"/>
          <w:szCs w:val="20"/>
        </w:rPr>
        <w:t xml:space="preserve">Error analysis (replica model). Over the five patients the models miss 9,751 mask voxels (false negatives) and add 11,950 voxels outside the mask (false positives); false positives exceed false negatives in three of five patients. Mean image intensity (volume-normalised to [0, 1]) is 0.065 for correctly segmented voxels, 0.112 for missed voxels and 0.179 for false positives, so missed meniscus is somewhat brighter but still dark, and the over-segmentation goes into brighter grey tissue. Only 4 missed voxels lie inside a predicted region, and morphological closing with hole filling leaves Dice unchanged (0.7185 before and after), so enclosed bright gaps are not the main failure. About 46% of missed voxels touch the predicted region (the model stops short at the edge) and the rest lie further away.</w:t>
      </w:r>
    </w:p>
    <w:p>
      <w:pPr>
        <w:spacing w:after="100" w:line="252"/>
        <w:jc w:val="both"/>
      </w:pPr>
      <w:r>
        <w:rPr>
          <w:rFonts w:ascii="Times New Roman" w:cs="Times New Roman" w:eastAsia="Times New Roman" w:hAnsi="Times New Roman"/>
          <w:sz w:val="20"/>
          <w:szCs w:val="20"/>
        </w:rPr>
        <w:t xml:space="preserve">The five-patient comparison of the position-aware variants is in Table 5; all differences are within about 0.03, which with five patients and one rater should not be read as an effect.</w:t>
      </w:r>
    </w:p>
    <w:p>
      <w:pPr>
        <w:spacing w:after="140" w:before="60" w:line="240"/>
        <w:jc w:val="both"/>
      </w:pPr>
      <w:r>
        <w:rPr>
          <w:rFonts w:ascii="Times New Roman" w:cs="Times New Roman" w:eastAsia="Times New Roman" w:hAnsi="Times New Roman"/>
          <w:sz w:val="18"/>
          <w:szCs w:val="18"/>
        </w:rPr>
        <w:t xml:space="preserve">Table 5. Mean Dice over the five torn patients, one-change variants.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tblGrid>
      <w:tr>
        <w:trPr>
          <w:tblHeader/>
        </w:trPr>
        <w:tc>
          <w:tcPr>
            <w:tcW w:type="dxa" w:w="175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left"/>
            </w:pPr>
            <w:r>
              <w:rPr>
                <w:rFonts w:ascii="Times New Roman" w:cs="Times New Roman" w:eastAsia="Times New Roman" w:hAnsi="Times New Roman"/>
                <w:b/>
                <w:bCs/>
                <w:sz w:val="17"/>
                <w:szCs w:val="17"/>
              </w:rPr>
              <w:t xml:space="preserve">Variant</w:t>
            </w:r>
          </w:p>
        </w:tc>
        <w:tc>
          <w:tcPr>
            <w:tcW w:type="dxa" w:w="15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Crop+seq base</w:t>
            </w:r>
          </w:p>
        </w:tc>
        <w:tc>
          <w:tcPr>
            <w:tcW w:type="dxa" w:w="1500"/>
            <w:tcBorders>
              <w:top w:val="single" w:color="808080" w:sz="4"/>
              <w:left w:val="single" w:color="808080" w:sz="4"/>
              <w:bottom w:val="single" w:color="808080" w:sz="4"/>
              <w:right w:val="single" w:color="808080" w:sz="4"/>
            </w:tcBorders>
            <w:shd w:fill="E7E6E6" w:val="clear"/>
            <w:tcMar>
              <w:top w:type="dxa" w:w="30"/>
              <w:left w:type="dxa" w:w="70"/>
              <w:bottom w:type="dxa" w:w="30"/>
              <w:right w:type="dxa" w:w="70"/>
            </w:tcMar>
          </w:tcPr>
          <w:p>
            <w:pPr>
              <w:spacing w:after="0"/>
              <w:jc w:val="center"/>
            </w:pPr>
            <w:r>
              <w:rPr>
                <w:rFonts w:ascii="Times New Roman" w:cs="Times New Roman" w:eastAsia="Times New Roman" w:hAnsi="Times New Roman"/>
                <w:b/>
                <w:bCs/>
                <w:sz w:val="17"/>
                <w:szCs w:val="17"/>
              </w:rPr>
              <w:t xml:space="preserve">Plain 2.5D base</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Baseline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0.730</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0.719</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A3-up</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0.756</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0.715</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A3-down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0.748</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0.707</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E1</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0.699</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0.723</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E2</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0.751</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0.730</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G2</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0.729</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0.718</w:t>
            </w:r>
          </w:p>
        </w:tc>
      </w:tr>
      <w:tr>
        <w:trPr>
          <w:tblHeader w:val="off"/>
        </w:trPr>
        <w:tc>
          <w:tcPr>
            <w:tcW w:type="dxa" w:w="175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left"/>
            </w:pPr>
            <w:r>
              <w:rPr>
                <w:rFonts w:ascii="Times New Roman" w:cs="Times New Roman" w:eastAsia="Times New Roman" w:hAnsi="Times New Roman"/>
                <w:b w:val="false"/>
                <w:bCs w:val="false"/>
                <w:sz w:val="17"/>
                <w:szCs w:val="17"/>
              </w:rPr>
              <w:t xml:space="preserve">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0.734</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spacing w:after="0"/>
              <w:jc w:val="center"/>
            </w:pPr>
            <w:r>
              <w:rPr>
                <w:rFonts w:ascii="Times New Roman" w:cs="Times New Roman" w:eastAsia="Times New Roman" w:hAnsi="Times New Roman"/>
                <w:b w:val="false"/>
                <w:bCs w:val="false"/>
                <w:sz w:val="17"/>
                <w:szCs w:val="17"/>
              </w:rPr>
              <w:t xml:space="preserve">0.710</w:t>
            </w:r>
          </w:p>
        </w:tc>
      </w:tr>
    </w:tbl>
    <w:p>
      <w:pPr>
        <w:spacing w:after="100"/>
      </w:pP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Exploratory result, not final: removing predicted voxels brighter than 0.15 raised the five-patient mean Dice from 0.7185 to 0.7676 (replica) and from 0.7304 to 0.7652 (crop and sequence), improving every patient for the replica. The threshold was chosen on the same five patients, so the gain is optimistic, and it depends on intensity normalisation. Before using it: select the threshold on the 17 healthy test patients (and check it does not hurt them), then confirm on new torn patients.</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Training-time options that follow from the error analysis and are not yet implemented or tested: (a) an augmentation that paints bright tear-like regions inside training masks, set back from the mask edge, with labels unchanged; (b) a darkness-aware loss that penalises bright predicted voxels outside the expected shape (compare with G2, which did not help on healthy data); (c) fine-tuning with a few more hand-labeled torn patients, evaluated by cross-validation so the torn test patients stay unseen.</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Add torn-specific outcome measures a reviewer or clinician would ask for: per-patient tear detection and tear-location agreement (the models segment meniscus tissue, not tears), surface or boundary distance, and a comparison against fastMRI+ style box annotations on a coronal reformat if feasible.</w:t>
      </w:r>
    </w:p>
    <w:p>
      <w:pPr>
        <w:pBdr>
          <w:top w:val="dashed" w:color="B45F06" w:sz="8" w:space="6"/>
          <w:left w:val="dashed" w:color="B45F06" w:sz="8" w:space="6"/>
          <w:bottom w:val="dashed" w:color="B45F06" w:sz="8" w:space="6"/>
          <w:right w:val="dashed" w:color="B45F06" w:sz="8" w:space="6"/>
        </w:pBdr>
        <w:shd w:fill="FFF2CC" w:val="clear"/>
        <w:spacing w:after="0" w:before="80"/>
        <w:jc w:val="center"/>
      </w:pPr>
      <w:r>
        <w:rPr>
          <w:rFonts w:ascii="Times New Roman" w:cs="Times New Roman" w:eastAsia="Times New Roman" w:hAnsi="Times New Roman"/>
          <w:b/>
          <w:bCs/>
          <w:color w:val="B45F06"/>
          <w:sz w:val="18"/>
          <w:szCs w:val="18"/>
        </w:rPr>
        <w:t xml:space="preserve">[FIGURE PLACEHOLDER] Fig. 1. Pipeline overview</w:t>
      </w:r>
    </w:p>
    <w:p>
      <w:pPr>
        <w:pBdr>
          <w:left w:val="dashed" w:color="B45F06" w:sz="8" w:space="6"/>
          <w:bottom w:val="dashed" w:color="B45F06" w:sz="8" w:space="6"/>
          <w:right w:val="dashed" w:color="B45F06" w:sz="8" w:space="6"/>
        </w:pBdr>
        <w:shd w:fill="FFF2CC" w:val="clear"/>
        <w:spacing w:after="0" w:before="0" w:line="240"/>
        <w:jc w:val="center"/>
      </w:pPr>
      <w:r>
        <w:rPr>
          <w:rFonts w:ascii="Times New Roman" w:cs="Times New Roman" w:eastAsia="Times New Roman" w:hAnsi="Times New Roman"/>
          <w:color w:val="B45F06"/>
          <w:sz w:val="17"/>
          <w:szCs w:val="17"/>
        </w:rPr>
        <w:t xml:space="preserve">Reuse pipeline-diagram.png in the repo root, but update it: it shows only Stages 1 to 3 and lacks the fixed crop, the ConvLSTM sequence model and the torn-cohort evaluation.</w:t>
      </w:r>
    </w:p>
    <w:p>
      <w:pPr>
        <w:spacing w:after="140" w:before="60" w:line="240"/>
        <w:jc w:val="both"/>
      </w:pPr>
      <w:r>
        <w:rPr>
          <w:rFonts w:ascii="Times New Roman" w:cs="Times New Roman" w:eastAsia="Times New Roman" w:hAnsi="Times New Roman"/>
          <w:color w:val="B45F06"/>
          <w:sz w:val="18"/>
          <w:szCs w:val="18"/>
        </w:rPr>
        <w:t xml:space="preserve">Fig. 1. Overview: RegGAN translation of labeled DESS to synthetic PD, fine-tuning of the 2.5D and crop-sequence networks, and evaluation on healthy and torn menisci.</w:t>
      </w:r>
    </w:p>
    <w:p>
      <w:pPr>
        <w:pBdr>
          <w:top w:val="dashed" w:color="B45F06" w:sz="8" w:space="6"/>
          <w:left w:val="dashed" w:color="B45F06" w:sz="8" w:space="6"/>
          <w:bottom w:val="dashed" w:color="B45F06" w:sz="8" w:space="6"/>
          <w:right w:val="dashed" w:color="B45F06" w:sz="8" w:space="6"/>
        </w:pBdr>
        <w:shd w:fill="FFF2CC" w:val="clear"/>
        <w:spacing w:after="0" w:before="80"/>
        <w:jc w:val="center"/>
      </w:pPr>
      <w:r>
        <w:rPr>
          <w:rFonts w:ascii="Times New Roman" w:cs="Times New Roman" w:eastAsia="Times New Roman" w:hAnsi="Times New Roman"/>
          <w:b/>
          <w:bCs/>
          <w:color w:val="B45F06"/>
          <w:sz w:val="18"/>
          <w:szCs w:val="18"/>
        </w:rPr>
        <w:t xml:space="preserve">[FIGURE PLACEHOLDER] Fig. 2. Qualitative healthy-knee results</w:t>
      </w:r>
    </w:p>
    <w:p>
      <w:pPr>
        <w:pBdr>
          <w:left w:val="dashed" w:color="B45F06" w:sz="8" w:space="6"/>
          <w:bottom w:val="dashed" w:color="B45F06" w:sz="8" w:space="6"/>
          <w:right w:val="dashed" w:color="B45F06" w:sz="8" w:space="6"/>
        </w:pBdr>
        <w:shd w:fill="FFF2CC" w:val="clear"/>
        <w:spacing w:after="0" w:before="0" w:line="240"/>
        <w:jc w:val="center"/>
      </w:pPr>
      <w:r>
        <w:rPr>
          <w:rFonts w:ascii="Times New Roman" w:cs="Times New Roman" w:eastAsia="Times New Roman" w:hAnsi="Times New Roman"/>
          <w:color w:val="B45F06"/>
          <w:sz w:val="17"/>
          <w:szCs w:val="17"/>
        </w:rPr>
        <w:t xml:space="preserve">Use the boundary overlay panels in figures/exploratory (for example boundary_v7_3models.png) with ground truth contours; show one best, one median and one worst patient.</w:t>
      </w:r>
    </w:p>
    <w:p>
      <w:pPr>
        <w:spacing w:after="140" w:before="60" w:line="240"/>
        <w:jc w:val="both"/>
      </w:pPr>
      <w:r>
        <w:rPr>
          <w:rFonts w:ascii="Times New Roman" w:cs="Times New Roman" w:eastAsia="Times New Roman" w:hAnsi="Times New Roman"/>
          <w:color w:val="B45F06"/>
          <w:sz w:val="18"/>
          <w:szCs w:val="18"/>
        </w:rPr>
        <w:t xml:space="preserve">Fig. 2. Qualitative segmentation on representative test patients with ground-truth contours.</w:t>
      </w:r>
    </w:p>
    <w:p>
      <w:pPr>
        <w:pBdr>
          <w:top w:val="dashed" w:color="B45F06" w:sz="8" w:space="6"/>
          <w:left w:val="dashed" w:color="B45F06" w:sz="8" w:space="6"/>
          <w:bottom w:val="dashed" w:color="B45F06" w:sz="8" w:space="6"/>
          <w:right w:val="dashed" w:color="B45F06" w:sz="8" w:space="6"/>
        </w:pBdr>
        <w:shd w:fill="FFF2CC" w:val="clear"/>
        <w:spacing w:after="0" w:before="80"/>
        <w:jc w:val="center"/>
      </w:pPr>
      <w:r>
        <w:rPr>
          <w:rFonts w:ascii="Times New Roman" w:cs="Times New Roman" w:eastAsia="Times New Roman" w:hAnsi="Times New Roman"/>
          <w:b/>
          <w:bCs/>
          <w:color w:val="B45F06"/>
          <w:sz w:val="18"/>
          <w:szCs w:val="18"/>
        </w:rPr>
        <w:t xml:space="preserve">[FIGURE PLACEHOLDER] Fig. 3. Torn-meniscus results</w:t>
      </w:r>
    </w:p>
    <w:p>
      <w:pPr>
        <w:pBdr>
          <w:left w:val="dashed" w:color="B45F06" w:sz="8" w:space="6"/>
          <w:bottom w:val="dashed" w:color="B45F06" w:sz="8" w:space="6"/>
          <w:right w:val="dashed" w:color="B45F06" w:sz="8" w:space="6"/>
        </w:pBdr>
        <w:shd w:fill="FFF2CC" w:val="clear"/>
        <w:spacing w:after="0" w:before="0" w:line="240"/>
        <w:jc w:val="center"/>
      </w:pPr>
      <w:r>
        <w:rPr>
          <w:rFonts w:ascii="Times New Roman" w:cs="Times New Roman" w:eastAsia="Times New Roman" w:hAnsi="Times New Roman"/>
          <w:color w:val="B45F06"/>
          <w:sz w:val="17"/>
          <w:szCs w:val="17"/>
        </w:rPr>
        <w:t xml:space="preserve">Use the per-slice outline comparison from notebooks/torn_patient_comparison.ipynb (image, replica, crop and sequence, your mask) for two or three slices of one patient; add the tear location arrow once the radiology is confirmed.</w:t>
      </w:r>
    </w:p>
    <w:p>
      <w:pPr>
        <w:spacing w:after="140" w:before="60" w:line="240"/>
        <w:jc w:val="both"/>
      </w:pPr>
      <w:r>
        <w:rPr>
          <w:rFonts w:ascii="Times New Roman" w:cs="Times New Roman" w:eastAsia="Times New Roman" w:hAnsi="Times New Roman"/>
          <w:color w:val="B45F06"/>
          <w:sz w:val="18"/>
          <w:szCs w:val="18"/>
        </w:rPr>
        <w:t xml:space="preserve">Fig. 3. Torn-meniscus predictions versus the single-rater mask; outlines only.</w:t>
      </w:r>
    </w:p>
    <w:p>
      <w:pPr>
        <w:pBdr>
          <w:top w:val="dashed" w:color="B45F06" w:sz="8" w:space="6"/>
          <w:left w:val="dashed" w:color="B45F06" w:sz="8" w:space="6"/>
          <w:bottom w:val="dashed" w:color="B45F06" w:sz="8" w:space="6"/>
          <w:right w:val="dashed" w:color="B45F06" w:sz="8" w:space="6"/>
        </w:pBdr>
        <w:shd w:fill="FFF2CC" w:val="clear"/>
        <w:spacing w:after="0" w:before="80"/>
        <w:jc w:val="center"/>
      </w:pPr>
      <w:r>
        <w:rPr>
          <w:rFonts w:ascii="Times New Roman" w:cs="Times New Roman" w:eastAsia="Times New Roman" w:hAnsi="Times New Roman"/>
          <w:b/>
          <w:bCs/>
          <w:color w:val="B45F06"/>
          <w:sz w:val="18"/>
          <w:szCs w:val="18"/>
        </w:rPr>
        <w:t xml:space="preserve">[FIGURE PLACEHOLDER] Fig. 4. Bottleneck and error analysis</w:t>
      </w:r>
    </w:p>
    <w:p>
      <w:pPr>
        <w:pBdr>
          <w:left w:val="dashed" w:color="B45F06" w:sz="8" w:space="6"/>
          <w:bottom w:val="dashed" w:color="B45F06" w:sz="8" w:space="6"/>
          <w:right w:val="dashed" w:color="B45F06" w:sz="8" w:space="6"/>
        </w:pBdr>
        <w:shd w:fill="FFF2CC" w:val="clear"/>
        <w:spacing w:after="0" w:before="0" w:line="240"/>
        <w:jc w:val="center"/>
      </w:pPr>
      <w:r>
        <w:rPr>
          <w:rFonts w:ascii="Times New Roman" w:cs="Times New Roman" w:eastAsia="Times New Roman" w:hAnsi="Times New Roman"/>
          <w:color w:val="B45F06"/>
          <w:sz w:val="17"/>
          <w:szCs w:val="17"/>
        </w:rPr>
        <w:t xml:space="preserve">Planned: PCA-to-RGB of the 512-channel bottleneck for the five slices and the ConvLSTM output, LSTM gate activations per slice, and the intensity histograms of true positive, false negative and false positive voxels.</w:t>
      </w:r>
    </w:p>
    <w:p>
      <w:pPr>
        <w:spacing w:after="140" w:before="60" w:line="240"/>
        <w:jc w:val="both"/>
      </w:pPr>
      <w:r>
        <w:rPr>
          <w:rFonts w:ascii="Times New Roman" w:cs="Times New Roman" w:eastAsia="Times New Roman" w:hAnsi="Times New Roman"/>
          <w:color w:val="B45F06"/>
          <w:sz w:val="18"/>
          <w:szCs w:val="18"/>
        </w:rPr>
        <w:t xml:space="preserve">Fig. 4. What the crop and sequence bottleneck retains, and where torn-meniscus errors fall.</w:t>
      </w:r>
    </w:p>
    <w:p>
      <w:pPr>
        <w:pStyle w:val="Heading1"/>
      </w:pPr>
      <w:r>
        <w:rPr>
          <w:rFonts w:ascii="Times New Roman" w:cs="Times New Roman" w:eastAsia="Times New Roman" w:hAnsi="Times New Roman"/>
          <w:b/>
          <w:bCs/>
          <w:sz w:val="22"/>
          <w:szCs w:val="22"/>
        </w:rPr>
        <w:t xml:space="preserve">5. DISCUSSION</w:t>
      </w:r>
    </w:p>
    <w:p>
      <w:pPr>
        <w:spacing w:after="100" w:line="252"/>
        <w:jc w:val="both"/>
      </w:pPr>
      <w:r>
        <w:rPr>
          <w:rFonts w:ascii="Times New Roman" w:cs="Times New Roman" w:eastAsia="Times New Roman" w:hAnsi="Times New Roman"/>
          <w:sz w:val="20"/>
          <w:szCs w:val="20"/>
        </w:rPr>
        <w:t xml:space="preserve">Anatomy-preserving translation is sufficient to move meniscus labels across contrasts: the synthetic PD route alone reaches 0.69 without any real PD annotation, and a small annotated set lifts it to 0.78. Beyond that, gains come from how slices are combined, not from heavier encoders or more elaborate losses. Stacking neighbours as fixed input channels did not give usable z-context (replacing neighbours by the centre slice changed little, and the widest stack hurt on all 17 patients), whereas a learned recurrent aggregation did, and it stacked with a fixed crop. Error concentrates at the ends of the structure in the slice direction, where 3.6 mm slices blur the boundary and annotations are least consistent, while core slices are near a geometric ceiling.</w:t>
      </w:r>
    </w:p>
    <w:p>
      <w:pPr>
        <w:spacing w:after="100" w:line="252"/>
        <w:jc w:val="both"/>
      </w:pPr>
      <w:r>
        <w:rPr>
          <w:rFonts w:ascii="Times New Roman" w:cs="Times New Roman" w:eastAsia="Times New Roman" w:hAnsi="Times New Roman"/>
          <w:sz w:val="20"/>
          <w:szCs w:val="20"/>
        </w:rPr>
        <w:t xml:space="preserve">The healthy-knee Dice of 0.78 to 0.81 is below the roughly 0.85 reported on native, thin-slice DESS with dense labels [1], but our regime is harder: clinical 2D PD with thick slices, 15 annotated patients, and labels that arrive through translation rather than from the target modality. On torn menisci the same models lose about 0.05 to 0.08 Dice. The error analysis suggests the loss is not mainly bright tear signal inside the meniscus; it is a mix of boundary under-extension and spread into brighter adjacent tissue.</w:t>
      </w:r>
    </w:p>
    <w:p>
      <w:pPr>
        <w:pStyle w:val="Heading1"/>
      </w:pPr>
      <w:r>
        <w:rPr>
          <w:rFonts w:ascii="Times New Roman" w:cs="Times New Roman" w:eastAsia="Times New Roman" w:hAnsi="Times New Roman"/>
          <w:b/>
          <w:bCs/>
          <w:sz w:val="22"/>
          <w:szCs w:val="22"/>
        </w:rPr>
        <w:t xml:space="preserve">6. LIMITATIONS</w:t>
      </w:r>
    </w:p>
    <w:p>
      <w:pPr>
        <w:spacing w:after="100" w:line="252"/>
        <w:jc w:val="both"/>
      </w:pPr>
      <w:r>
        <w:rPr>
          <w:rFonts w:ascii="Times New Roman" w:cs="Times New Roman" w:eastAsia="Times New Roman" w:hAnsi="Times New Roman"/>
          <w:sz w:val="20"/>
          <w:szCs w:val="20"/>
        </w:rPr>
        <w:t xml:space="preserve">The torn evaluation is five patients with masks from one rater, so its differences are not statistically interpretable. The test set was reused for many comparisons. Data come from one institution, one anatomy and a small annotated cohort. The distance metric is not a standard FID, the registration network is trained and evaluated on different pairings, and the noise floor rests on two patients and two seeds.</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List of things that would most improve the paper, in priority order: (1) one frozen configuration and one clean test read with bootstrap confidence intervals and paired tests; (2) more torn patients with clinical confirmation and a second rater; (3) CycleGAN, ImageNet-initialised and nnU-Net baselines; (4) true FID or KID with InceptionV3; (5) a repaired registration pairing; (6) a human-ceiling measurement from re-annotation of two volumes; (7) the bottleneck analysis figure; (8) the intensity-aware correction validated on held-out data; (9) a label-efficiency curve with 5 and 20 annotated patients; (10) a second site if any data can be obtained.</w:t>
      </w:r>
    </w:p>
    <w:p>
      <w:pPr>
        <w:pStyle w:val="Heading1"/>
      </w:pPr>
      <w:r>
        <w:rPr>
          <w:rFonts w:ascii="Times New Roman" w:cs="Times New Roman" w:eastAsia="Times New Roman" w:hAnsi="Times New Roman"/>
          <w:b/>
          <w:bCs/>
          <w:sz w:val="22"/>
          <w:szCs w:val="22"/>
        </w:rPr>
        <w:t xml:space="preserve">7. CONCLUSION</w:t>
      </w:r>
    </w:p>
    <w:p>
      <w:pPr>
        <w:spacing w:after="100" w:line="252"/>
        <w:jc w:val="both"/>
      </w:pPr>
      <w:r>
        <w:rPr>
          <w:rFonts w:ascii="Times New Roman" w:cs="Times New Roman" w:eastAsia="Times New Roman" w:hAnsi="Times New Roman"/>
          <w:sz w:val="20"/>
          <w:szCs w:val="20"/>
        </w:rPr>
        <w:t xml:space="preserve">Registration-constrained translation lets DESS labels supervise meniscus segmentation in PD MRI with near-rigid anatomy preservation, reaching 0.78 Dice with a small real PD set and 0.806 with a fixed crop and a ConvLSTM across slices, and position-aware variants gave no further gain. Applied to torn menisci without retraining, the models reach about 0.72 to 0.73 Dice against single-rater masks, and the failure analysis points to boundary extension and over-segmentation into brighter tissue rather than enclosed tear signal. </w:t>
      </w:r>
      <w:r>
        <w:rPr>
          <w:rFonts w:ascii="Times New Roman" w:cs="Times New Roman" w:eastAsia="Times New Roman" w:hAnsi="Times New Roman"/>
          <w:color w:val="B45F06"/>
          <w:sz w:val="20"/>
          <w:szCs w:val="20"/>
          <w:shd w:fill="FFF2CC" w:val="clear"/>
        </w:rPr>
        <w:t xml:space="preserve">[Revise this paragraph once the torn cohort is larger and the intensity-aware correction is validated.]</w:t>
      </w:r>
    </w:p>
    <w:p>
      <w:pPr>
        <w:pStyle w:val="Heading1"/>
      </w:pPr>
      <w:r>
        <w:rPr>
          <w:rFonts w:ascii="Times New Roman" w:cs="Times New Roman" w:eastAsia="Times New Roman" w:hAnsi="Times New Roman"/>
          <w:b/>
          <w:bCs/>
          <w:sz w:val="22"/>
          <w:szCs w:val="22"/>
        </w:rPr>
        <w:t xml:space="preserve">ACKNOWLEDGMENTS</w:t>
      </w:r>
    </w:p>
    <w:p>
      <w:pPr>
        <w:spacing w:after="100" w:line="252"/>
        <w:jc w:val="both"/>
      </w:pPr>
      <w:r>
        <w:rPr>
          <w:rFonts w:ascii="Times New Roman" w:cs="Times New Roman" w:eastAsia="Times New Roman" w:hAnsi="Times New Roman"/>
          <w:sz w:val="20"/>
          <w:szCs w:val="20"/>
        </w:rPr>
        <w:t xml:space="preserve">The authors acknowledge the computational resources of the Indiana University BigRed200 cluster.</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Add funding sources, annotators to thank, and the ethics statement: IRB approval or exemption for the IU PD and torn cohorts and the SKM-TEA data use terms. Remove if the venue is double blind.</w:t>
      </w:r>
    </w:p>
    <w:p>
      <w:pPr>
        <w:pStyle w:val="Heading1"/>
      </w:pPr>
      <w:r>
        <w:rPr>
          <w:rFonts w:ascii="Times New Roman" w:cs="Times New Roman" w:eastAsia="Times New Roman" w:hAnsi="Times New Roman"/>
          <w:b/>
          <w:bCs/>
          <w:sz w:val="22"/>
          <w:szCs w:val="22"/>
        </w:rPr>
        <w:t xml:space="preserve">REFERENCES</w:t>
      </w:r>
    </w:p>
    <w:p>
      <w:pPr>
        <w:spacing w:after="40" w:line="240"/>
        <w:ind w:left="360" w:hanging="360"/>
      </w:pPr>
      <w:r>
        <w:rPr>
          <w:rFonts w:ascii="Times New Roman" w:cs="Times New Roman" w:eastAsia="Times New Roman" w:hAnsi="Times New Roman"/>
          <w:sz w:val="17"/>
          <w:szCs w:val="17"/>
        </w:rPr>
        <w:t xml:space="preserve">[1] A. D. Desai et al., SKM-TEA: A dataset for accelerated MRI reconstruction with dense image labels for quantitative clinical evaluation, NeurIPS Datasets and Benchmarks, 2021.</w:t>
      </w:r>
    </w:p>
    <w:p>
      <w:pPr>
        <w:spacing w:after="40" w:line="240"/>
        <w:ind w:left="360" w:hanging="360"/>
      </w:pPr>
      <w:r>
        <w:rPr>
          <w:rFonts w:ascii="Times New Roman" w:cs="Times New Roman" w:eastAsia="Times New Roman" w:hAnsi="Times New Roman"/>
          <w:sz w:val="17"/>
          <w:szCs w:val="17"/>
        </w:rPr>
        <w:t xml:space="preserve">[2] J.-Y. Zhu, T. Park, P. Isola, A. A. Efros, Unpaired image-to-image translation using cycle-consistent adversarial networks, ICCV, 2017.</w:t>
      </w:r>
    </w:p>
    <w:p>
      <w:pPr>
        <w:spacing w:after="40" w:line="240"/>
        <w:ind w:left="360" w:hanging="360"/>
      </w:pPr>
      <w:r>
        <w:rPr>
          <w:rFonts w:ascii="Times New Roman" w:cs="Times New Roman" w:eastAsia="Times New Roman" w:hAnsi="Times New Roman"/>
          <w:sz w:val="17"/>
          <w:szCs w:val="17"/>
        </w:rPr>
        <w:t xml:space="preserve">[3] L. Kong et al., Breaking the dilemma of medical image-to-image translation, NeurIPS, 2021.</w:t>
      </w:r>
    </w:p>
    <w:p>
      <w:pPr>
        <w:spacing w:after="40" w:line="240"/>
        <w:ind w:left="360" w:hanging="360"/>
      </w:pPr>
      <w:r>
        <w:rPr>
          <w:rFonts w:ascii="Times New Roman" w:cs="Times New Roman" w:eastAsia="Times New Roman" w:hAnsi="Times New Roman"/>
          <w:sz w:val="17"/>
          <w:szCs w:val="17"/>
        </w:rPr>
        <w:t xml:space="preserve">[4] A. D. Desai et al., The International Workshop on Osteoarthritis Imaging knee MRI segmentation challenge: a multi-institute evaluation and analysis framework on a standardized dataset, Radiology: Artificial Intelligence, 3(3), 2021.</w:t>
      </w:r>
    </w:p>
    <w:p>
      <w:pPr>
        <w:spacing w:after="40" w:line="240"/>
        <w:ind w:left="360" w:hanging="360"/>
      </w:pPr>
      <w:r>
        <w:rPr>
          <w:rFonts w:ascii="Times New Roman" w:cs="Times New Roman" w:eastAsia="Times New Roman" w:hAnsi="Times New Roman"/>
          <w:sz w:val="17"/>
          <w:szCs w:val="17"/>
        </w:rPr>
        <w:t xml:space="preserve">[5] A. Gaj et al., Automated cartilage and meniscus segmentation of knee MRI with conditional generative adversarial networks, Magnetic Resonance in Medicine, 84(1), 2020.</w:t>
      </w:r>
    </w:p>
    <w:p>
      <w:pPr>
        <w:spacing w:after="40" w:line="240"/>
        <w:ind w:left="360" w:hanging="360"/>
      </w:pPr>
      <w:r>
        <w:rPr>
          <w:rFonts w:ascii="Times New Roman" w:cs="Times New Roman" w:eastAsia="Times New Roman" w:hAnsi="Times New Roman"/>
          <w:sz w:val="17"/>
          <w:szCs w:val="17"/>
        </w:rPr>
        <w:t xml:space="preserve">[6] B. Norman et al., Use of 2D U-Net convolutional neural networks for automated cartilage and meniscus segmentation of knee MR imaging data to determine relaxometry and morphometry, Radiology, 288(1), 2018.</w:t>
      </w:r>
    </w:p>
    <w:p>
      <w:pPr>
        <w:spacing w:after="40" w:line="240"/>
        <w:ind w:left="360" w:hanging="360"/>
      </w:pPr>
      <w:r>
        <w:rPr>
          <w:rFonts w:ascii="Times New Roman" w:cs="Times New Roman" w:eastAsia="Times New Roman" w:hAnsi="Times New Roman"/>
          <w:sz w:val="17"/>
          <w:szCs w:val="17"/>
        </w:rPr>
        <w:t xml:space="preserve">[7] G. Balakrishnan et al., VoxelMorph: a learning framework for deformable medical image registration, IEEE Trans. Medical Imaging, 38(8), 2019.</w:t>
      </w:r>
    </w:p>
    <w:p>
      <w:pPr>
        <w:spacing w:after="40" w:line="240"/>
        <w:ind w:left="360" w:hanging="360"/>
      </w:pPr>
      <w:r>
        <w:rPr>
          <w:rFonts w:ascii="Times New Roman" w:cs="Times New Roman" w:eastAsia="Times New Roman" w:hAnsi="Times New Roman"/>
          <w:sz w:val="17"/>
          <w:szCs w:val="17"/>
        </w:rPr>
        <w:t xml:space="preserve">[8] X. Shi et al., Convolutional LSTM network: a machine learning approach for precipitation nowcasting, NeurIPS, 2015.</w:t>
      </w:r>
    </w:p>
    <w:p>
      <w:pPr>
        <w:spacing w:after="40" w:line="240"/>
        <w:ind w:left="360" w:hanging="360"/>
      </w:pPr>
      <w:r>
        <w:rPr>
          <w:rFonts w:ascii="Times New Roman" w:cs="Times New Roman" w:eastAsia="Times New Roman" w:hAnsi="Times New Roman"/>
          <w:sz w:val="17"/>
          <w:szCs w:val="17"/>
        </w:rPr>
        <w:t xml:space="preserve">[9] R. Zhao et al., fastMRI+, clinical pathology annotations for knee and brain fully sampled magnetic resonance imaging data, Scientific Data, 9, 2022.</w:t>
      </w:r>
    </w:p>
    <w:p>
      <w:pPr>
        <w:spacing w:after="40" w:line="240"/>
        <w:ind w:left="360" w:hanging="360"/>
      </w:pPr>
      <w:r>
        <w:rPr>
          <w:rFonts w:ascii="Times New Roman" w:cs="Times New Roman" w:eastAsia="Times New Roman" w:hAnsi="Times New Roman"/>
          <w:sz w:val="17"/>
          <w:szCs w:val="17"/>
        </w:rPr>
        <w:t xml:space="preserve">[10] X. Mao et al., Least squares generative adversarial networks, ICCV, 2017.</w:t>
      </w:r>
    </w:p>
    <w:p>
      <w:pPr>
        <w:spacing w:after="40" w:line="240"/>
        <w:ind w:left="360" w:hanging="360"/>
      </w:pPr>
      <w:r>
        <w:rPr>
          <w:rFonts w:ascii="Times New Roman" w:cs="Times New Roman" w:eastAsia="Times New Roman" w:hAnsi="Times New Roman"/>
          <w:sz w:val="17"/>
          <w:szCs w:val="17"/>
        </w:rPr>
        <w:t xml:space="preserve">[11] O. Ronneberger, P. Fischer, T. Brox, U-Net: convolutional networks for biomedical image segmentation, MICCAI, 2015.</w:t>
      </w:r>
    </w:p>
    <w:p>
      <w:pPr>
        <w:spacing w:after="40" w:line="240"/>
        <w:ind w:left="360" w:hanging="360"/>
      </w:pPr>
      <w:r>
        <w:rPr>
          <w:rFonts w:ascii="Times New Roman" w:cs="Times New Roman" w:eastAsia="Times New Roman" w:hAnsi="Times New Roman"/>
          <w:sz w:val="17"/>
          <w:szCs w:val="17"/>
        </w:rPr>
        <w:t xml:space="preserve">[12] K. He, X. Zhang, S. Ren, J. Sun, Deep residual learning for image recognition, CVPR, 2016.</w:t>
      </w:r>
    </w:p>
    <w:p>
      <w:pPr>
        <w:spacing w:after="40" w:line="240"/>
        <w:ind w:left="360" w:hanging="360"/>
      </w:pPr>
      <w:r>
        <w:rPr>
          <w:rFonts w:ascii="Times New Roman" w:cs="Times New Roman" w:eastAsia="Times New Roman" w:hAnsi="Times New Roman"/>
          <w:sz w:val="17"/>
          <w:szCs w:val="17"/>
        </w:rPr>
        <w:t xml:space="preserve">[13] M. Heusel et al., GANs trained by a two time-scale update rule converge to a local Nash equilibrium, NeurIPS, 2017.</w:t>
      </w:r>
    </w:p>
    <w:p>
      <w:pPr>
        <w:spacing w:after="40" w:line="240"/>
        <w:ind w:left="360" w:hanging="360"/>
      </w:pPr>
      <w:r>
        <w:rPr>
          <w:rFonts w:ascii="Times New Roman" w:cs="Times New Roman" w:eastAsia="Times New Roman" w:hAnsi="Times New Roman"/>
          <w:sz w:val="17"/>
          <w:szCs w:val="17"/>
        </w:rPr>
        <w:t xml:space="preserve">[14] P. Iakubovskii, Segmentation Models PyTorch, software, 2019.</w:t>
      </w:r>
    </w:p>
    <w:p>
      <w:pPr>
        <w:pBdr>
          <w:left w:val="single" w:color="B45F06" w:sz="12" w:space="4"/>
        </w:pBdr>
        <w:shd w:fill="FFF2CC" w:val="clear"/>
        <w:spacing w:after="100" w:before="40" w:line="252"/>
        <w:jc w:val="left"/>
      </w:pPr>
      <w:r>
        <w:rPr>
          <w:rFonts w:ascii="Times New Roman" w:cs="Times New Roman" w:eastAsia="Times New Roman" w:hAnsi="Times New Roman"/>
          <w:b/>
          <w:bCs/>
          <w:color w:val="B45F06"/>
          <w:sz w:val="20"/>
          <w:szCs w:val="20"/>
        </w:rPr>
        <w:t xml:space="preserve">TODO: </w:t>
      </w:r>
      <w:r>
        <w:rPr>
          <w:rFonts w:ascii="Times New Roman" w:cs="Times New Roman" w:eastAsia="Times New Roman" w:hAnsi="Times New Roman"/>
          <w:color w:val="B45F06"/>
          <w:sz w:val="20"/>
          <w:szCs w:val="20"/>
        </w:rPr>
        <w:t xml:space="preserve">Verify every reference against the source before submission (venue, year, volume, pages); the SKM-TEA venue and year and the IWOAI details differ between your earlier SPIE abstract and your planning notes. References 11 to 14 are cited in the draft only implicitly; cite them in the Methods or drop them. Add SAMRI-2 and any torn-meniscus papers.</w:t>
      </w:r>
    </w:p>
    <w:sectPr>
      <w:footerReference w:type="default" r:id="rId6"/>
      <w:type w:val="continuous"/>
      <w:pgSz w:w="12240" w:h="15840" w:orient="portrait"/>
      <w:pgMar w:top="1000" w:right="1080" w:bottom="100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Draft manuscript,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6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keepNext/>
      <w:spacing w:after="50" w:before="100"/>
      <w:outlineLvl w:val="1"/>
    </w:pPr>
    <w:rPr>
      <w:rFonts w:ascii="Times New Roman" w:cs="Times New Roman" w:eastAsia="Times New Roman" w:hAnsi="Times New Roman"/>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Meniscus segmentation manuscript draft</dc:title>
  <dc:creator>Draft</dc:creator>
  <cp:lastModifiedBy>Un-named</cp:lastModifiedBy>
  <cp:revision>1</cp:revision>
  <dcterms:created xsi:type="dcterms:W3CDTF">2026-10-19T13:36:32.805Z</dcterms:created>
  <dcterms:modified xsi:type="dcterms:W3CDTF">2026-10-19T13:36:32.810Z</dcterms:modified>
</cp:coreProperties>
</file>

<file path=docProps/custom.xml><?xml version="1.0" encoding="utf-8"?>
<Properties xmlns="http://schemas.openxmlformats.org/officeDocument/2006/custom-properties" xmlns:vt="http://schemas.openxmlformats.org/officeDocument/2006/docPropsVTypes"/>
</file>