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Loan Default / Credit Risk Prediction</w:t>
      </w:r>
    </w:p>
    <w:p>
      <w:pPr>
        <w:spacing w:after="300"/>
        <w:jc w:val="center"/>
      </w:pPr>
      <w:r>
        <w:rPr>
          <w:i/>
          <w:iCs/>
          <w:color w:val="555555"/>
          <w:sz w:val="24"/>
          <w:szCs w:val="24"/>
        </w:rPr>
        <w:t xml:space="preserve">Project Pipeline Summary — Real Data Edition</w:t>
      </w:r>
    </w:p>
    <w:p>
      <w:pPr>
        <w:pStyle w:val="Heading2"/>
        <w:spacing w:after="120" w:before="240"/>
      </w:pPr>
      <w:r>
        <w:t xml:space="preserve">Business Problem</w:t>
      </w:r>
    </w:p>
    <w:p>
      <w:pPr>
        <w:spacing w:after="160"/>
      </w:pPr>
      <w:r>
        <w:rPr>
          <w:sz w:val="22"/>
          <w:szCs w:val="22"/>
        </w:rPr>
        <w:t xml:space="preserve">Predict whether a loan applicant is likely to default, so a lender can assess credit risk more consistently. This version replaces an earlier synthetic dataset with two real, publicly available Kaggle loan datasets combined into one larger real-world dataset (~170,000 rows).</w:t>
      </w:r>
    </w:p>
    <w:p>
      <w:pPr>
        <w:pStyle w:val="Heading2"/>
        <w:spacing w:after="120" w:before="240"/>
      </w:pPr>
      <w:r>
        <w:t xml:space="preserve">Pipeline Overview</w:t>
      </w:r>
    </w:p>
    <w:p>
      <w:pPr>
        <w:spacing w:after="160"/>
      </w:pPr>
      <w:r>
        <w:rPr>
          <w:sz w:val="22"/>
          <w:szCs w:val="22"/>
        </w:rPr>
        <w:t xml:space="preserve">Filtering → Dataset Create → Realistic Check → Clean &amp; Preprocess → Feature Engineering → Feature Selection → Train/Test Split (70/30) → Train 3 Models → Evaluate → Cross-Validation → Class Imbalance Handling → Feature Importance → Predict New Applicant → Cost-Benefit Analysis → Risk Tiering → Executive Summary → Regulatory Note</w:t>
      </w:r>
    </w:p>
    <w:p>
      <w:pPr>
        <w:pStyle w:val="Heading1"/>
        <w:spacing w:after="160" w:before="320"/>
      </w:pPr>
      <w:r>
        <w:t xml:space="preserve">1. Setup &amp; Data Loading</w:t>
      </w:r>
    </w:p>
    <w:p>
      <w:pPr>
        <w:spacing w:after="160"/>
      </w:pPr>
      <w:r>
        <w:rPr>
          <w:sz w:val="22"/>
          <w:szCs w:val="22"/>
        </w:rPr>
        <w:t xml:space="preserve">Installs and imports the standard ML toolkit, then loads two real Kaggle datasets.</w:t>
      </w:r>
    </w:p>
    <w:p>
      <w:pPr>
        <w:pStyle w:val="ListParagraph"/>
        <w:numPr>
          <w:ilvl w:val="0"/>
          <w:numId w:val="2"/>
        </w:numPr>
        <w:spacing w:after="100"/>
      </w:pPr>
      <w:r>
        <w:rPr>
          <w:b/>
          <w:bCs/>
          <w:sz w:val="22"/>
          <w:szCs w:val="22"/>
        </w:rPr>
        <w:t xml:space="preserve">Libraries: </w:t>
      </w:r>
      <w:r>
        <w:rPr>
          <w:sz w:val="22"/>
          <w:szCs w:val="22"/>
        </w:rPr>
        <w:t xml:space="preserve">numpy, pandas, matplotlib, seaborn, scikit-learn.</w:t>
      </w:r>
    </w:p>
    <w:p>
      <w:pPr>
        <w:pStyle w:val="ListParagraph"/>
        <w:numPr>
          <w:ilvl w:val="0"/>
          <w:numId w:val="2"/>
        </w:numPr>
        <w:spacing w:after="100"/>
      </w:pPr>
      <w:r>
        <w:rPr>
          <w:b/>
          <w:bCs/>
          <w:sz w:val="22"/>
          <w:szCs w:val="22"/>
        </w:rPr>
        <w:t xml:space="preserve">Data sources: </w:t>
      </w:r>
      <w:r>
        <w:rPr>
          <w:sz w:val="22"/>
          <w:szCs w:val="22"/>
        </w:rPr>
        <w:t xml:space="preserve">credit_risk_dataset.csv (32,581 borrowers) and Loan_Default_csv.xlsx.</w:t>
      </w:r>
    </w:p>
    <w:p>
      <w:pPr>
        <w:pStyle w:val="ListParagraph"/>
        <w:numPr>
          <w:ilvl w:val="0"/>
          <w:numId w:val="2"/>
        </w:numPr>
        <w:spacing w:after="100"/>
      </w:pPr>
      <w:r>
        <w:rPr>
          <w:b/>
          <w:bCs/>
          <w:sz w:val="22"/>
          <w:szCs w:val="22"/>
        </w:rPr>
        <w:t xml:space="preserve">Why: </w:t>
      </w:r>
      <w:r>
        <w:rPr>
          <w:sz w:val="22"/>
          <w:szCs w:val="22"/>
        </w:rPr>
        <w:t xml:space="preserve">Replaces an earlier version of the project that used synthetic (randomly generated) data with real, publicly available lending data.</w:t>
      </w:r>
    </w:p>
    <w:p>
      <w:pPr>
        <w:pStyle w:val="Heading1"/>
        <w:spacing w:after="160" w:before="320"/>
      </w:pPr>
      <w:r>
        <w:t xml:space="preserve">2. Filtering</w:t>
      </w:r>
    </w:p>
    <w:p>
      <w:pPr>
        <w:pStyle w:val="ListParagraph"/>
        <w:numPr>
          <w:ilvl w:val="0"/>
          <w:numId w:val="2"/>
        </w:numPr>
        <w:spacing w:after="100"/>
      </w:pPr>
      <w:r>
        <w:rPr>
          <w:b/>
          <w:bCs/>
          <w:sz w:val="22"/>
          <w:szCs w:val="22"/>
        </w:rPr>
        <w:t xml:space="preserve">Row filtering: </w:t>
      </w:r>
      <w:r>
        <w:rPr>
          <w:sz w:val="22"/>
          <w:szCs w:val="22"/>
        </w:rPr>
        <w:t xml:space="preserve">removes physically impossible records — negative income, ages outside 18–90, employment length longer than a plausible working life.</w:t>
      </w:r>
    </w:p>
    <w:p>
      <w:pPr>
        <w:pStyle w:val="ListParagraph"/>
        <w:numPr>
          <w:ilvl w:val="0"/>
          <w:numId w:val="2"/>
        </w:numPr>
        <w:spacing w:after="100"/>
      </w:pPr>
      <w:r>
        <w:rPr>
          <w:b/>
          <w:bCs/>
          <w:sz w:val="22"/>
          <w:szCs w:val="22"/>
        </w:rPr>
        <w:t xml:space="preserve">Column filtering: </w:t>
      </w:r>
      <w:r>
        <w:rPr>
          <w:sz w:val="22"/>
          <w:szCs w:val="22"/>
        </w:rPr>
        <w:t xml:space="preserve">Dataset 2 has 34 columns, many mostly empty or irrelevant (e.g. Security_Type). Only usable, comparable columns are kept.</w:t>
      </w:r>
    </w:p>
    <w:p>
      <w:pPr>
        <w:pStyle w:val="Heading1"/>
        <w:spacing w:after="160" w:before="320"/>
      </w:pPr>
      <w:r>
        <w:t xml:space="preserve">3. Dataset Create (Harmonization)</w:t>
      </w:r>
    </w:p>
    <w:p>
      <w:pPr>
        <w:spacing w:after="160"/>
      </w:pPr>
      <w:r>
        <w:rPr>
          <w:sz w:val="22"/>
          <w:szCs w:val="22"/>
        </w:rPr>
        <w:t xml:space="preserve">The two datasets use different column names, units, and encodings, so each is mapped onto one shared schema before being combined into a single dataset.</w:t>
      </w:r>
    </w:p>
    <w:p>
      <w:pPr>
        <w:pStyle w:val="ListParagraph"/>
        <w:numPr>
          <w:ilvl w:val="0"/>
          <w:numId w:val="2"/>
        </w:numPr>
        <w:spacing w:after="100"/>
      </w:pPr>
      <w:r>
        <w:rPr>
          <w:b/>
          <w:bCs/>
          <w:sz w:val="22"/>
          <w:szCs w:val="22"/>
        </w:rPr>
        <w:t xml:space="preserve">Letter loan grade → credit score: </w:t>
      </w:r>
      <w:r>
        <w:rPr>
          <w:sz w:val="22"/>
          <w:szCs w:val="22"/>
        </w:rPr>
        <w:t xml:space="preserve">A=750, B=700, C=650, D=600, E=550, F=500, G=450.</w:t>
      </w:r>
    </w:p>
    <w:p>
      <w:pPr>
        <w:pStyle w:val="ListParagraph"/>
        <w:numPr>
          <w:ilvl w:val="0"/>
          <w:numId w:val="2"/>
        </w:numPr>
        <w:spacing w:after="100"/>
      </w:pPr>
      <w:r>
        <w:rPr>
          <w:b/>
          <w:bCs/>
          <w:sz w:val="22"/>
          <w:szCs w:val="22"/>
        </w:rPr>
        <w:t xml:space="preserve">Age bands → numeric midpoint: </w:t>
      </w:r>
      <w:r>
        <w:rPr>
          <w:sz w:val="22"/>
          <w:szCs w:val="22"/>
        </w:rPr>
        <w:t xml:space="preserve">e.g. “25-34” → 29.5.</w:t>
      </w:r>
    </w:p>
    <w:p>
      <w:pPr>
        <w:pStyle w:val="ListParagraph"/>
        <w:numPr>
          <w:ilvl w:val="0"/>
          <w:numId w:val="2"/>
        </w:numPr>
        <w:spacing w:after="100"/>
      </w:pPr>
      <w:r>
        <w:rPr>
          <w:b/>
          <w:bCs/>
          <w:sz w:val="22"/>
          <w:szCs w:val="22"/>
        </w:rPr>
        <w:t xml:space="preserve">Income annualized: </w:t>
      </w:r>
      <w:r>
        <w:rPr>
          <w:sz w:val="22"/>
          <w:szCs w:val="22"/>
        </w:rPr>
        <w:t xml:space="preserve">monthly income × 12.</w:t>
      </w:r>
    </w:p>
    <w:p>
      <w:pPr>
        <w:pStyle w:val="Heading1"/>
        <w:spacing w:after="160" w:before="320"/>
      </w:pPr>
      <w:r>
        <w:t xml:space="preserve">4. Realistic Check</w:t>
      </w:r>
    </w:p>
    <w:p>
      <w:pPr>
        <w:pStyle w:val="ListParagraph"/>
        <w:numPr>
          <w:ilvl w:val="0"/>
          <w:numId w:val="2"/>
        </w:numPr>
        <w:spacing w:after="100"/>
      </w:pPr>
      <w:r>
        <w:rPr>
          <w:sz w:val="22"/>
          <w:szCs w:val="22"/>
        </w:rPr>
        <w:t xml:space="preserve">Sanity-checks the combined data: overall default rate, default rate by source, and plausible ranges for age, income, and loan amount — confirming the merge produced sensible real-world numbers.</w:t>
      </w:r>
    </w:p>
    <w:p>
      <w:pPr>
        <w:pStyle w:val="Heading1"/>
        <w:spacing w:after="160" w:before="320"/>
      </w:pPr>
      <w:r>
        <w:t xml:space="preserve">5. Clean &amp; Preprocess</w:t>
      </w:r>
    </w:p>
    <w:p>
      <w:pPr>
        <w:pStyle w:val="ListParagraph"/>
        <w:numPr>
          <w:ilvl w:val="0"/>
          <w:numId w:val="2"/>
        </w:numPr>
        <w:spacing w:after="100"/>
      </w:pPr>
      <w:r>
        <w:rPr>
          <w:sz w:val="22"/>
          <w:szCs w:val="22"/>
        </w:rPr>
        <w:t xml:space="preserve">Drops any remaining invalid rows.</w:t>
      </w:r>
    </w:p>
    <w:p>
      <w:pPr>
        <w:pStyle w:val="ListParagraph"/>
        <w:numPr>
          <w:ilvl w:val="0"/>
          <w:numId w:val="2"/>
        </w:numPr>
        <w:spacing w:after="100"/>
      </w:pPr>
      <w:r>
        <w:rPr>
          <w:b/>
          <w:bCs/>
          <w:sz w:val="22"/>
          <w:szCs w:val="22"/>
        </w:rPr>
        <w:t xml:space="preserve">Missing-value flag: </w:t>
      </w:r>
      <w:r>
        <w:rPr>
          <w:sz w:val="22"/>
          <w:szCs w:val="22"/>
        </w:rPr>
        <w:t xml:space="preserve">added for employment length, since a missing value can itself be predictive.</w:t>
      </w:r>
    </w:p>
    <w:p>
      <w:pPr>
        <w:pStyle w:val="ListParagraph"/>
        <w:numPr>
          <w:ilvl w:val="0"/>
          <w:numId w:val="2"/>
        </w:numPr>
        <w:spacing w:after="100"/>
      </w:pPr>
      <w:r>
        <w:rPr>
          <w:b/>
          <w:bCs/>
          <w:sz w:val="22"/>
          <w:szCs w:val="22"/>
        </w:rPr>
        <w:t xml:space="preserve">Median imputation: </w:t>
      </w:r>
      <w:r>
        <w:rPr>
          <w:sz w:val="22"/>
          <w:szCs w:val="22"/>
        </w:rPr>
        <w:t xml:space="preserve">robust to the skew common in financial variables.</w:t>
      </w:r>
    </w:p>
    <w:p>
      <w:pPr>
        <w:pStyle w:val="ListParagraph"/>
        <w:numPr>
          <w:ilvl w:val="0"/>
          <w:numId w:val="2"/>
        </w:numPr>
        <w:spacing w:after="100"/>
      </w:pPr>
      <w:r>
        <w:rPr>
          <w:b/>
          <w:bCs/>
          <w:sz w:val="22"/>
          <w:szCs w:val="22"/>
        </w:rPr>
        <w:t xml:space="preserve">Outlier clipping: </w:t>
      </w:r>
      <w:r>
        <w:rPr>
          <w:sz w:val="22"/>
          <w:szCs w:val="22"/>
        </w:rPr>
        <w:t xml:space="preserve">values clipped at the 1st/99th percentile.</w:t>
      </w:r>
    </w:p>
    <w:p>
      <w:pPr>
        <w:pStyle w:val="Heading1"/>
        <w:spacing w:after="160" w:before="320"/>
      </w:pPr>
      <w:r>
        <w:t xml:space="preserve">6. Exploratory Analysis</w:t>
      </w:r>
    </w:p>
    <w:p>
      <w:pPr>
        <w:pStyle w:val="ListParagraph"/>
        <w:numPr>
          <w:ilvl w:val="0"/>
          <w:numId w:val="2"/>
        </w:numPr>
        <w:spacing w:after="100"/>
      </w:pPr>
      <w:r>
        <w:rPr>
          <w:sz w:val="22"/>
          <w:szCs w:val="22"/>
        </w:rPr>
        <w:t xml:space="preserve">Boxplots of credit score and debt-to-income against default status, to visually check whether these variables relate to default.</w:t>
      </w:r>
    </w:p>
    <w:p>
      <w:pPr>
        <w:pStyle w:val="Heading1"/>
        <w:spacing w:after="160" w:before="320"/>
      </w:pPr>
      <w:r>
        <w:t xml:space="preserve">7. Feature Engineering</w:t>
      </w:r>
    </w:p>
    <w:p>
      <w:pPr>
        <w:spacing w:after="160"/>
      </w:pPr>
      <w:r>
        <w:rPr>
          <w:sz w:val="22"/>
          <w:szCs w:val="22"/>
        </w:rPr>
        <w:t xml:space="preserve">New, more predictive features are created:</w:t>
      </w:r>
    </w:p>
    <w:p>
      <w:pPr>
        <w:pStyle w:val="ListParagraph"/>
        <w:numPr>
          <w:ilvl w:val="0"/>
          <w:numId w:val="2"/>
        </w:numPr>
        <w:spacing w:after="100"/>
      </w:pPr>
      <w:r>
        <w:rPr>
          <w:b/>
          <w:bCs/>
          <w:sz w:val="22"/>
          <w:szCs w:val="22"/>
        </w:rPr>
        <w:t xml:space="preserve">loan_to_income_ratio </w:t>
      </w:r>
      <w:r>
        <w:rPr>
          <w:sz w:val="22"/>
          <w:szCs w:val="22"/>
        </w:rPr>
        <w:t xml:space="preserve">— classic affordability signal.</w:t>
      </w:r>
    </w:p>
    <w:p>
      <w:pPr>
        <w:pStyle w:val="ListParagraph"/>
        <w:numPr>
          <w:ilvl w:val="0"/>
          <w:numId w:val="2"/>
        </w:numPr>
        <w:spacing w:after="100"/>
      </w:pPr>
      <w:r>
        <w:rPr>
          <w:b/>
          <w:bCs/>
          <w:sz w:val="22"/>
          <w:szCs w:val="22"/>
        </w:rPr>
        <w:t xml:space="preserve">credit_score_normalized </w:t>
      </w:r>
      <w:r>
        <w:rPr>
          <w:sz w:val="22"/>
          <w:szCs w:val="22"/>
        </w:rPr>
        <w:t xml:space="preserve">— rescaled to a common 0–100 range.</w:t>
      </w:r>
    </w:p>
    <w:p>
      <w:pPr>
        <w:pStyle w:val="ListParagraph"/>
        <w:numPr>
          <w:ilvl w:val="0"/>
          <w:numId w:val="2"/>
        </w:numPr>
        <w:spacing w:after="100"/>
      </w:pPr>
      <w:r>
        <w:rPr>
          <w:b/>
          <w:bCs/>
          <w:sz w:val="22"/>
          <w:szCs w:val="22"/>
        </w:rPr>
        <w:t xml:space="preserve">high_dti_flag </w:t>
      </w:r>
      <w:r>
        <w:rPr>
          <w:sz w:val="22"/>
          <w:szCs w:val="22"/>
        </w:rPr>
        <w:t xml:space="preserve">— 1 if debt-to-income exceeds 40%.</w:t>
      </w:r>
    </w:p>
    <w:p>
      <w:pPr>
        <w:pStyle w:val="ListParagraph"/>
        <w:numPr>
          <w:ilvl w:val="0"/>
          <w:numId w:val="2"/>
        </w:numPr>
        <w:spacing w:after="100"/>
      </w:pPr>
      <w:r>
        <w:rPr>
          <w:b/>
          <w:bCs/>
          <w:sz w:val="22"/>
          <w:szCs w:val="22"/>
        </w:rPr>
        <w:t xml:space="preserve">age_group </w:t>
      </w:r>
      <w:r>
        <w:rPr>
          <w:sz w:val="22"/>
          <w:szCs w:val="22"/>
        </w:rPr>
        <w:t xml:space="preserve">— age bucketed into ranges.</w:t>
      </w:r>
    </w:p>
    <w:p>
      <w:pPr>
        <w:pStyle w:val="Heading1"/>
        <w:spacing w:after="160" w:before="320"/>
      </w:pPr>
      <w:r>
        <w:t xml:space="preserve">8. Feature Selection</w:t>
      </w:r>
    </w:p>
    <w:p>
      <w:pPr>
        <w:pStyle w:val="ListParagraph"/>
        <w:numPr>
          <w:ilvl w:val="0"/>
          <w:numId w:val="2"/>
        </w:numPr>
        <w:spacing w:after="100"/>
      </w:pPr>
      <w:r>
        <w:rPr>
          <w:b/>
          <w:bCs/>
          <w:sz w:val="22"/>
          <w:szCs w:val="22"/>
        </w:rPr>
        <w:t xml:space="preserve">Correlation with target: </w:t>
      </w:r>
      <w:r>
        <w:rPr>
          <w:sz w:val="22"/>
          <w:szCs w:val="22"/>
        </w:rPr>
        <w:t xml:space="preserve">a first, transparent look at which features move with default risk.</w:t>
      </w:r>
    </w:p>
    <w:p>
      <w:pPr>
        <w:pStyle w:val="ListParagraph"/>
        <w:numPr>
          <w:ilvl w:val="0"/>
          <w:numId w:val="2"/>
        </w:numPr>
        <w:spacing w:after="100"/>
      </w:pPr>
      <w:r>
        <w:rPr>
          <w:b/>
          <w:bCs/>
          <w:sz w:val="22"/>
          <w:szCs w:val="22"/>
        </w:rPr>
        <w:t xml:space="preserve">Random Forest feature importance: </w:t>
      </w:r>
      <w:r>
        <w:rPr>
          <w:sz w:val="22"/>
          <w:szCs w:val="22"/>
        </w:rPr>
        <w:t xml:space="preserve">a more robust, non-linear measure of predictive usefulness.</w:t>
      </w:r>
    </w:p>
    <w:p>
      <w:pPr>
        <w:pStyle w:val="ListParagraph"/>
        <w:numPr>
          <w:ilvl w:val="0"/>
          <w:numId w:val="2"/>
        </w:numPr>
        <w:spacing w:after="100"/>
      </w:pPr>
      <w:r>
        <w:rPr>
          <w:b/>
          <w:bCs/>
          <w:sz w:val="22"/>
          <w:szCs w:val="22"/>
        </w:rPr>
        <w:t xml:space="preserve">Note: </w:t>
      </w:r>
      <w:r>
        <w:rPr>
          <w:sz w:val="22"/>
          <w:szCs w:val="22"/>
        </w:rPr>
        <w:t xml:space="preserve">“source” (which dataset a row came from) is deliberately excluded so the model learns genuine risk patterns rather than “cheating.”</w:t>
      </w:r>
    </w:p>
    <w:p>
      <w:pPr>
        <w:pStyle w:val="Heading1"/>
        <w:spacing w:after="160" w:before="320"/>
      </w:pPr>
      <w:r>
        <w:t xml:space="preserve">9. Train / Test Split (70 / 30)</w:t>
      </w:r>
    </w:p>
    <w:p>
      <w:pPr>
        <w:pStyle w:val="ListParagraph"/>
        <w:numPr>
          <w:ilvl w:val="0"/>
          <w:numId w:val="2"/>
        </w:numPr>
        <w:spacing w:after="100"/>
      </w:pPr>
      <w:r>
        <w:rPr>
          <w:sz w:val="22"/>
          <w:szCs w:val="22"/>
        </w:rPr>
        <w:t xml:space="preserve">A single stratified split reused across all three models so results are directly comparable.</w:t>
      </w:r>
    </w:p>
    <w:p>
      <w:pPr>
        <w:pStyle w:val="Heading1"/>
        <w:spacing w:after="160" w:before="320"/>
      </w:pPr>
      <w:r>
        <w:t xml:space="preserve">10. Train 3 Machine Learning Models</w:t>
      </w:r>
    </w:p>
    <w:p>
      <w:pPr>
        <w:pStyle w:val="ListParagraph"/>
        <w:numPr>
          <w:ilvl w:val="0"/>
          <w:numId w:val="2"/>
        </w:numPr>
        <w:spacing w:after="100"/>
      </w:pPr>
      <w:r>
        <w:rPr>
          <w:b/>
          <w:bCs/>
          <w:sz w:val="22"/>
          <w:szCs w:val="22"/>
        </w:rPr>
        <w:t xml:space="preserve">Logistic Regression </w:t>
      </w:r>
      <w:r>
        <w:rPr>
          <w:sz w:val="22"/>
          <w:szCs w:val="22"/>
        </w:rPr>
        <w:t xml:space="preserve">(with feature scaling, since it is scale-sensitive).</w:t>
      </w:r>
    </w:p>
    <w:p>
      <w:pPr>
        <w:pStyle w:val="ListParagraph"/>
        <w:numPr>
          <w:ilvl w:val="0"/>
          <w:numId w:val="2"/>
        </w:numPr>
        <w:spacing w:after="100"/>
      </w:pPr>
      <w:r>
        <w:rPr>
          <w:b/>
          <w:bCs/>
          <w:sz w:val="22"/>
          <w:szCs w:val="22"/>
        </w:rPr>
        <w:t xml:space="preserve">Decision Tree.</w:t>
      </w:r>
    </w:p>
    <w:p>
      <w:pPr>
        <w:pStyle w:val="ListParagraph"/>
        <w:numPr>
          <w:ilvl w:val="0"/>
          <w:numId w:val="2"/>
        </w:numPr>
        <w:spacing w:after="100"/>
      </w:pPr>
      <w:r>
        <w:rPr>
          <w:b/>
          <w:bCs/>
          <w:sz w:val="22"/>
          <w:szCs w:val="22"/>
        </w:rPr>
        <w:t xml:space="preserve">Random Forest.</w:t>
      </w:r>
    </w:p>
    <w:p>
      <w:pPr>
        <w:pStyle w:val="Heading1"/>
        <w:spacing w:after="160" w:before="320"/>
      </w:pPr>
      <w:r>
        <w:t xml:space="preserve">11. Evaluate</w:t>
      </w:r>
    </w:p>
    <w:p>
      <w:pPr>
        <w:pStyle w:val="ListParagraph"/>
        <w:numPr>
          <w:ilvl w:val="0"/>
          <w:numId w:val="2"/>
        </w:numPr>
        <w:spacing w:after="100"/>
      </w:pPr>
      <w:r>
        <w:rPr>
          <w:sz w:val="22"/>
          <w:szCs w:val="22"/>
        </w:rPr>
        <w:t xml:space="preserve">Accuracy, Precision, Recall, F1-score, and ROC-AUC, plus confusion matrices, classification reports, and ROC curves to compare the three models.</w:t>
      </w:r>
    </w:p>
    <w:p>
      <w:pPr>
        <w:pStyle w:val="Heading1"/>
        <w:spacing w:after="160" w:before="320"/>
      </w:pPr>
      <w:r>
        <w:t xml:space="preserve">12. Cross-Validation</w:t>
      </w:r>
    </w:p>
    <w:p>
      <w:pPr>
        <w:pStyle w:val="ListParagraph"/>
        <w:numPr>
          <w:ilvl w:val="0"/>
          <w:numId w:val="2"/>
        </w:numPr>
        <w:spacing w:after="100"/>
      </w:pPr>
      <w:r>
        <w:rPr>
          <w:sz w:val="22"/>
          <w:szCs w:val="22"/>
        </w:rPr>
        <w:t xml:space="preserve">5-fold stratified cross-validation confirms performance is stable and not just a result of one lucky/unlucky split.</w:t>
      </w:r>
    </w:p>
    <w:p>
      <w:pPr>
        <w:pStyle w:val="Heading1"/>
        <w:spacing w:after="160" w:before="320"/>
      </w:pPr>
      <w:r>
        <w:t xml:space="preserve">13. Class Imbalance Handling</w:t>
      </w:r>
    </w:p>
    <w:p>
      <w:pPr>
        <w:pStyle w:val="ListParagraph"/>
        <w:numPr>
          <w:ilvl w:val="0"/>
          <w:numId w:val="2"/>
        </w:numPr>
        <w:spacing w:after="100"/>
      </w:pPr>
      <w:r>
        <w:rPr>
          <w:sz w:val="22"/>
          <w:szCs w:val="22"/>
        </w:rPr>
        <w:t xml:space="preserve">Only ~24% of applicants defaulted. Models are retrained with class_weight=“balanced” so they don’t just predict “no default” for everyone, which was hurting recall.</w:t>
      </w:r>
    </w:p>
    <w:p>
      <w:pPr>
        <w:pStyle w:val="Heading1"/>
        <w:spacing w:after="160" w:before="320"/>
      </w:pPr>
      <w:r>
        <w:t xml:space="preserve">14. Feature Importance</w:t>
      </w:r>
    </w:p>
    <w:p>
      <w:pPr>
        <w:pStyle w:val="ListParagraph"/>
        <w:numPr>
          <w:ilvl w:val="0"/>
          <w:numId w:val="2"/>
        </w:numPr>
        <w:spacing w:after="100"/>
      </w:pPr>
      <w:r>
        <w:rPr>
          <w:b/>
          <w:bCs/>
          <w:sz w:val="22"/>
          <w:szCs w:val="22"/>
        </w:rPr>
        <w:t xml:space="preserve">Logistic Regression: </w:t>
      </w:r>
      <w:r>
        <w:rPr>
          <w:sz w:val="22"/>
          <w:szCs w:val="22"/>
        </w:rPr>
        <w:t xml:space="preserve">standardized coefficients show direction and strength.</w:t>
      </w:r>
    </w:p>
    <w:p>
      <w:pPr>
        <w:pStyle w:val="ListParagraph"/>
        <w:numPr>
          <w:ilvl w:val="0"/>
          <w:numId w:val="2"/>
        </w:numPr>
        <w:spacing w:after="100"/>
      </w:pPr>
      <w:r>
        <w:rPr>
          <w:b/>
          <w:bCs/>
          <w:sz w:val="22"/>
          <w:szCs w:val="22"/>
        </w:rPr>
        <w:t xml:space="preserve">Decision Tree / Random Forest: </w:t>
      </w:r>
      <w:r>
        <w:rPr>
          <w:sz w:val="22"/>
          <w:szCs w:val="22"/>
        </w:rPr>
        <w:t xml:space="preserve">impurity-based importance shows which variables were split on most.</w:t>
      </w:r>
    </w:p>
    <w:p>
      <w:pPr>
        <w:pStyle w:val="Heading1"/>
        <w:spacing w:after="160" w:before="320"/>
      </w:pPr>
      <w:r>
        <w:t xml:space="preserve">15. Raw-Input Prediction Helper</w:t>
      </w:r>
    </w:p>
    <w:p>
      <w:pPr>
        <w:pStyle w:val="ListParagraph"/>
        <w:numPr>
          <w:ilvl w:val="0"/>
          <w:numId w:val="2"/>
        </w:numPr>
        <w:spacing w:after="100"/>
      </w:pPr>
      <w:r>
        <w:rPr>
          <w:sz w:val="22"/>
          <w:szCs w:val="22"/>
        </w:rPr>
        <w:t xml:space="preserve">A function that takes plain, human-readable applicant info (age, income, loan amount, credit score, etc.) and automatically computes the engineered features, so predictions don’t require manual calculation.</w:t>
      </w:r>
    </w:p>
    <w:p>
      <w:pPr>
        <w:pStyle w:val="Heading1"/>
        <w:spacing w:after="160" w:before="320"/>
      </w:pPr>
      <w:r>
        <w:t xml:space="preserve">16. New Applicant Test &amp; Interactive Demo</w:t>
      </w:r>
    </w:p>
    <w:p>
      <w:pPr>
        <w:pStyle w:val="ListParagraph"/>
        <w:numPr>
          <w:ilvl w:val="0"/>
          <w:numId w:val="2"/>
        </w:numPr>
        <w:spacing w:after="100"/>
      </w:pPr>
      <w:r>
        <w:rPr>
          <w:sz w:val="22"/>
          <w:szCs w:val="22"/>
        </w:rPr>
        <w:t xml:space="preserve">Runs a sample applicant through all three models, then an ipywidgets slider interface so inputs can be adjusted and predictions viewed live.</w:t>
      </w:r>
    </w:p>
    <w:p>
      <w:pPr>
        <w:pStyle w:val="Heading1"/>
        <w:spacing w:after="160" w:before="320"/>
      </w:pPr>
      <w:r>
        <w:t xml:space="preserve">17. Cost-Benefit Analysis</w:t>
      </w:r>
    </w:p>
    <w:p>
      <w:pPr>
        <w:spacing w:after="160"/>
      </w:pPr>
      <w:r>
        <w:rPr>
          <w:sz w:val="22"/>
          <w:szCs w:val="22"/>
        </w:rPr>
        <w:t xml:space="preserve">Translates prediction errors into money, since accuracy and F1-score mean little to a credit committee:</w:t>
      </w:r>
    </w:p>
    <w:p>
      <w:pPr>
        <w:pStyle w:val="ListParagraph"/>
        <w:numPr>
          <w:ilvl w:val="0"/>
          <w:numId w:val="2"/>
        </w:numPr>
        <w:spacing w:after="100"/>
      </w:pPr>
      <w:r>
        <w:rPr>
          <w:b/>
          <w:bCs/>
          <w:sz w:val="22"/>
          <w:szCs w:val="22"/>
        </w:rPr>
        <w:t xml:space="preserve">False Negative </w:t>
      </w:r>
      <w:r>
        <w:rPr>
          <w:sz w:val="22"/>
          <w:szCs w:val="22"/>
        </w:rPr>
        <w:t xml:space="preserve">(model says “safe,” applicant defaults) — lender loses roughly the entire loan amount.</w:t>
      </w:r>
    </w:p>
    <w:p>
      <w:pPr>
        <w:pStyle w:val="ListParagraph"/>
        <w:numPr>
          <w:ilvl w:val="0"/>
          <w:numId w:val="2"/>
        </w:numPr>
        <w:spacing w:after="100"/>
      </w:pPr>
      <w:r>
        <w:rPr>
          <w:b/>
          <w:bCs/>
          <w:sz w:val="22"/>
          <w:szCs w:val="22"/>
        </w:rPr>
        <w:t xml:space="preserve">False Positive </w:t>
      </w:r>
      <w:r>
        <w:rPr>
          <w:sz w:val="22"/>
          <w:szCs w:val="22"/>
        </w:rPr>
        <w:t xml:space="preserve">(model says “risky,” applicant would have repaid) — lender loses only the interest income.</w:t>
      </w:r>
    </w:p>
    <w:p>
      <w:pPr>
        <w:pStyle w:val="ListParagraph"/>
        <w:numPr>
          <w:ilvl w:val="0"/>
          <w:numId w:val="2"/>
        </w:numPr>
        <w:spacing w:after="100"/>
      </w:pPr>
      <w:r>
        <w:rPr>
          <w:sz w:val="22"/>
          <w:szCs w:val="22"/>
        </w:rPr>
        <w:t xml:space="preserve">This shows false negatives are far costlier — justifying the class-imbalance handling in Step 13.</w:t>
      </w:r>
    </w:p>
    <w:p>
      <w:pPr>
        <w:pStyle w:val="Heading1"/>
        <w:spacing w:after="160" w:before="320"/>
      </w:pPr>
      <w:r>
        <w:t xml:space="preserve">18. Risk Tiering</w:t>
      </w:r>
    </w:p>
    <w:p>
      <w:pPr>
        <w:spacing w:after="160"/>
      </w:pPr>
      <w:r>
        <w:rPr>
          <w:sz w:val="22"/>
          <w:szCs w:val="22"/>
        </w:rPr>
        <w:t xml:space="preserve">Applicants are grouped by predicted default probability rather than using a single approve/reject cutoff:</w:t>
      </w:r>
    </w:p>
    <w:p>
      <w:pPr>
        <w:pStyle w:val="ListParagraph"/>
        <w:numPr>
          <w:ilvl w:val="0"/>
          <w:numId w:val="2"/>
        </w:numPr>
        <w:spacing w:after="100"/>
      </w:pPr>
      <w:r>
        <w:rPr>
          <w:b/>
          <w:bCs/>
          <w:sz w:val="22"/>
          <w:szCs w:val="22"/>
        </w:rPr>
        <w:t xml:space="preserve">Low risk: </w:t>
      </w:r>
      <w:r>
        <w:rPr>
          <w:sz w:val="22"/>
          <w:szCs w:val="22"/>
        </w:rPr>
        <w:t xml:space="preserve">&lt; 20%</w:t>
      </w:r>
    </w:p>
    <w:p>
      <w:pPr>
        <w:pStyle w:val="ListParagraph"/>
        <w:numPr>
          <w:ilvl w:val="0"/>
          <w:numId w:val="2"/>
        </w:numPr>
        <w:spacing w:after="100"/>
      </w:pPr>
      <w:r>
        <w:rPr>
          <w:b/>
          <w:bCs/>
          <w:sz w:val="22"/>
          <w:szCs w:val="22"/>
        </w:rPr>
        <w:t xml:space="preserve">Medium risk: </w:t>
      </w:r>
      <w:r>
        <w:rPr>
          <w:sz w:val="22"/>
          <w:szCs w:val="22"/>
        </w:rPr>
        <w:t xml:space="preserve">20% – 50%</w:t>
      </w:r>
    </w:p>
    <w:p>
      <w:pPr>
        <w:pStyle w:val="ListParagraph"/>
        <w:numPr>
          <w:ilvl w:val="0"/>
          <w:numId w:val="2"/>
        </w:numPr>
        <w:spacing w:after="100"/>
      </w:pPr>
      <w:r>
        <w:rPr>
          <w:b/>
          <w:bCs/>
          <w:sz w:val="22"/>
          <w:szCs w:val="22"/>
        </w:rPr>
        <w:t xml:space="preserve">High risk: </w:t>
      </w:r>
      <w:r>
        <w:rPr>
          <w:sz w:val="22"/>
          <w:szCs w:val="22"/>
        </w:rPr>
        <w:t xml:space="preserve">&gt; 50%</w:t>
      </w:r>
    </w:p>
    <w:p>
      <w:pPr>
        <w:pStyle w:val="Heading1"/>
        <w:spacing w:after="160" w:before="320"/>
      </w:pPr>
      <w:r>
        <w:t xml:space="preserve">19. Executive Summary &amp; Regulatory Note</w:t>
      </w:r>
    </w:p>
    <w:p>
      <w:pPr>
        <w:pStyle w:val="ListParagraph"/>
        <w:numPr>
          <w:ilvl w:val="0"/>
          <w:numId w:val="2"/>
        </w:numPr>
        <w:spacing w:after="100"/>
      </w:pPr>
      <w:r>
        <w:rPr>
          <w:sz w:val="22"/>
          <w:szCs w:val="22"/>
        </w:rPr>
        <w:t xml:space="preserve">A plain-language summary written for non-technical stakeholders, plus a compliance note covering fair lending and RBI algorithmic lending guidance (relevant since the data reflects an Indian lending context).</w:t>
      </w:r>
    </w:p>
    <w:p>
      <w:pPr>
        <w:pStyle w:val="Heading1"/>
        <w:spacing w:after="160" w:before="320"/>
      </w:pPr>
      <w:r>
        <w:t xml:space="preserve">Key Takeaways</w:t>
      </w:r>
    </w:p>
    <w:p>
      <w:pPr>
        <w:pStyle w:val="ListParagraph"/>
        <w:numPr>
          <w:ilvl w:val="0"/>
          <w:numId w:val="2"/>
        </w:numPr>
        <w:spacing w:after="100"/>
      </w:pPr>
      <w:r>
        <w:rPr>
          <w:sz w:val="22"/>
          <w:szCs w:val="22"/>
        </w:rPr>
        <w:t xml:space="preserve">The dataset combines two real Kaggle datasets (~170,000 rows) instead of synthetic data.</w:t>
      </w:r>
    </w:p>
    <w:p>
      <w:pPr>
        <w:pStyle w:val="ListParagraph"/>
        <w:numPr>
          <w:ilvl w:val="0"/>
          <w:numId w:val="2"/>
        </w:numPr>
        <w:spacing w:after="100"/>
      </w:pPr>
      <w:r>
        <w:rPr>
          <w:sz w:val="22"/>
          <w:szCs w:val="22"/>
        </w:rPr>
        <w:t xml:space="preserve">Business framing sits on top of the ML pipeline: a cost-benefit analysis translates model errors into estimated money lost, risk tiering shows how predictions could drive lending decisions, and an executive summary plus compliance note make the results usable by non-technical stakeholders.</w:t>
      </w:r>
    </w:p>
    <w:p>
      <w:pPr>
        <w:pStyle w:val="ListParagraph"/>
        <w:numPr>
          <w:ilvl w:val="0"/>
          <w:numId w:val="2"/>
        </w:numPr>
        <w:spacing w:after="100"/>
      </w:pPr>
      <w:r>
        <w:rPr>
          <w:sz w:val="22"/>
          <w:szCs w:val="22"/>
        </w:rPr>
        <w:t xml:space="preserve">Three models were trained, evaluated with multiple metrics, validated with cross-validation, and re-trained to handle class imbalance — giving a defensible, end-to-end credit risk pipeline rather than a single fit-and-predict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2026-09-17T05:15:13.372Z</dcterms:created>
  <dcterms:modified xsi:type="dcterms:W3CDTF">2026-09-17T05:15:13.381Z</dcterms:modified>
</cp:coreProperties>
</file>

<file path=docProps/custom.xml><?xml version="1.0" encoding="utf-8"?>
<Properties xmlns="http://schemas.openxmlformats.org/officeDocument/2006/custom-properties" xmlns:vt="http://schemas.openxmlformats.org/officeDocument/2006/docPropsVTypes"/>
</file>