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sz w:val="48"/>
          <w:szCs w:val="48"/>
        </w:rPr>
        <w:t xml:space="preserve"> </w:t>
      </w:r>
    </w:p>
    <w:p>
      <w:pPr>
        <w:spacing w:after="100" w:before="200"/>
        <w:jc w:val="center"/>
      </w:pPr>
      <w:r>
        <w:rPr>
          <w:rFonts w:ascii="Calibri" w:cs="Calibri" w:eastAsia="Calibri" w:hAnsi="Calibri"/>
          <w:b/>
          <w:bCs/>
          <w:color w:val="8B0000"/>
          <w:sz w:val="22"/>
          <w:szCs w:val="22"/>
        </w:rPr>
        <w:t xml:space="preserve">STRICTLY PRIVATE &amp; CONFIDENTIAL</w:t>
      </w:r>
    </w:p>
    <w:p>
      <w:pPr>
        <w:spacing w:after="100" w:before="600"/>
        <w:jc w:val="center"/>
      </w:pPr>
      <w:r>
        <w:rPr>
          <w:rFonts w:ascii="Calibri" w:cs="Calibri" w:eastAsia="Calibri" w:hAnsi="Calibri"/>
          <w:b/>
          <w:bCs/>
          <w:color w:val="0B2545"/>
          <w:sz w:val="56"/>
          <w:szCs w:val="56"/>
        </w:rPr>
        <w:t xml:space="preserve">PROJECT AURORA</w:t>
      </w:r>
    </w:p>
    <w:p>
      <w:pPr>
        <w:pBdr>
          <w:bottom w:val="single" w:color="C9A227" w:sz="12" w:space="8"/>
        </w:pBdr>
        <w:spacing w:after="200" w:before="100"/>
        <w:jc w:val="center"/>
      </w:pPr>
      <w:r>
        <w:rPr>
          <w:rFonts w:ascii="Calibri" w:cs="Calibri" w:eastAsia="Calibri" w:hAnsi="Calibri"/>
          <w:i/>
          <w:iCs/>
          <w:color w:val="555555"/>
          <w:sz w:val="32"/>
          <w:szCs w:val="32"/>
        </w:rPr>
        <w:t xml:space="preserve">Confidential Investment Memorandum</w:t>
      </w:r>
    </w:p>
    <w:p>
      <w:pPr>
        <w:spacing w:after="80" w:before="600"/>
        <w:jc w:val="center"/>
      </w:pPr>
      <w:r>
        <w:rPr>
          <w:rFonts w:ascii="Calibri" w:cs="Calibri" w:eastAsia="Calibri" w:hAnsi="Calibri"/>
          <w:b/>
          <w:bCs/>
          <w:color w:val="1A1A1A"/>
          <w:sz w:val="40"/>
          <w:szCs w:val="40"/>
        </w:rPr>
        <w:t xml:space="preserve">Meridian Coffee Roasters Pvt. Ltd.</w:t>
      </w:r>
    </w:p>
    <w:p>
      <w:pPr>
        <w:spacing w:after="80" w:before="80"/>
        <w:jc w:val="center"/>
      </w:pPr>
      <w:r>
        <w:rPr>
          <w:rFonts w:ascii="Calibri" w:cs="Calibri" w:eastAsia="Calibri" w:hAnsi="Calibri"/>
          <w:i/>
          <w:iCs/>
          <w:color w:val="555555"/>
          <w:sz w:val="24"/>
          <w:szCs w:val="24"/>
        </w:rPr>
        <w:t xml:space="preserve">Specialty Coffee Roastery, Café Network &amp; D2C Brand</w:t>
      </w:r>
    </w:p>
    <w:p>
      <w:pPr>
        <w:spacing w:after="600" w:before="80"/>
        <w:jc w:val="center"/>
      </w:pPr>
      <w:r>
        <w:rPr>
          <w:rFonts w:ascii="Calibri" w:cs="Calibri" w:eastAsia="Calibri" w:hAnsi="Calibri"/>
          <w:color w:val="555555"/>
          <w:sz w:val="22"/>
          <w:szCs w:val="22"/>
        </w:rPr>
        <w:t xml:space="preserve">Headquartered in Bengaluru, India</w:t>
      </w:r>
    </w:p>
    <w:p>
      <w:pPr>
        <w:spacing w:after="80" w:before="800"/>
        <w:jc w:val="center"/>
      </w:pPr>
      <w:r>
        <w:rPr>
          <w:rFonts w:ascii="Calibri" w:cs="Calibri" w:eastAsia="Calibri" w:hAnsi="Calibri"/>
          <w:color w:val="555555"/>
          <w:sz w:val="20"/>
          <w:szCs w:val="20"/>
        </w:rPr>
        <w:t xml:space="preserve">Prepared by</w:t>
      </w:r>
    </w:p>
    <w:p>
      <w:pPr>
        <w:spacing w:after="40" w:before="40"/>
        <w:jc w:val="center"/>
      </w:pPr>
      <w:r>
        <w:rPr>
          <w:rFonts w:ascii="Calibri" w:cs="Calibri" w:eastAsia="Calibri" w:hAnsi="Calibri"/>
          <w:b/>
          <w:bCs/>
          <w:color w:val="0B2545"/>
          <w:sz w:val="26"/>
          <w:szCs w:val="26"/>
        </w:rPr>
        <w:t xml:space="preserve">Kautilya Private Equity</w:t>
      </w:r>
    </w:p>
    <w:p>
      <w:pPr>
        <w:spacing w:after="40" w:before="40"/>
        <w:jc w:val="center"/>
      </w:pPr>
      <w:r>
        <w:rPr>
          <w:rFonts w:ascii="Calibri" w:cs="Calibri" w:eastAsia="Calibri" w:hAnsi="Calibri"/>
          <w:i/>
          <w:iCs/>
          <w:color w:val="555555"/>
          <w:sz w:val="20"/>
          <w:szCs w:val="20"/>
        </w:rPr>
        <w:t xml:space="preserve">Sell-Side M&amp;A Advisor</w:t>
      </w:r>
    </w:p>
    <w:p>
      <w:pPr>
        <w:spacing w:after="40" w:before="600"/>
        <w:jc w:val="center"/>
      </w:pPr>
      <w:r>
        <w:rPr>
          <w:rFonts w:ascii="Calibri" w:cs="Calibri" w:eastAsia="Calibri" w:hAnsi="Calibri"/>
          <w:b/>
          <w:bCs/>
          <w:color w:val="1A1A1A"/>
          <w:sz w:val="22"/>
          <w:szCs w:val="22"/>
        </w:rPr>
        <w:t xml:space="preserve">February 2026</w:t>
      </w:r>
    </w:p>
    <w:p>
      <w:pPr>
        <w:spacing w:after="40" w:before="40"/>
        <w:jc w:val="center"/>
      </w:pPr>
      <w:r>
        <w:rPr>
          <w:rFonts w:ascii="Calibri" w:cs="Calibri" w:eastAsia="Calibri" w:hAnsi="Calibri"/>
          <w:color w:val="555555"/>
          <w:sz w:val="16"/>
          <w:szCs w:val="16"/>
        </w:rPr>
        <w:t xml:space="preserve">Document Reference: KPE-CIM-2026-AUR-014</w:t>
      </w:r>
    </w:p>
    <w:p>
      <w:pPr>
        <w:pStyle w:val="Heading1"/>
        <w:pageBreakBefore/>
        <w:pBdr>
          <w:bottom w:val="single" w:color="C9A227" w:sz="8" w:space="4"/>
        </w:pBdr>
        <w:spacing w:after="180" w:before="240"/>
      </w:pPr>
      <w:r>
        <w:rPr>
          <w:rFonts w:ascii="Calibri" w:cs="Calibri" w:eastAsia="Calibri" w:hAnsi="Calibri"/>
          <w:b/>
          <w:bCs/>
          <w:color w:val="0B2545"/>
          <w:sz w:val="36"/>
          <w:szCs w:val="36"/>
        </w:rPr>
        <w:t xml:space="preserve">Important Notice &amp; Disclaimer</w:t>
      </w:r>
    </w:p>
    <w:p>
      <w:pPr>
        <w:spacing w:after="80" w:before="80"/>
        <w:jc w:val="left"/>
      </w:pPr>
      <w:r>
        <w:rPr>
          <w:rFonts w:ascii="Calibri" w:cs="Calibri" w:eastAsia="Calibri" w:hAnsi="Calibri"/>
          <w:b w:val="false"/>
          <w:bCs w:val="false"/>
          <w:i w:val="false"/>
          <w:iCs w:val="false"/>
          <w:color w:val="1A1A1A"/>
          <w:sz w:val="22"/>
          <w:szCs w:val="22"/>
        </w:rPr>
        <w:t xml:space="preserve">This Confidential Investment Memorandum (the "Memorandum" or "CIM") has been prepared by Kautilya Private Equity ("the Advisor") on behalf of the shareholders of Meridian Coffee Roasters Pvt. Ltd. (the "Company" or "Meridian") solely for the purpose of providing prospective investors and acquirers with preliminary information regarding a potential transaction involving the Company. This document is being delivered on a strictly confidential basis to a limited number of parties who have executed a Non-Disclosure Agreement with the Company or its Advisor.</w:t>
      </w:r>
    </w:p>
    <w:p>
      <w:pPr>
        <w:spacing w:after="80" w:before="80"/>
        <w:jc w:val="left"/>
      </w:pPr>
      <w:r>
        <w:rPr>
          <w:rFonts w:ascii="Calibri" w:cs="Calibri" w:eastAsia="Calibri" w:hAnsi="Calibri"/>
          <w:b w:val="false"/>
          <w:bCs w:val="false"/>
          <w:i w:val="false"/>
          <w:iCs w:val="false"/>
          <w:color w:val="1A1A1A"/>
          <w:sz w:val="22"/>
          <w:szCs w:val="22"/>
        </w:rPr>
        <w:t xml:space="preserve">By accepting this Memorandum, the recipient agrees that it will, and will cause its directors, officers, employees, agents, advisors, and affiliates to: (i) treat the information contained herein as strictly confidential; (ii) not disclose any such information to any other person without the prior written consent of the Advisor; (iii) use such information solely for the purpose of evaluating the proposed transaction; and (iv) return or destroy this Memorandum and all copies thereof upon request.</w:t>
      </w:r>
    </w:p>
    <w:p>
      <w:pPr>
        <w:spacing w:after="80" w:before="80"/>
        <w:jc w:val="left"/>
      </w:pPr>
      <w:r>
        <w:rPr>
          <w:rFonts w:ascii="Calibri" w:cs="Calibri" w:eastAsia="Calibri" w:hAnsi="Calibri"/>
          <w:b w:val="false"/>
          <w:bCs w:val="false"/>
          <w:i w:val="false"/>
          <w:iCs w:val="false"/>
          <w:color w:val="1A1A1A"/>
          <w:sz w:val="22"/>
          <w:szCs w:val="22"/>
        </w:rPr>
        <w:t xml:space="preserve">The information contained in this Memorandum has been prepared from materials supplied by the Company and from publicly available sources. Neither the Advisor nor the Company makes any express or implied representation or warranty as to the accuracy or completeness of the information contained herein, and nothing contained in this Memorandum is, or shall be relied upon as, a promise or representation as to the past or future performance of the Company.</w:t>
      </w:r>
    </w:p>
    <w:p>
      <w:pPr>
        <w:spacing w:after="80" w:before="80"/>
        <w:jc w:val="left"/>
      </w:pPr>
      <w:r>
        <w:rPr>
          <w:rFonts w:ascii="Calibri" w:cs="Calibri" w:eastAsia="Calibri" w:hAnsi="Calibri"/>
          <w:b w:val="false"/>
          <w:bCs w:val="false"/>
          <w:i w:val="false"/>
          <w:iCs w:val="false"/>
          <w:color w:val="1A1A1A"/>
          <w:sz w:val="22"/>
          <w:szCs w:val="22"/>
        </w:rPr>
        <w:t xml:space="preserve">Certain statements in this Memorandum constitute forward-looking statements. These statements are based on the current views, expectations, assumptions, and information of the Company's management. Actual results may differ materially from those projected. The recipient is cautioned that any forward-looking statements are not guarantees of future performance and are subject to risks, uncertainties, and assumptions that are difficult to predict.</w:t>
      </w:r>
    </w:p>
    <w:p>
      <w:pPr>
        <w:spacing w:after="80" w:before="80"/>
        <w:jc w:val="left"/>
      </w:pPr>
      <w:r>
        <w:rPr>
          <w:rFonts w:ascii="Calibri" w:cs="Calibri" w:eastAsia="Calibri" w:hAnsi="Calibri"/>
          <w:b w:val="false"/>
          <w:bCs w:val="false"/>
          <w:i w:val="false"/>
          <w:iCs w:val="false"/>
          <w:color w:val="1A1A1A"/>
          <w:sz w:val="22"/>
          <w:szCs w:val="22"/>
        </w:rPr>
        <w:t xml:space="preserve">This Memorandum does not purport to be all-inclusive or to contain all the information that a prospective investor may desire. Each recipient is expected to conduct its own independent investigation and analysis of the Company and to rely solely on such investigation in making any investment decision. The Advisor and the Company expressly disclaim any and all liability for any errors or omissions in the Memorandum or any other written or oral communication transmitted to any prospective investor.</w:t>
      </w:r>
    </w:p>
    <w:p>
      <w:pPr>
        <w:spacing w:after="80" w:before="80"/>
        <w:jc w:val="left"/>
      </w:pPr>
      <w:r>
        <w:rPr>
          <w:rFonts w:ascii="Calibri" w:cs="Calibri" w:eastAsia="Calibri" w:hAnsi="Calibri"/>
          <w:b w:val="false"/>
          <w:bCs w:val="false"/>
          <w:i w:val="false"/>
          <w:iCs w:val="false"/>
          <w:color w:val="1A1A1A"/>
          <w:sz w:val="22"/>
          <w:szCs w:val="22"/>
        </w:rPr>
        <w:t xml:space="preserve">This Memorandum is not, and shall not constitute, an offer to sell or a solicitation of an offer to buy any securities. The distribution of this Memorandum in certain jurisdictions may be restricted by law, and persons into whose possession this Memorandum comes are required to inform themselves of, and to observe, any such restrictions.</w:t>
      </w:r>
    </w:p>
    <w:p>
      <w:r>
        <w:rPr>
          <w:rFonts w:ascii="Calibri" w:cs="Calibri" w:eastAsia="Calibri" w:hAnsi="Calibri"/>
          <w:sz w:val="18"/>
          <w:szCs w:val="18"/>
        </w:rPr>
        <w:t xml:space="preserve"> </w:t>
      </w:r>
    </w:p>
    <w:p>
      <w:pPr>
        <w:pStyle w:val="Heading3"/>
        <w:spacing w:after="80" w:before="160"/>
      </w:pPr>
      <w:r>
        <w:rPr>
          <w:rFonts w:ascii="Calibri" w:cs="Calibri" w:eastAsia="Calibri" w:hAnsi="Calibri"/>
          <w:b/>
          <w:bCs/>
          <w:color w:val="1A1A1A"/>
          <w:sz w:val="24"/>
          <w:szCs w:val="24"/>
        </w:rPr>
        <w:t xml:space="preserve">Process Contact</w:t>
      </w:r>
    </w:p>
    <w:p>
      <w:pPr>
        <w:spacing w:after="80" w:before="80"/>
        <w:jc w:val="left"/>
      </w:pPr>
      <w:r>
        <w:rPr>
          <w:rFonts w:ascii="Calibri" w:cs="Calibri" w:eastAsia="Calibri" w:hAnsi="Calibri"/>
          <w:b w:val="false"/>
          <w:bCs w:val="false"/>
          <w:i w:val="false"/>
          <w:iCs w:val="false"/>
          <w:color w:val="1A1A1A"/>
          <w:sz w:val="22"/>
          <w:szCs w:val="22"/>
        </w:rPr>
        <w:t xml:space="preserve">All inquiries, communications, and information requests regarding the Company or the proposed transaction should be directed exclusively to the Advisor. Recipients are specifically prohibited from contacting the Company, its employees, customers, suppliers, or any other counterparty directly.</w:t>
      </w:r>
    </w:p>
    <w:p>
      <w:pPr>
        <w:spacing w:after="60" w:before="60"/>
        <w:jc w:val="left"/>
      </w:pPr>
      <w:r>
        <w:rPr>
          <w:rFonts w:ascii="Calibri" w:cs="Calibri" w:eastAsia="Calibri" w:hAnsi="Calibri"/>
          <w:b/>
          <w:bCs/>
          <w:i w:val="false"/>
          <w:iCs w:val="false"/>
          <w:color w:val="1A1A1A"/>
          <w:sz w:val="22"/>
          <w:szCs w:val="22"/>
        </w:rPr>
        <w:t xml:space="preserve">Advisor: </w:t>
      </w:r>
      <w:r>
        <w:rPr>
          <w:rFonts w:ascii="Calibri" w:cs="Calibri" w:eastAsia="Calibri" w:hAnsi="Calibri"/>
          <w:b w:val="false"/>
          <w:bCs w:val="false"/>
          <w:i w:val="false"/>
          <w:iCs w:val="false"/>
          <w:color w:val="1A1A1A"/>
          <w:sz w:val="22"/>
          <w:szCs w:val="22"/>
        </w:rPr>
        <w:t xml:space="preserve">Kautilya Private Equity (Pocket Fund)</w:t>
      </w:r>
    </w:p>
    <w:p>
      <w:pPr>
        <w:spacing w:after="60" w:before="60"/>
        <w:jc w:val="left"/>
      </w:pPr>
      <w:r>
        <w:rPr>
          <w:rFonts w:ascii="Calibri" w:cs="Calibri" w:eastAsia="Calibri" w:hAnsi="Calibri"/>
          <w:b/>
          <w:bCs/>
          <w:i w:val="false"/>
          <w:iCs w:val="false"/>
          <w:color w:val="1A1A1A"/>
          <w:sz w:val="22"/>
          <w:szCs w:val="22"/>
        </w:rPr>
        <w:t xml:space="preserve">Lead Banker: </w:t>
      </w:r>
      <w:r>
        <w:rPr>
          <w:rFonts w:ascii="Calibri" w:cs="Calibri" w:eastAsia="Calibri" w:hAnsi="Calibri"/>
          <w:b w:val="false"/>
          <w:bCs w:val="false"/>
          <w:i w:val="false"/>
          <w:iCs w:val="false"/>
          <w:color w:val="1A1A1A"/>
          <w:sz w:val="22"/>
          <w:szCs w:val="22"/>
        </w:rPr>
        <w:t xml:space="preserve">Dev Shah, Founder &amp; Managing Partner</w:t>
      </w:r>
    </w:p>
    <w:p>
      <w:pPr>
        <w:spacing w:after="60" w:before="60"/>
        <w:jc w:val="left"/>
      </w:pPr>
      <w:r>
        <w:rPr>
          <w:rFonts w:ascii="Calibri" w:cs="Calibri" w:eastAsia="Calibri" w:hAnsi="Calibri"/>
          <w:b/>
          <w:bCs/>
          <w:i w:val="false"/>
          <w:iCs w:val="false"/>
          <w:color w:val="1A1A1A"/>
          <w:sz w:val="22"/>
          <w:szCs w:val="22"/>
        </w:rPr>
        <w:t xml:space="preserve">Engagement Contact: </w:t>
      </w:r>
      <w:r>
        <w:rPr>
          <w:rFonts w:ascii="Calibri" w:cs="Calibri" w:eastAsia="Calibri" w:hAnsi="Calibri"/>
          <w:b w:val="false"/>
          <w:bCs w:val="false"/>
          <w:i w:val="false"/>
          <w:iCs w:val="false"/>
          <w:color w:val="1A1A1A"/>
          <w:sz w:val="22"/>
          <w:szCs w:val="22"/>
        </w:rPr>
        <w:t xml:space="preserve">Aum Mehta, Senior Analyst</w:t>
      </w:r>
    </w:p>
    <w:p>
      <w:pPr>
        <w:spacing w:after="60" w:before="60"/>
        <w:jc w:val="left"/>
      </w:pPr>
      <w:r>
        <w:rPr>
          <w:rFonts w:ascii="Calibri" w:cs="Calibri" w:eastAsia="Calibri" w:hAnsi="Calibri"/>
          <w:b/>
          <w:bCs/>
          <w:i w:val="false"/>
          <w:iCs w:val="false"/>
          <w:color w:val="1A1A1A"/>
          <w:sz w:val="22"/>
          <w:szCs w:val="22"/>
        </w:rPr>
        <w:t xml:space="preserve">Email: </w:t>
      </w:r>
      <w:r>
        <w:rPr>
          <w:rFonts w:ascii="Calibri" w:cs="Calibri" w:eastAsia="Calibri" w:hAnsi="Calibri"/>
          <w:b w:val="false"/>
          <w:bCs w:val="false"/>
          <w:i w:val="false"/>
          <w:iCs w:val="false"/>
          <w:color w:val="1A1A1A"/>
          <w:sz w:val="22"/>
          <w:szCs w:val="22"/>
        </w:rPr>
        <w:t xml:space="preserve">project.aurora@kautilyape.com</w:t>
      </w:r>
    </w:p>
    <w:p>
      <w:pPr>
        <w:spacing w:after="60" w:before="60"/>
        <w:jc w:val="left"/>
      </w:pPr>
      <w:r>
        <w:rPr>
          <w:rFonts w:ascii="Calibri" w:cs="Calibri" w:eastAsia="Calibri" w:hAnsi="Calibri"/>
          <w:b/>
          <w:bCs/>
          <w:i w:val="false"/>
          <w:iCs w:val="false"/>
          <w:color w:val="1A1A1A"/>
          <w:sz w:val="22"/>
          <w:szCs w:val="22"/>
        </w:rPr>
        <w:t xml:space="preserve">Process Reference: </w:t>
      </w:r>
      <w:r>
        <w:rPr>
          <w:rFonts w:ascii="Calibri" w:cs="Calibri" w:eastAsia="Calibri" w:hAnsi="Calibri"/>
          <w:b w:val="false"/>
          <w:bCs w:val="false"/>
          <w:i w:val="false"/>
          <w:iCs w:val="false"/>
          <w:color w:val="1A1A1A"/>
          <w:sz w:val="22"/>
          <w:szCs w:val="22"/>
        </w:rPr>
        <w:t xml:space="preserve">Project Aurora</w:t>
      </w:r>
    </w:p>
    <w:p>
      <w:pPr>
        <w:pStyle w:val="Heading1"/>
        <w:pageBreakBefore/>
        <w:pBdr>
          <w:bottom w:val="single" w:color="C9A227" w:sz="8" w:space="4"/>
        </w:pBdr>
        <w:spacing w:after="180" w:before="240"/>
      </w:pPr>
      <w:r>
        <w:rPr>
          <w:rFonts w:ascii="Calibri" w:cs="Calibri" w:eastAsia="Calibri" w:hAnsi="Calibri"/>
          <w:b/>
          <w:bCs/>
          <w:color w:val="0B2545"/>
          <w:sz w:val="36"/>
          <w:szCs w:val="36"/>
        </w:rPr>
        <w:t xml:space="preserve">Table of Contents</w:t>
      </w:r>
    </w:p>
    <w:p>
      <w:r>
        <w:rPr>
          <w:rFonts w:ascii="Calibri" w:cs="Calibri" w:eastAsia="Calibri" w:hAnsi="Calibri"/>
          <w:sz w:val="18"/>
          <w:szCs w:val="18"/>
        </w:rPr>
        <w:t xml:space="preserve"> </w:t>
      </w:r>
    </w:p>
    <w:p>
      <w:pPr>
        <w:tabs>
          <w:tab w:val="right" w:pos="9360"/>
        </w:tabs>
        <w:spacing w:after="100" w:before="100"/>
      </w:pPr>
      <w:r>
        <w:rPr>
          <w:rFonts w:ascii="Calibri" w:cs="Calibri" w:eastAsia="Calibri" w:hAnsi="Calibri"/>
          <w:b/>
          <w:bCs/>
          <w:color w:val="C9A227"/>
          <w:sz w:val="24"/>
          <w:szCs w:val="24"/>
        </w:rPr>
        <w:t xml:space="preserve">1.  </w:t>
      </w:r>
      <w:r>
        <w:rPr>
          <w:rFonts w:ascii="Calibri" w:cs="Calibri" w:eastAsia="Calibri" w:hAnsi="Calibri"/>
          <w:b/>
          <w:bCs/>
          <w:color w:val="0B2545"/>
          <w:sz w:val="24"/>
          <w:szCs w:val="24"/>
        </w:rPr>
        <w:t xml:space="preserve">Executive Summary</w:t>
      </w:r>
      <w:r>
        <w:rPr>
          <w:rFonts w:ascii="Calibri" w:cs="Calibri" w:eastAsia="Calibri" w:hAnsi="Calibri"/>
          <w:color w:val="555555"/>
          <w:sz w:val="24"/>
          <w:szCs w:val="24"/>
        </w:rPr>
        <w:t xml:space="preserve">	4</w:t>
      </w:r>
    </w:p>
    <w:p>
      <w:pPr>
        <w:tabs>
          <w:tab w:val="right" w:pos="9360"/>
        </w:tabs>
        <w:spacing w:after="100" w:before="100"/>
      </w:pPr>
      <w:r>
        <w:rPr>
          <w:rFonts w:ascii="Calibri" w:cs="Calibri" w:eastAsia="Calibri" w:hAnsi="Calibri"/>
          <w:b/>
          <w:bCs/>
          <w:color w:val="C9A227"/>
          <w:sz w:val="24"/>
          <w:szCs w:val="24"/>
        </w:rPr>
        <w:t xml:space="preserve">2.  </w:t>
      </w:r>
      <w:r>
        <w:rPr>
          <w:rFonts w:ascii="Calibri" w:cs="Calibri" w:eastAsia="Calibri" w:hAnsi="Calibri"/>
          <w:b/>
          <w:bCs/>
          <w:color w:val="0B2545"/>
          <w:sz w:val="24"/>
          <w:szCs w:val="24"/>
        </w:rPr>
        <w:t xml:space="preserve">Transaction Overview</w:t>
      </w:r>
      <w:r>
        <w:rPr>
          <w:rFonts w:ascii="Calibri" w:cs="Calibri" w:eastAsia="Calibri" w:hAnsi="Calibri"/>
          <w:color w:val="555555"/>
          <w:sz w:val="24"/>
          <w:szCs w:val="24"/>
        </w:rPr>
        <w:t xml:space="preserve">	6</w:t>
      </w:r>
    </w:p>
    <w:p>
      <w:pPr>
        <w:tabs>
          <w:tab w:val="right" w:pos="9360"/>
        </w:tabs>
        <w:spacing w:after="100" w:before="100"/>
      </w:pPr>
      <w:r>
        <w:rPr>
          <w:rFonts w:ascii="Calibri" w:cs="Calibri" w:eastAsia="Calibri" w:hAnsi="Calibri"/>
          <w:b/>
          <w:bCs/>
          <w:color w:val="C9A227"/>
          <w:sz w:val="24"/>
          <w:szCs w:val="24"/>
        </w:rPr>
        <w:t xml:space="preserve">3.  </w:t>
      </w:r>
      <w:r>
        <w:rPr>
          <w:rFonts w:ascii="Calibri" w:cs="Calibri" w:eastAsia="Calibri" w:hAnsi="Calibri"/>
          <w:b/>
          <w:bCs/>
          <w:color w:val="0B2545"/>
          <w:sz w:val="24"/>
          <w:szCs w:val="24"/>
        </w:rPr>
        <w:t xml:space="preserve">Company Overview</w:t>
      </w:r>
      <w:r>
        <w:rPr>
          <w:rFonts w:ascii="Calibri" w:cs="Calibri" w:eastAsia="Calibri" w:hAnsi="Calibri"/>
          <w:color w:val="555555"/>
          <w:sz w:val="24"/>
          <w:szCs w:val="24"/>
        </w:rPr>
        <w:t xml:space="preserve">	8</w:t>
      </w:r>
    </w:p>
    <w:p>
      <w:pPr>
        <w:tabs>
          <w:tab w:val="right" w:pos="9360"/>
        </w:tabs>
        <w:spacing w:after="100" w:before="100"/>
      </w:pPr>
      <w:r>
        <w:rPr>
          <w:rFonts w:ascii="Calibri" w:cs="Calibri" w:eastAsia="Calibri" w:hAnsi="Calibri"/>
          <w:b/>
          <w:bCs/>
          <w:color w:val="C9A227"/>
          <w:sz w:val="24"/>
          <w:szCs w:val="24"/>
        </w:rPr>
        <w:t xml:space="preserve">4.  </w:t>
      </w:r>
      <w:r>
        <w:rPr>
          <w:rFonts w:ascii="Calibri" w:cs="Calibri" w:eastAsia="Calibri" w:hAnsi="Calibri"/>
          <w:b/>
          <w:bCs/>
          <w:color w:val="0B2545"/>
          <w:sz w:val="24"/>
          <w:szCs w:val="24"/>
        </w:rPr>
        <w:t xml:space="preserve">Products, Brands &amp; Channels</w:t>
      </w:r>
      <w:r>
        <w:rPr>
          <w:rFonts w:ascii="Calibri" w:cs="Calibri" w:eastAsia="Calibri" w:hAnsi="Calibri"/>
          <w:color w:val="555555"/>
          <w:sz w:val="24"/>
          <w:szCs w:val="24"/>
        </w:rPr>
        <w:t xml:space="preserve">	11</w:t>
      </w:r>
    </w:p>
    <w:p>
      <w:pPr>
        <w:tabs>
          <w:tab w:val="right" w:pos="9360"/>
        </w:tabs>
        <w:spacing w:after="100" w:before="100"/>
      </w:pPr>
      <w:r>
        <w:rPr>
          <w:rFonts w:ascii="Calibri" w:cs="Calibri" w:eastAsia="Calibri" w:hAnsi="Calibri"/>
          <w:b/>
          <w:bCs/>
          <w:color w:val="C9A227"/>
          <w:sz w:val="24"/>
          <w:szCs w:val="24"/>
        </w:rPr>
        <w:t xml:space="preserve">5.  </w:t>
      </w:r>
      <w:r>
        <w:rPr>
          <w:rFonts w:ascii="Calibri" w:cs="Calibri" w:eastAsia="Calibri" w:hAnsi="Calibri"/>
          <w:b/>
          <w:bCs/>
          <w:color w:val="0B2545"/>
          <w:sz w:val="24"/>
          <w:szCs w:val="24"/>
        </w:rPr>
        <w:t xml:space="preserve">Industry &amp; Market Landscape</w:t>
      </w:r>
      <w:r>
        <w:rPr>
          <w:rFonts w:ascii="Calibri" w:cs="Calibri" w:eastAsia="Calibri" w:hAnsi="Calibri"/>
          <w:color w:val="555555"/>
          <w:sz w:val="24"/>
          <w:szCs w:val="24"/>
        </w:rPr>
        <w:t xml:space="preserve">	14</w:t>
      </w:r>
    </w:p>
    <w:p>
      <w:pPr>
        <w:tabs>
          <w:tab w:val="right" w:pos="9360"/>
        </w:tabs>
        <w:spacing w:after="100" w:before="100"/>
      </w:pPr>
      <w:r>
        <w:rPr>
          <w:rFonts w:ascii="Calibri" w:cs="Calibri" w:eastAsia="Calibri" w:hAnsi="Calibri"/>
          <w:b/>
          <w:bCs/>
          <w:color w:val="C9A227"/>
          <w:sz w:val="24"/>
          <w:szCs w:val="24"/>
        </w:rPr>
        <w:t xml:space="preserve">6.  </w:t>
      </w:r>
      <w:r>
        <w:rPr>
          <w:rFonts w:ascii="Calibri" w:cs="Calibri" w:eastAsia="Calibri" w:hAnsi="Calibri"/>
          <w:b/>
          <w:bCs/>
          <w:color w:val="0B2545"/>
          <w:sz w:val="24"/>
          <w:szCs w:val="24"/>
        </w:rPr>
        <w:t xml:space="preserve">Competitive Positioning</w:t>
      </w:r>
      <w:r>
        <w:rPr>
          <w:rFonts w:ascii="Calibri" w:cs="Calibri" w:eastAsia="Calibri" w:hAnsi="Calibri"/>
          <w:color w:val="555555"/>
          <w:sz w:val="24"/>
          <w:szCs w:val="24"/>
        </w:rPr>
        <w:t xml:space="preserve">	17</w:t>
      </w:r>
    </w:p>
    <w:p>
      <w:pPr>
        <w:tabs>
          <w:tab w:val="right" w:pos="9360"/>
        </w:tabs>
        <w:spacing w:after="100" w:before="100"/>
      </w:pPr>
      <w:r>
        <w:rPr>
          <w:rFonts w:ascii="Calibri" w:cs="Calibri" w:eastAsia="Calibri" w:hAnsi="Calibri"/>
          <w:b/>
          <w:bCs/>
          <w:color w:val="C9A227"/>
          <w:sz w:val="24"/>
          <w:szCs w:val="24"/>
        </w:rPr>
        <w:t xml:space="preserve">7.  </w:t>
      </w:r>
      <w:r>
        <w:rPr>
          <w:rFonts w:ascii="Calibri" w:cs="Calibri" w:eastAsia="Calibri" w:hAnsi="Calibri"/>
          <w:b/>
          <w:bCs/>
          <w:color w:val="0B2545"/>
          <w:sz w:val="24"/>
          <w:szCs w:val="24"/>
        </w:rPr>
        <w:t xml:space="preserve">Operations &amp; Supply Chain</w:t>
      </w:r>
      <w:r>
        <w:rPr>
          <w:rFonts w:ascii="Calibri" w:cs="Calibri" w:eastAsia="Calibri" w:hAnsi="Calibri"/>
          <w:color w:val="555555"/>
          <w:sz w:val="24"/>
          <w:szCs w:val="24"/>
        </w:rPr>
        <w:t xml:space="preserve">	19</w:t>
      </w:r>
    </w:p>
    <w:p>
      <w:pPr>
        <w:tabs>
          <w:tab w:val="right" w:pos="9360"/>
        </w:tabs>
        <w:spacing w:after="100" w:before="100"/>
      </w:pPr>
      <w:r>
        <w:rPr>
          <w:rFonts w:ascii="Calibri" w:cs="Calibri" w:eastAsia="Calibri" w:hAnsi="Calibri"/>
          <w:b/>
          <w:bCs/>
          <w:color w:val="C9A227"/>
          <w:sz w:val="24"/>
          <w:szCs w:val="24"/>
        </w:rPr>
        <w:t xml:space="preserve">8.  </w:t>
      </w:r>
      <w:r>
        <w:rPr>
          <w:rFonts w:ascii="Calibri" w:cs="Calibri" w:eastAsia="Calibri" w:hAnsi="Calibri"/>
          <w:b/>
          <w:bCs/>
          <w:color w:val="0B2545"/>
          <w:sz w:val="24"/>
          <w:szCs w:val="24"/>
        </w:rPr>
        <w:t xml:space="preserve">Management &amp; Organisation</w:t>
      </w:r>
      <w:r>
        <w:rPr>
          <w:rFonts w:ascii="Calibri" w:cs="Calibri" w:eastAsia="Calibri" w:hAnsi="Calibri"/>
          <w:color w:val="555555"/>
          <w:sz w:val="24"/>
          <w:szCs w:val="24"/>
        </w:rPr>
        <w:t xml:space="preserve">	21</w:t>
      </w:r>
    </w:p>
    <w:p>
      <w:pPr>
        <w:tabs>
          <w:tab w:val="right" w:pos="9360"/>
        </w:tabs>
        <w:spacing w:after="100" w:before="100"/>
      </w:pPr>
      <w:r>
        <w:rPr>
          <w:rFonts w:ascii="Calibri" w:cs="Calibri" w:eastAsia="Calibri" w:hAnsi="Calibri"/>
          <w:b/>
          <w:bCs/>
          <w:color w:val="C9A227"/>
          <w:sz w:val="24"/>
          <w:szCs w:val="24"/>
        </w:rPr>
        <w:t xml:space="preserve">9.  </w:t>
      </w:r>
      <w:r>
        <w:rPr>
          <w:rFonts w:ascii="Calibri" w:cs="Calibri" w:eastAsia="Calibri" w:hAnsi="Calibri"/>
          <w:b/>
          <w:bCs/>
          <w:color w:val="0B2545"/>
          <w:sz w:val="24"/>
          <w:szCs w:val="24"/>
        </w:rPr>
        <w:t xml:space="preserve">Historical Financial Performance</w:t>
      </w:r>
      <w:r>
        <w:rPr>
          <w:rFonts w:ascii="Calibri" w:cs="Calibri" w:eastAsia="Calibri" w:hAnsi="Calibri"/>
          <w:color w:val="555555"/>
          <w:sz w:val="24"/>
          <w:szCs w:val="24"/>
        </w:rPr>
        <w:t xml:space="preserve">	23</w:t>
      </w:r>
    </w:p>
    <w:p>
      <w:pPr>
        <w:tabs>
          <w:tab w:val="right" w:pos="9360"/>
        </w:tabs>
        <w:spacing w:after="100" w:before="100"/>
      </w:pPr>
      <w:r>
        <w:rPr>
          <w:rFonts w:ascii="Calibri" w:cs="Calibri" w:eastAsia="Calibri" w:hAnsi="Calibri"/>
          <w:b/>
          <w:bCs/>
          <w:color w:val="C9A227"/>
          <w:sz w:val="24"/>
          <w:szCs w:val="24"/>
        </w:rPr>
        <w:t xml:space="preserve">10.  </w:t>
      </w:r>
      <w:r>
        <w:rPr>
          <w:rFonts w:ascii="Calibri" w:cs="Calibri" w:eastAsia="Calibri" w:hAnsi="Calibri"/>
          <w:b/>
          <w:bCs/>
          <w:color w:val="0B2545"/>
          <w:sz w:val="24"/>
          <w:szCs w:val="24"/>
        </w:rPr>
        <w:t xml:space="preserve">Financial Projections</w:t>
      </w:r>
      <w:r>
        <w:rPr>
          <w:rFonts w:ascii="Calibri" w:cs="Calibri" w:eastAsia="Calibri" w:hAnsi="Calibri"/>
          <w:color w:val="555555"/>
          <w:sz w:val="24"/>
          <w:szCs w:val="24"/>
        </w:rPr>
        <w:t xml:space="preserve">	27</w:t>
      </w:r>
    </w:p>
    <w:p>
      <w:pPr>
        <w:tabs>
          <w:tab w:val="right" w:pos="9360"/>
        </w:tabs>
        <w:spacing w:after="100" w:before="100"/>
      </w:pPr>
      <w:r>
        <w:rPr>
          <w:rFonts w:ascii="Calibri" w:cs="Calibri" w:eastAsia="Calibri" w:hAnsi="Calibri"/>
          <w:b/>
          <w:bCs/>
          <w:color w:val="C9A227"/>
          <w:sz w:val="24"/>
          <w:szCs w:val="24"/>
        </w:rPr>
        <w:t xml:space="preserve">11.  </w:t>
      </w:r>
      <w:r>
        <w:rPr>
          <w:rFonts w:ascii="Calibri" w:cs="Calibri" w:eastAsia="Calibri" w:hAnsi="Calibri"/>
          <w:b/>
          <w:bCs/>
          <w:color w:val="0B2545"/>
          <w:sz w:val="24"/>
          <w:szCs w:val="24"/>
        </w:rPr>
        <w:t xml:space="preserve">Growth Strategy &amp; Investment Thesis</w:t>
      </w:r>
      <w:r>
        <w:rPr>
          <w:rFonts w:ascii="Calibri" w:cs="Calibri" w:eastAsia="Calibri" w:hAnsi="Calibri"/>
          <w:color w:val="555555"/>
          <w:sz w:val="24"/>
          <w:szCs w:val="24"/>
        </w:rPr>
        <w:t xml:space="preserve">	30</w:t>
      </w:r>
    </w:p>
    <w:p>
      <w:pPr>
        <w:tabs>
          <w:tab w:val="right" w:pos="9360"/>
        </w:tabs>
        <w:spacing w:after="100" w:before="100"/>
      </w:pPr>
      <w:r>
        <w:rPr>
          <w:rFonts w:ascii="Calibri" w:cs="Calibri" w:eastAsia="Calibri" w:hAnsi="Calibri"/>
          <w:b/>
          <w:bCs/>
          <w:color w:val="C9A227"/>
          <w:sz w:val="24"/>
          <w:szCs w:val="24"/>
        </w:rPr>
        <w:t xml:space="preserve">12.  </w:t>
      </w:r>
      <w:r>
        <w:rPr>
          <w:rFonts w:ascii="Calibri" w:cs="Calibri" w:eastAsia="Calibri" w:hAnsi="Calibri"/>
          <w:b/>
          <w:bCs/>
          <w:color w:val="0B2545"/>
          <w:sz w:val="24"/>
          <w:szCs w:val="24"/>
        </w:rPr>
        <w:t xml:space="preserve">Key Risks &amp; Mitigants</w:t>
      </w:r>
      <w:r>
        <w:rPr>
          <w:rFonts w:ascii="Calibri" w:cs="Calibri" w:eastAsia="Calibri" w:hAnsi="Calibri"/>
          <w:color w:val="555555"/>
          <w:sz w:val="24"/>
          <w:szCs w:val="24"/>
        </w:rPr>
        <w:t xml:space="preserve">	32</w:t>
      </w:r>
    </w:p>
    <w:p>
      <w:pPr>
        <w:tabs>
          <w:tab w:val="right" w:pos="9360"/>
        </w:tabs>
        <w:spacing w:after="100" w:before="100"/>
      </w:pPr>
      <w:r>
        <w:rPr>
          <w:rFonts w:ascii="Calibri" w:cs="Calibri" w:eastAsia="Calibri" w:hAnsi="Calibri"/>
          <w:b/>
          <w:bCs/>
          <w:color w:val="C9A227"/>
          <w:sz w:val="24"/>
          <w:szCs w:val="24"/>
        </w:rPr>
        <w:t xml:space="preserve">13.  </w:t>
      </w:r>
      <w:r>
        <w:rPr>
          <w:rFonts w:ascii="Calibri" w:cs="Calibri" w:eastAsia="Calibri" w:hAnsi="Calibri"/>
          <w:b/>
          <w:bCs/>
          <w:color w:val="0B2545"/>
          <w:sz w:val="24"/>
          <w:szCs w:val="24"/>
        </w:rPr>
        <w:t xml:space="preserve">Appendices</w:t>
      </w:r>
      <w:r>
        <w:rPr>
          <w:rFonts w:ascii="Calibri" w:cs="Calibri" w:eastAsia="Calibri" w:hAnsi="Calibri"/>
          <w:color w:val="555555"/>
          <w:sz w:val="24"/>
          <w:szCs w:val="24"/>
        </w:rPr>
        <w:t xml:space="preserve">	34</w:t>
      </w:r>
    </w:p>
    <w:p>
      <w:r>
        <w:rPr>
          <w:rFonts w:ascii="Calibri" w:cs="Calibri" w:eastAsia="Calibri" w:hAnsi="Calibri"/>
          <w:sz w:val="18"/>
          <w:szCs w:val="18"/>
        </w:rPr>
        <w:t xml:space="preserve"> </w:t>
      </w:r>
    </w:p>
    <w:p>
      <w:r>
        <w:rPr>
          <w:rFonts w:ascii="Calibri" w:cs="Calibri" w:eastAsia="Calibri" w:hAnsi="Calibri"/>
          <w:sz w:val="18"/>
          <w:szCs w:val="18"/>
        </w:rPr>
        <w:t xml:space="preserve"> </w:t>
      </w:r>
    </w:p>
    <w:p>
      <w:pPr>
        <w:pStyle w:val="Heading3"/>
        <w:spacing w:after="80" w:before="160"/>
      </w:pPr>
      <w:r>
        <w:rPr>
          <w:rFonts w:ascii="Calibri" w:cs="Calibri" w:eastAsia="Calibri" w:hAnsi="Calibri"/>
          <w:b/>
          <w:bCs/>
          <w:color w:val="1A1A1A"/>
          <w:sz w:val="24"/>
          <w:szCs w:val="24"/>
        </w:rPr>
        <w:t xml:space="preserve">List of Appendices</w:t>
      </w:r>
    </w:p>
    <w:p>
      <w:pPr>
        <w:pStyle w:val="ListParagraph"/>
        <w:numPr>
          <w:ilvl w:val="0"/>
          <w:numId w:val="2"/>
        </w:numPr>
        <w:spacing w:after="40" w:before="40"/>
      </w:pPr>
      <w:r>
        <w:rPr>
          <w:rFonts w:ascii="Calibri" w:cs="Calibri" w:eastAsia="Calibri" w:hAnsi="Calibri"/>
          <w:color w:val="1A1A1A"/>
          <w:sz w:val="22"/>
          <w:szCs w:val="22"/>
        </w:rPr>
        <w:t xml:space="preserve">Appendix A: Detailed Historical Financial Statements (FY2021–FY2025)</w:t>
      </w:r>
    </w:p>
    <w:p>
      <w:pPr>
        <w:pStyle w:val="ListParagraph"/>
        <w:numPr>
          <w:ilvl w:val="0"/>
          <w:numId w:val="2"/>
        </w:numPr>
        <w:spacing w:after="40" w:before="40"/>
      </w:pPr>
      <w:r>
        <w:rPr>
          <w:rFonts w:ascii="Calibri" w:cs="Calibri" w:eastAsia="Calibri" w:hAnsi="Calibri"/>
          <w:color w:val="1A1A1A"/>
          <w:sz w:val="22"/>
          <w:szCs w:val="22"/>
        </w:rPr>
        <w:t xml:space="preserve">Appendix B: Monthly Revenue &amp; Same-Store Sales (FY2024–FY2025)</w:t>
      </w:r>
    </w:p>
    <w:p>
      <w:pPr>
        <w:pStyle w:val="ListParagraph"/>
        <w:numPr>
          <w:ilvl w:val="0"/>
          <w:numId w:val="2"/>
        </w:numPr>
        <w:spacing w:after="40" w:before="40"/>
      </w:pPr>
      <w:r>
        <w:rPr>
          <w:rFonts w:ascii="Calibri" w:cs="Calibri" w:eastAsia="Calibri" w:hAnsi="Calibri"/>
          <w:color w:val="1A1A1A"/>
          <w:sz w:val="22"/>
          <w:szCs w:val="22"/>
        </w:rPr>
        <w:t xml:space="preserve">Appendix C: Café-Level Unit Economics</w:t>
      </w:r>
    </w:p>
    <w:p>
      <w:pPr>
        <w:pStyle w:val="ListParagraph"/>
        <w:numPr>
          <w:ilvl w:val="0"/>
          <w:numId w:val="2"/>
        </w:numPr>
        <w:spacing w:after="40" w:before="40"/>
      </w:pPr>
      <w:r>
        <w:rPr>
          <w:rFonts w:ascii="Calibri" w:cs="Calibri" w:eastAsia="Calibri" w:hAnsi="Calibri"/>
          <w:color w:val="1A1A1A"/>
          <w:sz w:val="22"/>
          <w:szCs w:val="22"/>
        </w:rPr>
        <w:t xml:space="preserve">Appendix D: Customer Cohort Analysis</w:t>
      </w:r>
    </w:p>
    <w:p>
      <w:pPr>
        <w:pStyle w:val="ListParagraph"/>
        <w:numPr>
          <w:ilvl w:val="0"/>
          <w:numId w:val="2"/>
        </w:numPr>
        <w:spacing w:after="40" w:before="40"/>
      </w:pPr>
      <w:r>
        <w:rPr>
          <w:rFonts w:ascii="Calibri" w:cs="Calibri" w:eastAsia="Calibri" w:hAnsi="Calibri"/>
          <w:color w:val="1A1A1A"/>
          <w:sz w:val="22"/>
          <w:szCs w:val="22"/>
        </w:rPr>
        <w:t xml:space="preserve">Appendix E: Supplier &amp; Origin Concentration</w:t>
      </w:r>
    </w:p>
    <w:p>
      <w:pPr>
        <w:pStyle w:val="ListParagraph"/>
        <w:numPr>
          <w:ilvl w:val="0"/>
          <w:numId w:val="2"/>
        </w:numPr>
        <w:spacing w:after="40" w:before="40"/>
      </w:pPr>
      <w:r>
        <w:rPr>
          <w:rFonts w:ascii="Calibri" w:cs="Calibri" w:eastAsia="Calibri" w:hAnsi="Calibri"/>
          <w:color w:val="1A1A1A"/>
          <w:sz w:val="22"/>
          <w:szCs w:val="22"/>
        </w:rPr>
        <w:t xml:space="preserve">Appendix F: Working Capital Schedule</w:t>
      </w:r>
    </w:p>
    <w:p>
      <w:pPr>
        <w:pStyle w:val="ListParagraph"/>
        <w:numPr>
          <w:ilvl w:val="0"/>
          <w:numId w:val="2"/>
        </w:numPr>
        <w:spacing w:after="40" w:before="40"/>
      </w:pPr>
      <w:r>
        <w:rPr>
          <w:rFonts w:ascii="Calibri" w:cs="Calibri" w:eastAsia="Calibri" w:hAnsi="Calibri"/>
          <w:color w:val="1A1A1A"/>
          <w:sz w:val="22"/>
          <w:szCs w:val="22"/>
        </w:rPr>
        <w:t xml:space="preserve">Appendix G: Capital Expenditure Schedule</w:t>
      </w:r>
    </w:p>
    <w:p>
      <w:pPr>
        <w:pStyle w:val="ListParagraph"/>
        <w:numPr>
          <w:ilvl w:val="0"/>
          <w:numId w:val="2"/>
        </w:numPr>
        <w:spacing w:after="40" w:before="40"/>
      </w:pPr>
      <w:r>
        <w:rPr>
          <w:rFonts w:ascii="Calibri" w:cs="Calibri" w:eastAsia="Calibri" w:hAnsi="Calibri"/>
          <w:color w:val="1A1A1A"/>
          <w:sz w:val="22"/>
          <w:szCs w:val="22"/>
        </w:rPr>
        <w:t xml:space="preserve">Appendix H: Management Biographies (Extended)</w:t>
      </w:r>
    </w:p>
    <w:p>
      <w:pPr>
        <w:pStyle w:val="Heading1"/>
        <w:pageBreakBefore/>
        <w:pBdr>
          <w:bottom w:val="single" w:color="C9A227" w:sz="8" w:space="4"/>
        </w:pBdr>
        <w:spacing w:after="180" w:before="240"/>
      </w:pPr>
      <w:r>
        <w:rPr>
          <w:rFonts w:ascii="Calibri" w:cs="Calibri" w:eastAsia="Calibri" w:hAnsi="Calibri"/>
          <w:b/>
          <w:bCs/>
          <w:color w:val="0B2545"/>
          <w:sz w:val="36"/>
          <w:szCs w:val="36"/>
        </w:rPr>
        <w:t xml:space="preserve">1. Executive Summary</w:t>
      </w:r>
    </w:p>
    <w:p>
      <w:pPr>
        <w:pStyle w:val="Heading3"/>
        <w:spacing w:after="80" w:before="160"/>
      </w:pPr>
      <w:r>
        <w:rPr>
          <w:rFonts w:ascii="Calibri" w:cs="Calibri" w:eastAsia="Calibri" w:hAnsi="Calibri"/>
          <w:b/>
          <w:bCs/>
          <w:color w:val="1A1A1A"/>
          <w:sz w:val="24"/>
          <w:szCs w:val="24"/>
        </w:rPr>
        <w:t xml:space="preserve">1.1 Company Snapshot</w:t>
      </w:r>
    </w:p>
    <w:p>
      <w:pPr>
        <w:spacing w:after="60" w:before="60"/>
        <w:jc w:val="left"/>
      </w:pPr>
      <w:r>
        <w:rPr>
          <w:rFonts w:ascii="Calibri" w:cs="Calibri" w:eastAsia="Calibri" w:hAnsi="Calibri"/>
          <w:b w:val="false"/>
          <w:bCs w:val="false"/>
          <w:i w:val="false"/>
          <w:iCs w:val="false"/>
          <w:color w:val="1A1A1A"/>
          <w:sz w:val="22"/>
          <w:szCs w:val="22"/>
        </w:rPr>
        <w:t xml:space="preserve">Meridian Coffee Roasters Pvt. Ltd. ("Meridian" or the "Company") is a vertically integrated specialty coffee business headquartered in Bengaluru, India. Founded in 2014 by Arjun Kothari and Naina Reddy, Meridian operates across three reinforcing channels: (i) a 31-café owned and operated retail network spread across Bengaluru, Mumbai, Pune, and Hyderabad; (ii) a direct-to-consumer e-commerce business selling whole-bean and ground coffee, brewing equipment, and subscription bundles; and (iii) a B2B wholesale arm supplying premium hotels, boutique offices, and quick-service restaurant chains.</w:t>
      </w:r>
    </w:p>
    <w:p>
      <w:pPr>
        <w:spacing w:after="60" w:before="60"/>
        <w:jc w:val="left"/>
      </w:pPr>
      <w:r>
        <w:rPr>
          <w:rFonts w:ascii="Calibri" w:cs="Calibri" w:eastAsia="Calibri" w:hAnsi="Calibri"/>
          <w:b w:val="false"/>
          <w:bCs w:val="false"/>
          <w:i w:val="false"/>
          <w:iCs w:val="false"/>
          <w:color w:val="1A1A1A"/>
          <w:sz w:val="22"/>
          <w:szCs w:val="22"/>
        </w:rPr>
        <w:t xml:space="preserve">The Company sources green coffee directly from estates in Karnataka, Tamil Nadu, Kerala, and select origins in Ethiopia and Colombia, and operates a 14,000 sq. ft. central roastery in Whitefield, Bengaluru. Meridian has grown revenue from INR 41.2 crore in FY2021 to INR 187.6 crore in FY2025, representing a 46.0% CAGR, while expanding EBITDA margins from 6.8% to 17.4% over the same period.</w:t>
      </w:r>
    </w:p>
    <w:p>
      <w:pPr>
        <w:pStyle w:val="Heading3"/>
        <w:spacing w:after="80" w:before="160"/>
      </w:pPr>
      <w:r>
        <w:rPr>
          <w:rFonts w:ascii="Calibri" w:cs="Calibri" w:eastAsia="Calibri" w:hAnsi="Calibri"/>
          <w:b/>
          <w:bCs/>
          <w:color w:val="1A1A1A"/>
          <w:sz w:val="24"/>
          <w:szCs w:val="24"/>
        </w:rPr>
        <w:t xml:space="preserve">1.2 Investment Highlights</w:t>
      </w:r>
    </w:p>
    <w:p>
      <w:pPr>
        <w:pStyle w:val="ListParagraph"/>
        <w:numPr>
          <w:ilvl w:val="0"/>
          <w:numId w:val="2"/>
        </w:numPr>
        <w:spacing w:after="40" w:before="40"/>
      </w:pPr>
      <w:r>
        <w:rPr>
          <w:rFonts w:ascii="Calibri" w:cs="Calibri" w:eastAsia="Calibri" w:hAnsi="Calibri"/>
          <w:color w:val="1A1A1A"/>
          <w:sz w:val="22"/>
          <w:szCs w:val="22"/>
        </w:rPr>
        <w:t xml:space="preserve">Defensible specialty positioning. Meridian is one of three pan-India specialty coffee brands with both an owned roastery and a vertically integrated retail footprint, creating barriers to entry that pure café chains and pure D2C brands cannot easily replicate.</w:t>
      </w:r>
    </w:p>
    <w:p>
      <w:pPr>
        <w:pStyle w:val="ListParagraph"/>
        <w:numPr>
          <w:ilvl w:val="0"/>
          <w:numId w:val="2"/>
        </w:numPr>
        <w:spacing w:after="40" w:before="40"/>
      </w:pPr>
      <w:r>
        <w:rPr>
          <w:rFonts w:ascii="Calibri" w:cs="Calibri" w:eastAsia="Calibri" w:hAnsi="Calibri"/>
          <w:color w:val="1A1A1A"/>
          <w:sz w:val="22"/>
          <w:szCs w:val="22"/>
        </w:rPr>
        <w:t xml:space="preserve">Premium unit economics. Mature cafés (24+ months) generate average annual revenue of INR 4.8 crore, store-level EBITDA margins of 28.4%, and average payback periods of 22 months on a fit-out cost of INR 1.6 crore.</w:t>
      </w:r>
    </w:p>
    <w:p>
      <w:pPr>
        <w:pStyle w:val="ListParagraph"/>
        <w:numPr>
          <w:ilvl w:val="0"/>
          <w:numId w:val="2"/>
        </w:numPr>
        <w:spacing w:after="40" w:before="40"/>
      </w:pPr>
      <w:r>
        <w:rPr>
          <w:rFonts w:ascii="Calibri" w:cs="Calibri" w:eastAsia="Calibri" w:hAnsi="Calibri"/>
          <w:color w:val="1A1A1A"/>
          <w:sz w:val="22"/>
          <w:szCs w:val="22"/>
        </w:rPr>
        <w:t xml:space="preserve">Diversified, growing revenue mix. Retail contributes 64% of FY2025 revenue, D2C 21%, and Wholesale 15%. D2C has grown at 78% CAGR over the last three years and now generates a 21.6% contribution margin, ahead of every D2C peer in the Indian coffee market.</w:t>
      </w:r>
    </w:p>
    <w:p>
      <w:pPr>
        <w:pStyle w:val="ListParagraph"/>
        <w:numPr>
          <w:ilvl w:val="0"/>
          <w:numId w:val="2"/>
        </w:numPr>
        <w:spacing w:after="40" w:before="40"/>
      </w:pPr>
      <w:r>
        <w:rPr>
          <w:rFonts w:ascii="Calibri" w:cs="Calibri" w:eastAsia="Calibri" w:hAnsi="Calibri"/>
          <w:color w:val="1A1A1A"/>
          <w:sz w:val="22"/>
          <w:szCs w:val="22"/>
        </w:rPr>
        <w:t xml:space="preserve">Sticky subscription base. The "Meridian Daily" subscription program had 18,400 active subscribers as of December 2025, with monthly churn of 4.1%, average revenue per user of INR 1,290 per month, and a contribution-margin-weighted LTV/CAC ratio of 5.8x.</w:t>
      </w:r>
    </w:p>
    <w:p>
      <w:pPr>
        <w:pStyle w:val="ListParagraph"/>
        <w:numPr>
          <w:ilvl w:val="0"/>
          <w:numId w:val="2"/>
        </w:numPr>
        <w:spacing w:after="40" w:before="40"/>
      </w:pPr>
      <w:r>
        <w:rPr>
          <w:rFonts w:ascii="Calibri" w:cs="Calibri" w:eastAsia="Calibri" w:hAnsi="Calibri"/>
          <w:color w:val="1A1A1A"/>
          <w:sz w:val="22"/>
          <w:szCs w:val="22"/>
        </w:rPr>
        <w:t xml:space="preserve">Strong brand equity. Net Promoter Score of 71 (measured Q4 FY2025), 4.7-star average across Google and Zomato, and unprompted brand awareness of 42% within target metro audiences (Kantar, July 2025).</w:t>
      </w:r>
    </w:p>
    <w:p>
      <w:pPr>
        <w:pStyle w:val="ListParagraph"/>
        <w:numPr>
          <w:ilvl w:val="0"/>
          <w:numId w:val="2"/>
        </w:numPr>
        <w:spacing w:after="40" w:before="40"/>
      </w:pPr>
      <w:r>
        <w:rPr>
          <w:rFonts w:ascii="Calibri" w:cs="Calibri" w:eastAsia="Calibri" w:hAnsi="Calibri"/>
          <w:color w:val="1A1A1A"/>
          <w:sz w:val="22"/>
          <w:szCs w:val="22"/>
        </w:rPr>
        <w:t xml:space="preserve">Experienced founding team committed to a structured transition. Founders are open to retaining minority equity, signing 24-month transition agreements, and continuing as brand custodians while a new majority partner accelerates expansion.</w:t>
      </w:r>
    </w:p>
    <w:p>
      <w:pPr>
        <w:pStyle w:val="Heading3"/>
        <w:spacing w:after="80" w:before="160"/>
      </w:pPr>
      <w:r>
        <w:rPr>
          <w:rFonts w:ascii="Calibri" w:cs="Calibri" w:eastAsia="Calibri" w:hAnsi="Calibri"/>
          <w:b/>
          <w:bCs/>
          <w:color w:val="1A1A1A"/>
          <w:sz w:val="24"/>
          <w:szCs w:val="24"/>
        </w:rPr>
        <w:t xml:space="preserve">1.3 Financial Summary</w:t>
      </w:r>
    </w:p>
    <w:p>
      <w:pPr>
        <w:spacing w:after="60" w:before="60"/>
        <w:jc w:val="left"/>
      </w:pPr>
      <w:r>
        <w:rPr>
          <w:rFonts w:ascii="Calibri" w:cs="Calibri" w:eastAsia="Calibri" w:hAnsi="Calibri"/>
          <w:b w:val="false"/>
          <w:bCs w:val="false"/>
          <w:i/>
          <w:iCs/>
          <w:color w:val="555555"/>
          <w:sz w:val="22"/>
          <w:szCs w:val="22"/>
        </w:rPr>
        <w:t xml:space="preserve">The table below summarises Meridian's audited historical performance and management projections through FY2028. All figures are in INR crore unless otherwise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70"/>
        <w:gridCol w:w="870"/>
        <w:gridCol w:w="870"/>
        <w:gridCol w:w="870"/>
        <w:gridCol w:w="870"/>
        <w:gridCol w:w="870"/>
        <w:gridCol w:w="870"/>
        <w:gridCol w:w="870"/>
      </w:tblGrid>
      <w:tr>
        <w:trPr>
          <w:tblHeader/>
        </w:trPr>
        <w:tc>
          <w:tcPr>
            <w:tcW w:type="dxa" w:w="24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Metric (INR cr)</w:t>
            </w:r>
          </w:p>
        </w:tc>
        <w:tc>
          <w:tcPr>
            <w:tcW w:type="dxa" w:w="87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FY21A</w:t>
            </w:r>
          </w:p>
        </w:tc>
        <w:tc>
          <w:tcPr>
            <w:tcW w:type="dxa" w:w="87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FY22A</w:t>
            </w:r>
          </w:p>
        </w:tc>
        <w:tc>
          <w:tcPr>
            <w:tcW w:type="dxa" w:w="87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FY23A</w:t>
            </w:r>
          </w:p>
        </w:tc>
        <w:tc>
          <w:tcPr>
            <w:tcW w:type="dxa" w:w="87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FY24A</w:t>
            </w:r>
          </w:p>
        </w:tc>
        <w:tc>
          <w:tcPr>
            <w:tcW w:type="dxa" w:w="87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FY25A</w:t>
            </w:r>
          </w:p>
        </w:tc>
        <w:tc>
          <w:tcPr>
            <w:tcW w:type="dxa" w:w="87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FY26P</w:t>
            </w:r>
          </w:p>
        </w:tc>
        <w:tc>
          <w:tcPr>
            <w:tcW w:type="dxa" w:w="87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FY27P</w:t>
            </w:r>
          </w:p>
        </w:tc>
        <w:tc>
          <w:tcPr>
            <w:tcW w:type="dxa" w:w="87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FY28P</w:t>
            </w:r>
          </w:p>
        </w:tc>
      </w:tr>
      <w:tr>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Revenue</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41.2</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62.8</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94.7</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138.4</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187.6</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246.9</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318.4</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402.7</w:t>
            </w:r>
          </w:p>
        </w:tc>
      </w:tr>
      <w:tr>
        <w:tc>
          <w:tcPr>
            <w:tcW w:type="dxa" w:w="2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YoY Growth %</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52.4%</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50.8%</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46.1%</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35.5%</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31.6%</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29.0%</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26.5%</w:t>
            </w:r>
          </w:p>
        </w:tc>
      </w:tr>
      <w:tr>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Gross Profit</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23.1</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37.0</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58.0</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86.7</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121.0</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162.5</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212.6</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272.4</w:t>
            </w:r>
          </w:p>
        </w:tc>
      </w:tr>
      <w:tr>
        <w:tc>
          <w:tcPr>
            <w:tcW w:type="dxa" w:w="2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Gross Margin %</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56.1%</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58.9%</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61.2%</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62.6%</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64.5%</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65.8%</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66.8%</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67.6%</w:t>
            </w:r>
          </w:p>
        </w:tc>
      </w:tr>
      <w:tr>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EBITDA</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6.7</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12.1</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21.4</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32.6</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47.1</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67.2</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92.4</w:t>
            </w:r>
          </w:p>
        </w:tc>
      </w:tr>
      <w:tr>
        <w:tc>
          <w:tcPr>
            <w:tcW w:type="dxa" w:w="2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EBITDA Margin %</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6.8%</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10.7%</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12.8%</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15.5%</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17.4%</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19.1%</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21.1%</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22.9%</w:t>
            </w:r>
          </w:p>
        </w:tc>
      </w:tr>
      <w:tr>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bCs/>
                <w:i w:val="false"/>
                <w:iCs w:val="false"/>
                <w:color w:val="1A1A1A"/>
                <w:sz w:val="20"/>
                <w:szCs w:val="20"/>
              </w:rPr>
              <w:t xml:space="preserve">PAT</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0.4</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2.1</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5.4</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11.2</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18.7</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29.4</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44.1</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62.8</w:t>
            </w:r>
          </w:p>
        </w:tc>
      </w:tr>
      <w:tr>
        <w:tc>
          <w:tcPr>
            <w:tcW w:type="dxa" w:w="2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PAT Margin %</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3.3%</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5.7%</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8.1%</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10.0%</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11.9%</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13.9%</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15.6%</w:t>
            </w:r>
          </w:p>
        </w:tc>
      </w:tr>
      <w:tr>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Cafés (count, EoP)</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27</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42</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55</w:t>
            </w:r>
          </w:p>
        </w:tc>
        <w:tc>
          <w:tcPr>
            <w:tcW w:type="dxa" w:w="87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71</w:t>
            </w:r>
          </w:p>
        </w:tc>
      </w:tr>
      <w:tr>
        <w:tc>
          <w:tcPr>
            <w:tcW w:type="dxa" w:w="2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D2C Subscribers ('000s)</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3.9</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7.6</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12.8</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18.4</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27.5</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38.6</w:t>
            </w:r>
          </w:p>
        </w:tc>
        <w:tc>
          <w:tcPr>
            <w:tcW w:type="dxa" w:w="87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51.0</w:t>
            </w:r>
          </w:p>
        </w:tc>
      </w:tr>
    </w:tbl>
    <w:p>
      <w:pPr>
        <w:pStyle w:val="Heading3"/>
        <w:spacing w:after="80" w:before="160"/>
      </w:pPr>
      <w:r>
        <w:rPr>
          <w:rFonts w:ascii="Calibri" w:cs="Calibri" w:eastAsia="Calibri" w:hAnsi="Calibri"/>
          <w:b/>
          <w:bCs/>
          <w:color w:val="1A1A1A"/>
          <w:sz w:val="24"/>
          <w:szCs w:val="24"/>
        </w:rPr>
        <w:t xml:space="preserve">1.4 Transaction Summary</w:t>
      </w:r>
    </w:p>
    <w:p>
      <w:pPr>
        <w:spacing w:after="60" w:before="60"/>
        <w:jc w:val="left"/>
      </w:pPr>
      <w:r>
        <w:rPr>
          <w:rFonts w:ascii="Calibri" w:cs="Calibri" w:eastAsia="Calibri" w:hAnsi="Calibri"/>
          <w:b w:val="false"/>
          <w:bCs w:val="false"/>
          <w:i w:val="false"/>
          <w:iCs w:val="false"/>
          <w:color w:val="1A1A1A"/>
          <w:sz w:val="22"/>
          <w:szCs w:val="22"/>
        </w:rPr>
        <w:t xml:space="preserve">The shareholders of Meridian Coffee Roasters Pvt. Ltd. have engaged Kautilya Private Equity to manage a structured sale process targeting strategic acquirers, family offices, and growth-oriented private equity firms. Shareholders are open to majority sale, complete acquisition, or significant minority investment with a defined path to control. Indicative timelines anticipate non-binding indications of interest by April 30, 2026 and a target signing date of August 31, 2026.</w:t>
      </w:r>
    </w:p>
    <w:p>
      <w:pPr>
        <w:pStyle w:val="Heading1"/>
        <w:pageBreakBefore/>
        <w:pBdr>
          <w:bottom w:val="single" w:color="C9A227" w:sz="8" w:space="4"/>
        </w:pBdr>
        <w:spacing w:after="180" w:before="240"/>
      </w:pPr>
      <w:r>
        <w:rPr>
          <w:rFonts w:ascii="Calibri" w:cs="Calibri" w:eastAsia="Calibri" w:hAnsi="Calibri"/>
          <w:b/>
          <w:bCs/>
          <w:color w:val="0B2545"/>
          <w:sz w:val="36"/>
          <w:szCs w:val="36"/>
        </w:rPr>
        <w:t xml:space="preserve">2. Transaction Overview</w:t>
      </w:r>
    </w:p>
    <w:p>
      <w:pPr>
        <w:pStyle w:val="Heading3"/>
        <w:spacing w:after="80" w:before="160"/>
      </w:pPr>
      <w:r>
        <w:rPr>
          <w:rFonts w:ascii="Calibri" w:cs="Calibri" w:eastAsia="Calibri" w:hAnsi="Calibri"/>
          <w:b/>
          <w:bCs/>
          <w:color w:val="1A1A1A"/>
          <w:sz w:val="24"/>
          <w:szCs w:val="24"/>
        </w:rPr>
        <w:t xml:space="preserve">2.1 Process Description</w:t>
      </w:r>
    </w:p>
    <w:p>
      <w:pPr>
        <w:spacing w:after="60" w:before="60"/>
        <w:jc w:val="left"/>
      </w:pPr>
      <w:r>
        <w:rPr>
          <w:rFonts w:ascii="Calibri" w:cs="Calibri" w:eastAsia="Calibri" w:hAnsi="Calibri"/>
          <w:b w:val="false"/>
          <w:bCs w:val="false"/>
          <w:i w:val="false"/>
          <w:iCs w:val="false"/>
          <w:color w:val="1A1A1A"/>
          <w:sz w:val="22"/>
          <w:szCs w:val="22"/>
        </w:rPr>
        <w:t xml:space="preserve">Kautilya Private Equity has been mandated by the founders and existing shareholders of Meridian Coffee Roasters Pvt. Ltd. to conduct a structured sell-side process. The shareholders are seeking a financial or strategic partner who can provide: (i) primary growth capital to accelerate café expansion across India; (ii) operating expertise in scaling multi-unit retail and consumer brands; and (iii) governance and capital markets readiness for an eventual public market exit within five to seven years.</w:t>
      </w:r>
    </w:p>
    <w:p>
      <w:pPr>
        <w:spacing w:after="60" w:before="60"/>
        <w:jc w:val="left"/>
      </w:pPr>
      <w:r>
        <w:rPr>
          <w:rFonts w:ascii="Calibri" w:cs="Calibri" w:eastAsia="Calibri" w:hAnsi="Calibri"/>
          <w:b w:val="false"/>
          <w:bCs w:val="false"/>
          <w:i w:val="false"/>
          <w:iCs w:val="false"/>
          <w:color w:val="1A1A1A"/>
          <w:sz w:val="22"/>
          <w:szCs w:val="22"/>
        </w:rPr>
        <w:t xml:space="preserve">The process is being conducted as a confidential, limited auction. A curated set of approximately 35 prospective counterparties has been identified, comprising 12 strategic acquirers, 16 financial sponsors, and 7 family offices. Recipients of this Memorandum are requested to indicate preliminary interest within 30 days of receipt.</w:t>
      </w:r>
    </w:p>
    <w:p>
      <w:pPr>
        <w:pStyle w:val="Heading3"/>
        <w:spacing w:after="80" w:before="160"/>
      </w:pPr>
      <w:r>
        <w:rPr>
          <w:rFonts w:ascii="Calibri" w:cs="Calibri" w:eastAsia="Calibri" w:hAnsi="Calibri"/>
          <w:b/>
          <w:bCs/>
          <w:color w:val="1A1A1A"/>
          <w:sz w:val="24"/>
          <w:szCs w:val="24"/>
        </w:rPr>
        <w:t xml:space="preserve">2.2 Transaction Structure Considerations</w:t>
      </w:r>
    </w:p>
    <w:p>
      <w:pPr>
        <w:spacing w:after="60" w:before="60"/>
        <w:jc w:val="left"/>
      </w:pPr>
      <w:r>
        <w:rPr>
          <w:rFonts w:ascii="Calibri" w:cs="Calibri" w:eastAsia="Calibri" w:hAnsi="Calibri"/>
          <w:b w:val="false"/>
          <w:bCs w:val="false"/>
          <w:i w:val="false"/>
          <w:iCs w:val="false"/>
          <w:color w:val="1A1A1A"/>
          <w:sz w:val="22"/>
          <w:szCs w:val="22"/>
        </w:rPr>
        <w:t xml:space="preserve">The shareholders are flexible on transaction structure and are open to discussion across the following alternatives:</w:t>
      </w:r>
    </w:p>
    <w:p>
      <w:pPr>
        <w:pStyle w:val="ListParagraph"/>
        <w:numPr>
          <w:ilvl w:val="0"/>
          <w:numId w:val="2"/>
        </w:numPr>
        <w:spacing w:after="40" w:before="40"/>
      </w:pPr>
      <w:r>
        <w:rPr>
          <w:rFonts w:ascii="Calibri" w:cs="Calibri" w:eastAsia="Calibri" w:hAnsi="Calibri"/>
          <w:color w:val="1A1A1A"/>
          <w:sz w:val="22"/>
          <w:szCs w:val="22"/>
        </w:rPr>
        <w:t xml:space="preserve">Majority recapitalisation. A new investor acquires 51%–75% of the equity, with founders retaining a meaningful continuing stake, board representation, and operational responsibilities for an agreed period.</w:t>
      </w:r>
    </w:p>
    <w:p>
      <w:pPr>
        <w:pStyle w:val="ListParagraph"/>
        <w:numPr>
          <w:ilvl w:val="0"/>
          <w:numId w:val="2"/>
        </w:numPr>
        <w:spacing w:after="40" w:before="40"/>
      </w:pPr>
      <w:r>
        <w:rPr>
          <w:rFonts w:ascii="Calibri" w:cs="Calibri" w:eastAsia="Calibri" w:hAnsi="Calibri"/>
          <w:color w:val="1A1A1A"/>
          <w:sz w:val="22"/>
          <w:szCs w:val="22"/>
        </w:rPr>
        <w:t xml:space="preserve">Complete acquisition. A strategic acquirer or sponsor acquires 100% of the share capital, with founders providing transition services for 18–24 months. Founders are willing to entertain earnout structures linked to defined operating milestones.</w:t>
      </w:r>
    </w:p>
    <w:p>
      <w:pPr>
        <w:pStyle w:val="ListParagraph"/>
        <w:numPr>
          <w:ilvl w:val="0"/>
          <w:numId w:val="2"/>
        </w:numPr>
        <w:spacing w:after="40" w:before="40"/>
      </w:pPr>
      <w:r>
        <w:rPr>
          <w:rFonts w:ascii="Calibri" w:cs="Calibri" w:eastAsia="Calibri" w:hAnsi="Calibri"/>
          <w:color w:val="1A1A1A"/>
          <w:sz w:val="22"/>
          <w:szCs w:val="22"/>
        </w:rPr>
        <w:t xml:space="preserve">Significant minority growth investment. Primary capital infusion of INR 150–250 crore at the operating company level, accompanied by a partial secondary component for founder liquidity, with customary minority protections and a defined path to control.</w:t>
      </w:r>
    </w:p>
    <w:p>
      <w:pPr>
        <w:pStyle w:val="Heading3"/>
        <w:spacing w:after="80" w:before="160"/>
      </w:pPr>
      <w:r>
        <w:rPr>
          <w:rFonts w:ascii="Calibri" w:cs="Calibri" w:eastAsia="Calibri" w:hAnsi="Calibri"/>
          <w:b/>
          <w:bCs/>
          <w:color w:val="1A1A1A"/>
          <w:sz w:val="24"/>
          <w:szCs w:val="24"/>
        </w:rPr>
        <w:t xml:space="preserve">2.3 Indicative Process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rPr>
          <w:tblHeader/>
        </w:trPr>
        <w:tc>
          <w:tcPr>
            <w:tcW w:type="dxa" w:w="18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Phase</w:t>
            </w:r>
          </w:p>
        </w:tc>
        <w:tc>
          <w:tcPr>
            <w:tcW w:type="dxa" w:w="50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Activity</w:t>
            </w:r>
          </w:p>
        </w:tc>
        <w:tc>
          <w:tcPr>
            <w:tcW w:type="dxa" w:w="256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Indicative Date</w:t>
            </w:r>
          </w:p>
        </w:tc>
      </w:tr>
      <w:tr>
        <w:tc>
          <w:tcPr>
            <w:tcW w:type="dxa" w:w="1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Phase 1</w:t>
            </w:r>
          </w:p>
        </w:tc>
        <w:tc>
          <w:tcPr>
            <w:tcW w:type="dxa" w:w="5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CIM distribution &amp; management presentations</w:t>
            </w:r>
          </w:p>
        </w:tc>
        <w:tc>
          <w:tcPr>
            <w:tcW w:type="dxa" w:w="25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Feb–Mar 2026</w:t>
            </w:r>
          </w:p>
        </w:tc>
      </w:tr>
      <w:tr>
        <w:tc>
          <w:tcPr>
            <w:tcW w:type="dxa" w:w="18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Phase 2</w:t>
            </w:r>
          </w:p>
        </w:tc>
        <w:tc>
          <w:tcPr>
            <w:tcW w:type="dxa" w:w="5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Non-binding indications of interest (NBIOs)</w:t>
            </w:r>
          </w:p>
        </w:tc>
        <w:tc>
          <w:tcPr>
            <w:tcW w:type="dxa" w:w="25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April 30, 2026</w:t>
            </w:r>
          </w:p>
        </w:tc>
      </w:tr>
      <w:tr>
        <w:tc>
          <w:tcPr>
            <w:tcW w:type="dxa" w:w="1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Phase 3</w:t>
            </w:r>
          </w:p>
        </w:tc>
        <w:tc>
          <w:tcPr>
            <w:tcW w:type="dxa" w:w="5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Shortlist &amp; site visits / data room access</w:t>
            </w:r>
          </w:p>
        </w:tc>
        <w:tc>
          <w:tcPr>
            <w:tcW w:type="dxa" w:w="25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May–June 2026</w:t>
            </w:r>
          </w:p>
        </w:tc>
      </w:tr>
      <w:tr>
        <w:tc>
          <w:tcPr>
            <w:tcW w:type="dxa" w:w="18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Phase 4</w:t>
            </w:r>
          </w:p>
        </w:tc>
        <w:tc>
          <w:tcPr>
            <w:tcW w:type="dxa" w:w="5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Confirmatory due diligence &amp; binding offers</w:t>
            </w:r>
          </w:p>
        </w:tc>
        <w:tc>
          <w:tcPr>
            <w:tcW w:type="dxa" w:w="25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July 2026</w:t>
            </w:r>
          </w:p>
        </w:tc>
      </w:tr>
      <w:tr>
        <w:tc>
          <w:tcPr>
            <w:tcW w:type="dxa" w:w="1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Phase 5</w:t>
            </w:r>
          </w:p>
        </w:tc>
        <w:tc>
          <w:tcPr>
            <w:tcW w:type="dxa" w:w="5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Negotiation, definitive documentation</w:t>
            </w:r>
          </w:p>
        </w:tc>
        <w:tc>
          <w:tcPr>
            <w:tcW w:type="dxa" w:w="25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August 2026</w:t>
            </w:r>
          </w:p>
        </w:tc>
      </w:tr>
      <w:tr>
        <w:tc>
          <w:tcPr>
            <w:tcW w:type="dxa" w:w="18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Phase 6</w:t>
            </w:r>
          </w:p>
        </w:tc>
        <w:tc>
          <w:tcPr>
            <w:tcW w:type="dxa" w:w="5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Signing &amp; customary closing conditions</w:t>
            </w:r>
          </w:p>
        </w:tc>
        <w:tc>
          <w:tcPr>
            <w:tcW w:type="dxa" w:w="25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August 31, 2026</w:t>
            </w:r>
          </w:p>
        </w:tc>
      </w:tr>
    </w:tbl>
    <w:p>
      <w:pPr>
        <w:pStyle w:val="Heading3"/>
        <w:spacing w:after="80" w:before="160"/>
      </w:pPr>
      <w:r>
        <w:rPr>
          <w:rFonts w:ascii="Calibri" w:cs="Calibri" w:eastAsia="Calibri" w:hAnsi="Calibri"/>
          <w:b/>
          <w:bCs/>
          <w:color w:val="1A1A1A"/>
          <w:sz w:val="24"/>
          <w:szCs w:val="24"/>
        </w:rPr>
        <w:t xml:space="preserve">2.4 Information to be Submitted with Indications of Interest</w:t>
      </w:r>
    </w:p>
    <w:p>
      <w:pPr>
        <w:spacing w:after="60" w:before="60"/>
        <w:jc w:val="left"/>
      </w:pPr>
      <w:r>
        <w:rPr>
          <w:rFonts w:ascii="Calibri" w:cs="Calibri" w:eastAsia="Calibri" w:hAnsi="Calibri"/>
          <w:b w:val="false"/>
          <w:bCs w:val="false"/>
          <w:i w:val="false"/>
          <w:iCs w:val="false"/>
          <w:color w:val="1A1A1A"/>
          <w:sz w:val="22"/>
          <w:szCs w:val="22"/>
        </w:rPr>
        <w:t xml:space="preserve">Prospective counterparties are requested to include the following items in their NBIOs:</w:t>
      </w:r>
    </w:p>
    <w:p>
      <w:pPr>
        <w:pStyle w:val="ListParagraph"/>
        <w:numPr>
          <w:ilvl w:val="0"/>
          <w:numId w:val="2"/>
        </w:numPr>
        <w:spacing w:after="40" w:before="40"/>
      </w:pPr>
      <w:r>
        <w:rPr>
          <w:rFonts w:ascii="Calibri" w:cs="Calibri" w:eastAsia="Calibri" w:hAnsi="Calibri"/>
          <w:color w:val="1A1A1A"/>
          <w:sz w:val="22"/>
          <w:szCs w:val="22"/>
        </w:rPr>
        <w:t xml:space="preserve">Indicative enterprise value or equity value range, expressed in INR, together with the implied multiple of FY2025 EBITDA and the methodology used to derive the range.</w:t>
      </w:r>
    </w:p>
    <w:p>
      <w:pPr>
        <w:pStyle w:val="ListParagraph"/>
        <w:numPr>
          <w:ilvl w:val="0"/>
          <w:numId w:val="2"/>
        </w:numPr>
        <w:spacing w:after="40" w:before="40"/>
      </w:pPr>
      <w:r>
        <w:rPr>
          <w:rFonts w:ascii="Calibri" w:cs="Calibri" w:eastAsia="Calibri" w:hAnsi="Calibri"/>
          <w:color w:val="1A1A1A"/>
          <w:sz w:val="22"/>
          <w:szCs w:val="22"/>
        </w:rPr>
        <w:t xml:space="preserve">Proposed transaction structure, including primary versus secondary split, treatment of management equity rollover, and assumed net debt and working capital adjustments.</w:t>
      </w:r>
    </w:p>
    <w:p>
      <w:pPr>
        <w:pStyle w:val="ListParagraph"/>
        <w:numPr>
          <w:ilvl w:val="0"/>
          <w:numId w:val="2"/>
        </w:numPr>
        <w:spacing w:after="40" w:before="40"/>
      </w:pPr>
      <w:r>
        <w:rPr>
          <w:rFonts w:ascii="Calibri" w:cs="Calibri" w:eastAsia="Calibri" w:hAnsi="Calibri"/>
          <w:color w:val="1A1A1A"/>
          <w:sz w:val="22"/>
          <w:szCs w:val="22"/>
        </w:rPr>
        <w:t xml:space="preserve">Source of funds, including equity commitment letters where applicable, and any debt financing assumptions.</w:t>
      </w:r>
    </w:p>
    <w:p>
      <w:pPr>
        <w:pStyle w:val="ListParagraph"/>
        <w:numPr>
          <w:ilvl w:val="0"/>
          <w:numId w:val="2"/>
        </w:numPr>
        <w:spacing w:after="40" w:before="40"/>
      </w:pPr>
      <w:r>
        <w:rPr>
          <w:rFonts w:ascii="Calibri" w:cs="Calibri" w:eastAsia="Calibri" w:hAnsi="Calibri"/>
          <w:color w:val="1A1A1A"/>
          <w:sz w:val="22"/>
          <w:szCs w:val="22"/>
        </w:rPr>
        <w:t xml:space="preserve">Conditions to closing, including remaining due diligence scope, regulatory approvals, and key contingencies.</w:t>
      </w:r>
    </w:p>
    <w:p>
      <w:pPr>
        <w:pStyle w:val="ListParagraph"/>
        <w:numPr>
          <w:ilvl w:val="0"/>
          <w:numId w:val="2"/>
        </w:numPr>
        <w:spacing w:after="40" w:before="40"/>
      </w:pPr>
      <w:r>
        <w:rPr>
          <w:rFonts w:ascii="Calibri" w:cs="Calibri" w:eastAsia="Calibri" w:hAnsi="Calibri"/>
          <w:color w:val="1A1A1A"/>
          <w:sz w:val="22"/>
          <w:szCs w:val="22"/>
        </w:rPr>
        <w:t xml:space="preserve">Proposed governance arrangements, board composition, and any material contractual rights expected (drag-along, tag-along, anti-dilution, liquidation preference, etc.).</w:t>
      </w:r>
    </w:p>
    <w:p>
      <w:pPr>
        <w:pStyle w:val="ListParagraph"/>
        <w:numPr>
          <w:ilvl w:val="0"/>
          <w:numId w:val="2"/>
        </w:numPr>
        <w:spacing w:after="40" w:before="40"/>
      </w:pPr>
      <w:r>
        <w:rPr>
          <w:rFonts w:ascii="Calibri" w:cs="Calibri" w:eastAsia="Calibri" w:hAnsi="Calibri"/>
          <w:color w:val="1A1A1A"/>
          <w:sz w:val="22"/>
          <w:szCs w:val="22"/>
        </w:rPr>
        <w:t xml:space="preserve">Bidder's investment thesis, value creation plan, and intended role of the existing founding team post-transaction.</w:t>
      </w:r>
    </w:p>
    <w:p>
      <w:pPr>
        <w:pStyle w:val="Heading3"/>
        <w:spacing w:after="80" w:before="160"/>
      </w:pPr>
      <w:r>
        <w:rPr>
          <w:rFonts w:ascii="Calibri" w:cs="Calibri" w:eastAsia="Calibri" w:hAnsi="Calibri"/>
          <w:b/>
          <w:bCs/>
          <w:color w:val="1A1A1A"/>
          <w:sz w:val="24"/>
          <w:szCs w:val="24"/>
        </w:rPr>
        <w:t xml:space="preserve">2.5 Use of Proceeds (Primary Component)</w:t>
      </w:r>
    </w:p>
    <w:p>
      <w:pPr>
        <w:spacing w:after="60" w:before="60"/>
        <w:jc w:val="left"/>
      </w:pPr>
      <w:r>
        <w:rPr>
          <w:rFonts w:ascii="Calibri" w:cs="Calibri" w:eastAsia="Calibri" w:hAnsi="Calibri"/>
          <w:b w:val="false"/>
          <w:bCs w:val="false"/>
          <w:i w:val="false"/>
          <w:iCs w:val="false"/>
          <w:color w:val="1A1A1A"/>
          <w:sz w:val="22"/>
          <w:szCs w:val="22"/>
        </w:rPr>
        <w:t xml:space="preserve">To the extent the transaction includes primary capital, management has indicated the following indicative deployment plan over a 36-month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280"/>
        <w:gridCol w:w="2280"/>
      </w:tblGrid>
      <w:tr>
        <w:trPr>
          <w:tblHeader/>
        </w:trPr>
        <w:tc>
          <w:tcPr>
            <w:tcW w:type="dxa" w:w="48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Use</w:t>
            </w:r>
          </w:p>
        </w:tc>
        <w:tc>
          <w:tcPr>
            <w:tcW w:type="dxa" w:w="228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INR cr</w:t>
            </w:r>
          </w:p>
        </w:tc>
        <w:tc>
          <w:tcPr>
            <w:tcW w:type="dxa" w:w="228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 of Primary</w:t>
            </w:r>
          </w:p>
        </w:tc>
      </w:tr>
      <w:tr>
        <w:tc>
          <w:tcPr>
            <w:tcW w:type="dxa" w:w="4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Café network expansion (40 new stores)</w:t>
            </w:r>
          </w:p>
        </w:tc>
        <w:tc>
          <w:tcPr>
            <w:tcW w:type="dxa" w:w="22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92.0</w:t>
            </w:r>
          </w:p>
        </w:tc>
        <w:tc>
          <w:tcPr>
            <w:tcW w:type="dxa" w:w="22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46.0%</w:t>
            </w:r>
          </w:p>
        </w:tc>
      </w:tr>
      <w:tr>
        <w:tc>
          <w:tcPr>
            <w:tcW w:type="dxa" w:w="48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Roastery capacity expansion (Phase II)</w:t>
            </w:r>
          </w:p>
        </w:tc>
        <w:tc>
          <w:tcPr>
            <w:tcW w:type="dxa" w:w="22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28.5</w:t>
            </w:r>
          </w:p>
        </w:tc>
        <w:tc>
          <w:tcPr>
            <w:tcW w:type="dxa" w:w="22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14.3%</w:t>
            </w:r>
          </w:p>
        </w:tc>
      </w:tr>
      <w:tr>
        <w:tc>
          <w:tcPr>
            <w:tcW w:type="dxa" w:w="4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D2C technology, fulfilment &amp; marketing</w:t>
            </w:r>
          </w:p>
        </w:tc>
        <w:tc>
          <w:tcPr>
            <w:tcW w:type="dxa" w:w="22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34.0</w:t>
            </w:r>
          </w:p>
        </w:tc>
        <w:tc>
          <w:tcPr>
            <w:tcW w:type="dxa" w:w="22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17.0%</w:t>
            </w:r>
          </w:p>
        </w:tc>
      </w:tr>
      <w:tr>
        <w:tc>
          <w:tcPr>
            <w:tcW w:type="dxa" w:w="48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Working capital</w:t>
            </w:r>
          </w:p>
        </w:tc>
        <w:tc>
          <w:tcPr>
            <w:tcW w:type="dxa" w:w="22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22.5</w:t>
            </w:r>
          </w:p>
        </w:tc>
        <w:tc>
          <w:tcPr>
            <w:tcW w:type="dxa" w:w="22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11.3%</w:t>
            </w:r>
          </w:p>
        </w:tc>
      </w:tr>
      <w:tr>
        <w:tc>
          <w:tcPr>
            <w:tcW w:type="dxa" w:w="4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Strategic acquisitions (regional bolt-ons)</w:t>
            </w:r>
          </w:p>
        </w:tc>
        <w:tc>
          <w:tcPr>
            <w:tcW w:type="dxa" w:w="22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15.0</w:t>
            </w:r>
          </w:p>
        </w:tc>
        <w:tc>
          <w:tcPr>
            <w:tcW w:type="dxa" w:w="22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7.5%</w:t>
            </w:r>
          </w:p>
        </w:tc>
      </w:tr>
      <w:tr>
        <w:tc>
          <w:tcPr>
            <w:tcW w:type="dxa" w:w="48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Transaction fees &amp; general corporate</w:t>
            </w:r>
          </w:p>
        </w:tc>
        <w:tc>
          <w:tcPr>
            <w:tcW w:type="dxa" w:w="22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8.0</w:t>
            </w:r>
          </w:p>
        </w:tc>
        <w:tc>
          <w:tcPr>
            <w:tcW w:type="dxa" w:w="22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4.0%</w:t>
            </w:r>
          </w:p>
        </w:tc>
      </w:tr>
      <w:tr>
        <w:tc>
          <w:tcPr>
            <w:tcW w:type="dxa" w:w="48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Total Primary Use</w:t>
            </w:r>
          </w:p>
        </w:tc>
        <w:tc>
          <w:tcPr>
            <w:tcW w:type="dxa" w:w="22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200.0</w:t>
            </w:r>
          </w:p>
        </w:tc>
        <w:tc>
          <w:tcPr>
            <w:tcW w:type="dxa" w:w="22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100.0%</w:t>
            </w:r>
          </w:p>
        </w:tc>
      </w:tr>
    </w:tbl>
    <w:p>
      <w:pPr>
        <w:pStyle w:val="Heading1"/>
        <w:pageBreakBefore/>
        <w:pBdr>
          <w:bottom w:val="single" w:color="C9A227" w:sz="8" w:space="4"/>
        </w:pBdr>
        <w:spacing w:after="180" w:before="240"/>
      </w:pPr>
      <w:r>
        <w:rPr>
          <w:rFonts w:ascii="Calibri" w:cs="Calibri" w:eastAsia="Calibri" w:hAnsi="Calibri"/>
          <w:b/>
          <w:bCs/>
          <w:color w:val="0B2545"/>
          <w:sz w:val="36"/>
          <w:szCs w:val="36"/>
        </w:rPr>
        <w:t xml:space="preserve">3. Company Overview</w:t>
      </w:r>
    </w:p>
    <w:p>
      <w:pPr>
        <w:pStyle w:val="Heading3"/>
        <w:spacing w:after="80" w:before="160"/>
      </w:pPr>
      <w:r>
        <w:rPr>
          <w:rFonts w:ascii="Calibri" w:cs="Calibri" w:eastAsia="Calibri" w:hAnsi="Calibri"/>
          <w:b/>
          <w:bCs/>
          <w:color w:val="1A1A1A"/>
          <w:sz w:val="24"/>
          <w:szCs w:val="24"/>
        </w:rPr>
        <w:t xml:space="preserve">3.1 Corporate History</w:t>
      </w:r>
    </w:p>
    <w:p>
      <w:pPr>
        <w:spacing w:after="60" w:before="60"/>
        <w:jc w:val="left"/>
      </w:pPr>
      <w:r>
        <w:rPr>
          <w:rFonts w:ascii="Calibri" w:cs="Calibri" w:eastAsia="Calibri" w:hAnsi="Calibri"/>
          <w:b w:val="false"/>
          <w:bCs w:val="false"/>
          <w:i w:val="false"/>
          <w:iCs w:val="false"/>
          <w:color w:val="1A1A1A"/>
          <w:sz w:val="22"/>
          <w:szCs w:val="22"/>
        </w:rPr>
        <w:t xml:space="preserve">Meridian Coffee Roasters was incorporated in Bengaluru in March 2014 by Arjun Kothari, a former commodities trader at a multinational agricultural firm, and Naina Reddy, a hospitality professional with prior experience at two leading luxury hotel groups. The Company began operations with a single café in Indiranagar, Bengaluru, and a small roasting setup in a leased 1,200 sq. ft. warehouse.</w:t>
      </w:r>
    </w:p>
    <w:p>
      <w:pPr>
        <w:spacing w:after="60" w:before="60"/>
        <w:jc w:val="left"/>
      </w:pPr>
      <w:r>
        <w:rPr>
          <w:rFonts w:ascii="Calibri" w:cs="Calibri" w:eastAsia="Calibri" w:hAnsi="Calibri"/>
          <w:b w:val="false"/>
          <w:bCs w:val="false"/>
          <w:i w:val="false"/>
          <w:iCs w:val="false"/>
          <w:color w:val="1A1A1A"/>
          <w:sz w:val="22"/>
          <w:szCs w:val="22"/>
        </w:rPr>
        <w:t xml:space="preserve">Over the subsequent decade, Meridian executed a deliberate, capital-efficient growth strategy organised in three phases:</w:t>
      </w:r>
    </w:p>
    <w:p>
      <w:pPr>
        <w:pStyle w:val="ListParagraph"/>
        <w:numPr>
          <w:ilvl w:val="0"/>
          <w:numId w:val="2"/>
        </w:numPr>
        <w:spacing w:after="40" w:before="40"/>
      </w:pPr>
      <w:r>
        <w:rPr>
          <w:rFonts w:ascii="Calibri" w:cs="Calibri" w:eastAsia="Calibri" w:hAnsi="Calibri"/>
          <w:color w:val="1A1A1A"/>
          <w:sz w:val="22"/>
          <w:szCs w:val="22"/>
        </w:rPr>
        <w:t xml:space="preserve">Phase I (2014–2017): Establish a roastery, build a single-city café footprint, and develop direct relationships with estates in Coorg and Chikmagalur. Closed FY2017 with 5 cafés and INR 9.4 crore in revenue.</w:t>
      </w:r>
    </w:p>
    <w:p>
      <w:pPr>
        <w:pStyle w:val="ListParagraph"/>
        <w:numPr>
          <w:ilvl w:val="0"/>
          <w:numId w:val="2"/>
        </w:numPr>
        <w:spacing w:after="40" w:before="40"/>
      </w:pPr>
      <w:r>
        <w:rPr>
          <w:rFonts w:ascii="Calibri" w:cs="Calibri" w:eastAsia="Calibri" w:hAnsi="Calibri"/>
          <w:color w:val="1A1A1A"/>
          <w:sz w:val="22"/>
          <w:szCs w:val="22"/>
        </w:rPr>
        <w:t xml:space="preserve">Phase II (2018–2021): Expanded to Mumbai and Pune, launched the e-commerce site, and built the Whitefield central roastery. Raised a Series A round of INR 38 crore in FY2020 led by an India-focused consumer fund.</w:t>
      </w:r>
    </w:p>
    <w:p>
      <w:pPr>
        <w:pStyle w:val="ListParagraph"/>
        <w:numPr>
          <w:ilvl w:val="0"/>
          <w:numId w:val="2"/>
        </w:numPr>
        <w:spacing w:after="40" w:before="40"/>
      </w:pPr>
      <w:r>
        <w:rPr>
          <w:rFonts w:ascii="Calibri" w:cs="Calibri" w:eastAsia="Calibri" w:hAnsi="Calibri"/>
          <w:color w:val="1A1A1A"/>
          <w:sz w:val="22"/>
          <w:szCs w:val="22"/>
        </w:rPr>
        <w:t xml:space="preserve">Phase III (2022–present): Scaled the D2C subscription product, launched wholesale, entered Hyderabad, and crossed the INR 100 crore revenue threshold in FY2023. Today the Company operates 31 cafés, a flagship roastery, two regional micro-roasteries (Mumbai and Hyderabad), and serves over 18,000 active D2C subscribers.</w:t>
      </w:r>
    </w:p>
    <w:p>
      <w:pPr>
        <w:pStyle w:val="Heading3"/>
        <w:spacing w:after="80" w:before="160"/>
      </w:pPr>
      <w:r>
        <w:rPr>
          <w:rFonts w:ascii="Calibri" w:cs="Calibri" w:eastAsia="Calibri" w:hAnsi="Calibri"/>
          <w:b/>
          <w:bCs/>
          <w:color w:val="1A1A1A"/>
          <w:sz w:val="24"/>
          <w:szCs w:val="24"/>
        </w:rPr>
        <w:t xml:space="preserve">3.2 Mission, Values &amp; Brand Positioning</w:t>
      </w:r>
    </w:p>
    <w:p>
      <w:pPr>
        <w:spacing w:after="60" w:before="60"/>
        <w:jc w:val="left"/>
      </w:pPr>
      <w:r>
        <w:rPr>
          <w:rFonts w:ascii="Calibri" w:cs="Calibri" w:eastAsia="Calibri" w:hAnsi="Calibri"/>
          <w:b w:val="false"/>
          <w:bCs w:val="false"/>
          <w:i w:val="false"/>
          <w:iCs w:val="false"/>
          <w:color w:val="1A1A1A"/>
          <w:sz w:val="22"/>
          <w:szCs w:val="22"/>
        </w:rPr>
        <w:t xml:space="preserve">Meridian's stated mission is to "build the most respected specialty coffee company in South Asia." The brand positions at the premium end of the Indian café and packaged coffee market, with messaging that emphasises origin transparency, single-estate sourcing, and the work of the master roaster.</w:t>
      </w:r>
    </w:p>
    <w:p>
      <w:pPr>
        <w:spacing w:after="60" w:before="60"/>
        <w:jc w:val="left"/>
      </w:pPr>
      <w:r>
        <w:rPr>
          <w:rFonts w:ascii="Calibri" w:cs="Calibri" w:eastAsia="Calibri" w:hAnsi="Calibri"/>
          <w:b w:val="false"/>
          <w:bCs w:val="false"/>
          <w:i w:val="false"/>
          <w:iCs w:val="false"/>
          <w:color w:val="1A1A1A"/>
          <w:sz w:val="22"/>
          <w:szCs w:val="22"/>
        </w:rPr>
        <w:t xml:space="preserve">The brand identity is intentionally restrained and editorial in tone. Cafés feature minimalist interiors with exposed brick, custom solid-wood furniture, and a consistent muted palette of cream, deep green, and brushed brass. Packaged coffee uses kraft-paper bags with letterpress labels, and the in-store experience prioritises a slow service ritual rather than throughput.</w:t>
      </w:r>
    </w:p>
    <w:p>
      <w:pPr>
        <w:pStyle w:val="Heading3"/>
        <w:spacing w:after="80" w:before="160"/>
      </w:pPr>
      <w:r>
        <w:rPr>
          <w:rFonts w:ascii="Calibri" w:cs="Calibri" w:eastAsia="Calibri" w:hAnsi="Calibri"/>
          <w:b/>
          <w:bCs/>
          <w:color w:val="1A1A1A"/>
          <w:sz w:val="24"/>
          <w:szCs w:val="24"/>
        </w:rPr>
        <w:t xml:space="preserve">3.3 Corporate Structure</w:t>
      </w:r>
    </w:p>
    <w:p>
      <w:pPr>
        <w:spacing w:after="60" w:before="60"/>
        <w:jc w:val="left"/>
      </w:pPr>
      <w:r>
        <w:rPr>
          <w:rFonts w:ascii="Calibri" w:cs="Calibri" w:eastAsia="Calibri" w:hAnsi="Calibri"/>
          <w:b w:val="false"/>
          <w:bCs w:val="false"/>
          <w:i w:val="false"/>
          <w:iCs w:val="false"/>
          <w:color w:val="1A1A1A"/>
          <w:sz w:val="22"/>
          <w:szCs w:val="22"/>
        </w:rPr>
        <w:t xml:space="preserve">Meridian Coffee Roasters Pvt. Ltd. is the operating company and holds all material assets, contracts, and intellectual property. The Company has no subsidiaries. As of December 31, 2025, the cap table is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360"/>
        <w:gridCol w:w="2600"/>
      </w:tblGrid>
      <w:tr>
        <w:trPr>
          <w:tblHeader/>
        </w:trPr>
        <w:tc>
          <w:tcPr>
            <w:tcW w:type="dxa" w:w="44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Shareholder</w:t>
            </w:r>
          </w:p>
        </w:tc>
        <w:tc>
          <w:tcPr>
            <w:tcW w:type="dxa" w:w="236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Shareholding %</w:t>
            </w:r>
          </w:p>
        </w:tc>
        <w:tc>
          <w:tcPr>
            <w:tcW w:type="dxa" w:w="26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Notes</w:t>
            </w:r>
          </w:p>
        </w:tc>
      </w:tr>
      <w:tr>
        <w:tc>
          <w:tcPr>
            <w:tcW w:type="dxa" w:w="4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Arjun Kothari (Co-founder, CEO)</w:t>
            </w:r>
          </w:p>
        </w:tc>
        <w:tc>
          <w:tcPr>
            <w:tcW w:type="dxa" w:w="23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31.4%</w:t>
            </w:r>
          </w:p>
        </w:tc>
        <w:tc>
          <w:tcPr>
            <w:tcW w:type="dxa" w:w="26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Founding shareholder</w:t>
            </w:r>
          </w:p>
        </w:tc>
      </w:tr>
      <w:tr>
        <w:tc>
          <w:tcPr>
            <w:tcW w:type="dxa" w:w="4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Naina Reddy (Co-founder, COO)</w:t>
            </w:r>
          </w:p>
        </w:tc>
        <w:tc>
          <w:tcPr>
            <w:tcW w:type="dxa" w:w="23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26.8%</w:t>
            </w:r>
          </w:p>
        </w:tc>
        <w:tc>
          <w:tcPr>
            <w:tcW w:type="dxa" w:w="26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Founding shareholder</w:t>
            </w:r>
          </w:p>
        </w:tc>
      </w:tr>
      <w:tr>
        <w:tc>
          <w:tcPr>
            <w:tcW w:type="dxa" w:w="4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Saanvi Capital Partners (Series A)</w:t>
            </w:r>
          </w:p>
        </w:tc>
        <w:tc>
          <w:tcPr>
            <w:tcW w:type="dxa" w:w="23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22.5%</w:t>
            </w:r>
          </w:p>
        </w:tc>
        <w:tc>
          <w:tcPr>
            <w:tcW w:type="dxa" w:w="26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Lead investor, FY2020 round</w:t>
            </w:r>
          </w:p>
        </w:tc>
      </w:tr>
      <w:tr>
        <w:tc>
          <w:tcPr>
            <w:tcW w:type="dxa" w:w="4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Helios Family Office</w:t>
            </w:r>
          </w:p>
        </w:tc>
        <w:tc>
          <w:tcPr>
            <w:tcW w:type="dxa" w:w="23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8.2%</w:t>
            </w:r>
          </w:p>
        </w:tc>
        <w:tc>
          <w:tcPr>
            <w:tcW w:type="dxa" w:w="26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Series A participant</w:t>
            </w:r>
          </w:p>
        </w:tc>
      </w:tr>
      <w:tr>
        <w:tc>
          <w:tcPr>
            <w:tcW w:type="dxa" w:w="4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ESOP Pool (vested + unvested)</w:t>
            </w:r>
          </w:p>
        </w:tc>
        <w:tc>
          <w:tcPr>
            <w:tcW w:type="dxa" w:w="23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7.4%</w:t>
            </w:r>
          </w:p>
        </w:tc>
        <w:tc>
          <w:tcPr>
            <w:tcW w:type="dxa" w:w="26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Granted across 38 employees</w:t>
            </w:r>
          </w:p>
        </w:tc>
      </w:tr>
      <w:tr>
        <w:tc>
          <w:tcPr>
            <w:tcW w:type="dxa" w:w="4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Angel Investors (8 individuals)</w:t>
            </w:r>
          </w:p>
        </w:tc>
        <w:tc>
          <w:tcPr>
            <w:tcW w:type="dxa" w:w="23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3.7%</w:t>
            </w:r>
          </w:p>
        </w:tc>
        <w:tc>
          <w:tcPr>
            <w:tcW w:type="dxa" w:w="26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Pre-Series A round</w:t>
            </w:r>
          </w:p>
        </w:tc>
      </w:tr>
      <w:tr>
        <w:tc>
          <w:tcPr>
            <w:tcW w:type="dxa" w:w="4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Total</w:t>
            </w:r>
          </w:p>
        </w:tc>
        <w:tc>
          <w:tcPr>
            <w:tcW w:type="dxa" w:w="23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100.0%</w:t>
            </w:r>
          </w:p>
        </w:tc>
        <w:tc>
          <w:tcPr>
            <w:tcW w:type="dxa" w:w="26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
            </w:r>
          </w:p>
        </w:tc>
      </w:tr>
    </w:tbl>
    <w:p>
      <w:pPr>
        <w:pStyle w:val="Heading3"/>
        <w:spacing w:after="80" w:before="160"/>
      </w:pPr>
      <w:r>
        <w:rPr>
          <w:rFonts w:ascii="Calibri" w:cs="Calibri" w:eastAsia="Calibri" w:hAnsi="Calibri"/>
          <w:b/>
          <w:bCs/>
          <w:color w:val="1A1A1A"/>
          <w:sz w:val="24"/>
          <w:szCs w:val="24"/>
        </w:rPr>
        <w:t xml:space="preserve">3.4 Geographic Footprint</w:t>
      </w:r>
    </w:p>
    <w:p>
      <w:pPr>
        <w:spacing w:after="60" w:before="60"/>
        <w:jc w:val="left"/>
      </w:pPr>
      <w:r>
        <w:rPr>
          <w:rFonts w:ascii="Calibri" w:cs="Calibri" w:eastAsia="Calibri" w:hAnsi="Calibri"/>
          <w:b w:val="false"/>
          <w:bCs w:val="false"/>
          <w:i w:val="false"/>
          <w:iCs w:val="false"/>
          <w:color w:val="1A1A1A"/>
          <w:sz w:val="22"/>
          <w:szCs w:val="22"/>
        </w:rPr>
        <w:t xml:space="preserve">Meridian's owned café network is concentrated in four metros, with a deliberate cluster-density strategy designed to maximise brand visibility and operational leverage: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200"/>
        <w:gridCol w:w="1700"/>
        <w:gridCol w:w="2260"/>
      </w:tblGrid>
      <w:tr>
        <w:trPr>
          <w:tblHeader/>
        </w:trPr>
        <w:tc>
          <w:tcPr>
            <w:tcW w:type="dxa" w:w="19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City</w:t>
            </w:r>
          </w:p>
        </w:tc>
        <w:tc>
          <w:tcPr>
            <w:tcW w:type="dxa" w:w="13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Cafés (FY25)</w:t>
            </w:r>
          </w:p>
        </w:tc>
        <w:tc>
          <w:tcPr>
            <w:tcW w:type="dxa" w:w="22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Revenue (INR cr)</w:t>
            </w:r>
          </w:p>
        </w:tc>
        <w:tc>
          <w:tcPr>
            <w:tcW w:type="dxa" w:w="17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 of Retail</w:t>
            </w:r>
          </w:p>
        </w:tc>
        <w:tc>
          <w:tcPr>
            <w:tcW w:type="dxa" w:w="226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Avg Monthly Sales/Café (INR L)</w:t>
            </w:r>
          </w:p>
        </w:tc>
      </w:tr>
      <w:tr>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Bengaluru</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w:t>
            </w:r>
          </w:p>
        </w:tc>
        <w:tc>
          <w:tcPr>
            <w:tcW w:type="dxa" w:w="2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62.4</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52.0%</w:t>
            </w:r>
          </w:p>
        </w:tc>
        <w:tc>
          <w:tcPr>
            <w:tcW w:type="dxa" w:w="22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37.1</w:t>
            </w:r>
          </w:p>
        </w:tc>
      </w:tr>
      <w:tr>
        <w:tc>
          <w:tcPr>
            <w:tcW w:type="dxa" w:w="19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Mumbai</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w:t>
            </w:r>
          </w:p>
        </w:tc>
        <w:tc>
          <w:tcPr>
            <w:tcW w:type="dxa" w:w="2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31.8</w:t>
            </w:r>
          </w:p>
        </w:tc>
        <w:tc>
          <w:tcPr>
            <w:tcW w:type="dxa" w:w="1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26.5%</w:t>
            </w:r>
          </w:p>
        </w:tc>
        <w:tc>
          <w:tcPr>
            <w:tcW w:type="dxa" w:w="22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33.1</w:t>
            </w:r>
          </w:p>
        </w:tc>
      </w:tr>
      <w:tr>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Pune</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w:t>
            </w:r>
          </w:p>
        </w:tc>
        <w:tc>
          <w:tcPr>
            <w:tcW w:type="dxa" w:w="2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15.7</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13.1%</w:t>
            </w:r>
          </w:p>
        </w:tc>
        <w:tc>
          <w:tcPr>
            <w:tcW w:type="dxa" w:w="22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26.2</w:t>
            </w:r>
          </w:p>
        </w:tc>
      </w:tr>
      <w:tr>
        <w:tc>
          <w:tcPr>
            <w:tcW w:type="dxa" w:w="19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Hyderabad</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w:t>
            </w:r>
          </w:p>
        </w:tc>
        <w:tc>
          <w:tcPr>
            <w:tcW w:type="dxa" w:w="2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10.1</w:t>
            </w:r>
          </w:p>
        </w:tc>
        <w:tc>
          <w:tcPr>
            <w:tcW w:type="dxa" w:w="1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8.4%</w:t>
            </w:r>
          </w:p>
        </w:tc>
        <w:tc>
          <w:tcPr>
            <w:tcW w:type="dxa" w:w="22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21.0</w:t>
            </w:r>
          </w:p>
        </w:tc>
      </w:tr>
      <w:tr>
        <w:tc>
          <w:tcPr>
            <w:tcW w:type="dxa" w:w="19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Total Retail</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31</w:t>
            </w:r>
          </w:p>
        </w:tc>
        <w:tc>
          <w:tcPr>
            <w:tcW w:type="dxa" w:w="2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120.0</w:t>
            </w:r>
          </w:p>
        </w:tc>
        <w:tc>
          <w:tcPr>
            <w:tcW w:type="dxa" w:w="1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100.0%</w:t>
            </w:r>
          </w:p>
        </w:tc>
        <w:tc>
          <w:tcPr>
            <w:tcW w:type="dxa" w:w="22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w:t>
            </w:r>
          </w:p>
        </w:tc>
      </w:tr>
    </w:tbl>
    <w:p>
      <w:pPr>
        <w:pStyle w:val="Heading3"/>
        <w:spacing w:after="80" w:before="160"/>
      </w:pPr>
      <w:r>
        <w:rPr>
          <w:rFonts w:ascii="Calibri" w:cs="Calibri" w:eastAsia="Calibri" w:hAnsi="Calibri"/>
          <w:b/>
          <w:bCs/>
          <w:color w:val="1A1A1A"/>
          <w:sz w:val="24"/>
          <w:szCs w:val="24"/>
        </w:rPr>
        <w:t xml:space="preserve">3.5 Key Operating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200"/>
        <w:gridCol w:w="1200"/>
        <w:gridCol w:w="1200"/>
        <w:gridCol w:w="1200"/>
      </w:tblGrid>
      <w:tr>
        <w:trPr>
          <w:tblHeader/>
        </w:trPr>
        <w:tc>
          <w:tcPr>
            <w:tcW w:type="dxa" w:w="336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Metric</w:t>
            </w:r>
          </w:p>
        </w:tc>
        <w:tc>
          <w:tcPr>
            <w:tcW w:type="dxa" w:w="12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FY21</w:t>
            </w:r>
          </w:p>
        </w:tc>
        <w:tc>
          <w:tcPr>
            <w:tcW w:type="dxa" w:w="12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FY22</w:t>
            </w:r>
          </w:p>
        </w:tc>
        <w:tc>
          <w:tcPr>
            <w:tcW w:type="dxa" w:w="12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FY23</w:t>
            </w:r>
          </w:p>
        </w:tc>
        <w:tc>
          <w:tcPr>
            <w:tcW w:type="dxa" w:w="12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FY24</w:t>
            </w:r>
          </w:p>
        </w:tc>
        <w:tc>
          <w:tcPr>
            <w:tcW w:type="dxa" w:w="12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FY25</w:t>
            </w:r>
          </w:p>
        </w:tc>
      </w:tr>
      <w:tr>
        <w:tc>
          <w:tcPr>
            <w:tcW w:type="dxa" w:w="33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Cafés (period end)</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27</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w:t>
            </w:r>
          </w:p>
        </w:tc>
      </w:tr>
      <w:tr>
        <w:tc>
          <w:tcPr>
            <w:tcW w:type="dxa" w:w="33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New cafés opened</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w:t>
            </w:r>
          </w:p>
        </w:tc>
      </w:tr>
      <w:tr>
        <w:tc>
          <w:tcPr>
            <w:tcW w:type="dxa" w:w="33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Cafés closed</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w:t>
            </w:r>
          </w:p>
        </w:tc>
      </w:tr>
      <w:tr>
        <w:tc>
          <w:tcPr>
            <w:tcW w:type="dxa" w:w="33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Avg revenue per mature café (INR cr)</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3.4</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3.9</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4.4</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4.8</w:t>
            </w:r>
          </w:p>
        </w:tc>
      </w:tr>
      <w:tr>
        <w:tc>
          <w:tcPr>
            <w:tcW w:type="dxa" w:w="33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Same-store sales growth %</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8.4%</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11.6%</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14.2%</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12.8%</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9.3%</w:t>
            </w:r>
          </w:p>
        </w:tc>
      </w:tr>
      <w:tr>
        <w:tc>
          <w:tcPr>
            <w:tcW w:type="dxa" w:w="33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Avg ticket size (INR)</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320</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344</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382</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412</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445</w:t>
            </w:r>
          </w:p>
        </w:tc>
      </w:tr>
      <w:tr>
        <w:tc>
          <w:tcPr>
            <w:tcW w:type="dxa" w:w="33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Daily transactions per café</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187</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214</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248</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281</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298</w:t>
            </w:r>
          </w:p>
        </w:tc>
      </w:tr>
      <w:tr>
        <w:tc>
          <w:tcPr>
            <w:tcW w:type="dxa" w:w="33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D2C orders ('000s)</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32</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61</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118</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201</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294</w:t>
            </w:r>
          </w:p>
        </w:tc>
      </w:tr>
      <w:tr>
        <w:tc>
          <w:tcPr>
            <w:tcW w:type="dxa" w:w="33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D2C avg order value (INR)</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780</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835</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892</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964</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1,028</w:t>
            </w:r>
          </w:p>
        </w:tc>
      </w:tr>
      <w:tr>
        <w:tc>
          <w:tcPr>
            <w:tcW w:type="dxa" w:w="33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Wholesale accounts</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23</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41</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67</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94</w:t>
            </w:r>
          </w:p>
        </w:tc>
      </w:tr>
      <w:tr>
        <w:tc>
          <w:tcPr>
            <w:tcW w:type="dxa" w:w="33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Roastery output (MT/year)</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62</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94</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138</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194</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258</w:t>
            </w:r>
          </w:p>
        </w:tc>
      </w:tr>
      <w:tr>
        <w:tc>
          <w:tcPr>
            <w:tcW w:type="dxa" w:w="33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FTE headcount (period end)</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94</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146</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218</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312</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397</w:t>
            </w:r>
          </w:p>
        </w:tc>
      </w:tr>
    </w:tbl>
    <w:p>
      <w:pPr>
        <w:pStyle w:val="Heading1"/>
        <w:pageBreakBefore/>
        <w:pBdr>
          <w:bottom w:val="single" w:color="C9A227" w:sz="8" w:space="4"/>
        </w:pBdr>
        <w:spacing w:after="180" w:before="240"/>
      </w:pPr>
      <w:r>
        <w:rPr>
          <w:rFonts w:ascii="Calibri" w:cs="Calibri" w:eastAsia="Calibri" w:hAnsi="Calibri"/>
          <w:b/>
          <w:bCs/>
          <w:color w:val="0B2545"/>
          <w:sz w:val="36"/>
          <w:szCs w:val="36"/>
        </w:rPr>
        <w:t xml:space="preserve">4. Products, Brands &amp; Channels</w:t>
      </w:r>
    </w:p>
    <w:p>
      <w:pPr>
        <w:pStyle w:val="Heading3"/>
        <w:spacing w:after="80" w:before="160"/>
      </w:pPr>
      <w:r>
        <w:rPr>
          <w:rFonts w:ascii="Calibri" w:cs="Calibri" w:eastAsia="Calibri" w:hAnsi="Calibri"/>
          <w:b/>
          <w:bCs/>
          <w:color w:val="1A1A1A"/>
          <w:sz w:val="24"/>
          <w:szCs w:val="24"/>
        </w:rPr>
        <w:t xml:space="preserve">4.1 Channel Mix</w:t>
      </w:r>
    </w:p>
    <w:p>
      <w:pPr>
        <w:spacing w:after="60" w:before="60"/>
        <w:jc w:val="left"/>
      </w:pPr>
      <w:r>
        <w:rPr>
          <w:rFonts w:ascii="Calibri" w:cs="Calibri" w:eastAsia="Calibri" w:hAnsi="Calibri"/>
          <w:b w:val="false"/>
          <w:bCs w:val="false"/>
          <w:i w:val="false"/>
          <w:iCs w:val="false"/>
          <w:color w:val="1A1A1A"/>
          <w:sz w:val="22"/>
          <w:szCs w:val="22"/>
        </w:rPr>
        <w:t xml:space="preserve">Meridian operates three reinforcing channels, each with distinct economics, customer profiles, and strategic roles. The channel mix has shifted progressively toward higher-margin D2C and wholesale revenue while retail has continued to grow in absolute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10"/>
        <w:gridCol w:w="1110"/>
        <w:gridCol w:w="1110"/>
        <w:gridCol w:w="1110"/>
        <w:gridCol w:w="1110"/>
        <w:gridCol w:w="1110"/>
      </w:tblGrid>
      <w:tr>
        <w:trPr>
          <w:tblHeader/>
        </w:trPr>
        <w:tc>
          <w:tcPr>
            <w:tcW w:type="dxa" w:w="27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Channel</w:t>
            </w:r>
          </w:p>
        </w:tc>
        <w:tc>
          <w:tcPr>
            <w:tcW w:type="dxa" w:w="111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FY21</w:t>
            </w:r>
          </w:p>
        </w:tc>
        <w:tc>
          <w:tcPr>
            <w:tcW w:type="dxa" w:w="111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FY22</w:t>
            </w:r>
          </w:p>
        </w:tc>
        <w:tc>
          <w:tcPr>
            <w:tcW w:type="dxa" w:w="111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FY23</w:t>
            </w:r>
          </w:p>
        </w:tc>
        <w:tc>
          <w:tcPr>
            <w:tcW w:type="dxa" w:w="111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FY24</w:t>
            </w:r>
          </w:p>
        </w:tc>
        <w:tc>
          <w:tcPr>
            <w:tcW w:type="dxa" w:w="111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FY25</w:t>
            </w:r>
          </w:p>
        </w:tc>
        <w:tc>
          <w:tcPr>
            <w:tcW w:type="dxa" w:w="111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5Y CAGR</w:t>
            </w:r>
          </w:p>
        </w:tc>
      </w:tr>
      <w:tr>
        <w:tc>
          <w:tcPr>
            <w:tcW w:type="dxa" w:w="2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Retail Cafés (INR cr)</w:t>
            </w:r>
          </w:p>
        </w:tc>
        <w:tc>
          <w:tcPr>
            <w:tcW w:type="dxa" w:w="111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31.4</w:t>
            </w:r>
          </w:p>
        </w:tc>
        <w:tc>
          <w:tcPr>
            <w:tcW w:type="dxa" w:w="111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44.6</w:t>
            </w:r>
          </w:p>
        </w:tc>
        <w:tc>
          <w:tcPr>
            <w:tcW w:type="dxa" w:w="111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62.7</w:t>
            </w:r>
          </w:p>
        </w:tc>
        <w:tc>
          <w:tcPr>
            <w:tcW w:type="dxa" w:w="111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89.8</w:t>
            </w:r>
          </w:p>
        </w:tc>
        <w:tc>
          <w:tcPr>
            <w:tcW w:type="dxa" w:w="111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120.0</w:t>
            </w:r>
          </w:p>
        </w:tc>
        <w:tc>
          <w:tcPr>
            <w:tcW w:type="dxa" w:w="111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39.8%</w:t>
            </w:r>
          </w:p>
        </w:tc>
      </w:tr>
      <w:tr>
        <w:tc>
          <w:tcPr>
            <w:tcW w:type="dxa" w:w="2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 of Revenue</w:t>
            </w:r>
          </w:p>
        </w:tc>
        <w:tc>
          <w:tcPr>
            <w:tcW w:type="dxa" w:w="111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76.2%</w:t>
            </w:r>
          </w:p>
        </w:tc>
        <w:tc>
          <w:tcPr>
            <w:tcW w:type="dxa" w:w="111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71.0%</w:t>
            </w:r>
          </w:p>
        </w:tc>
        <w:tc>
          <w:tcPr>
            <w:tcW w:type="dxa" w:w="111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66.2%</w:t>
            </w:r>
          </w:p>
        </w:tc>
        <w:tc>
          <w:tcPr>
            <w:tcW w:type="dxa" w:w="111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64.9%</w:t>
            </w:r>
          </w:p>
        </w:tc>
        <w:tc>
          <w:tcPr>
            <w:tcW w:type="dxa" w:w="111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64.0%</w:t>
            </w:r>
          </w:p>
        </w:tc>
        <w:tc>
          <w:tcPr>
            <w:tcW w:type="dxa" w:w="111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r>
      <w:tr>
        <w:tc>
          <w:tcPr>
            <w:tcW w:type="dxa" w:w="2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D2C E-commerce (INR cr)</w:t>
            </w:r>
          </w:p>
        </w:tc>
        <w:tc>
          <w:tcPr>
            <w:tcW w:type="dxa" w:w="111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4.8</w:t>
            </w:r>
          </w:p>
        </w:tc>
        <w:tc>
          <w:tcPr>
            <w:tcW w:type="dxa" w:w="111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10.5</w:t>
            </w:r>
          </w:p>
        </w:tc>
        <w:tc>
          <w:tcPr>
            <w:tcW w:type="dxa" w:w="111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20.4</w:t>
            </w:r>
          </w:p>
        </w:tc>
        <w:tc>
          <w:tcPr>
            <w:tcW w:type="dxa" w:w="111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31.9</w:t>
            </w:r>
          </w:p>
        </w:tc>
        <w:tc>
          <w:tcPr>
            <w:tcW w:type="dxa" w:w="111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39.4</w:t>
            </w:r>
          </w:p>
        </w:tc>
        <w:tc>
          <w:tcPr>
            <w:tcW w:type="dxa" w:w="111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69.0%</w:t>
            </w:r>
          </w:p>
        </w:tc>
      </w:tr>
      <w:tr>
        <w:tc>
          <w:tcPr>
            <w:tcW w:type="dxa" w:w="2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 of Revenue</w:t>
            </w:r>
          </w:p>
        </w:tc>
        <w:tc>
          <w:tcPr>
            <w:tcW w:type="dxa" w:w="111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11.7%</w:t>
            </w:r>
          </w:p>
        </w:tc>
        <w:tc>
          <w:tcPr>
            <w:tcW w:type="dxa" w:w="111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16.7%</w:t>
            </w:r>
          </w:p>
        </w:tc>
        <w:tc>
          <w:tcPr>
            <w:tcW w:type="dxa" w:w="111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21.5%</w:t>
            </w:r>
          </w:p>
        </w:tc>
        <w:tc>
          <w:tcPr>
            <w:tcW w:type="dxa" w:w="111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23.0%</w:t>
            </w:r>
          </w:p>
        </w:tc>
        <w:tc>
          <w:tcPr>
            <w:tcW w:type="dxa" w:w="111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21.0%</w:t>
            </w:r>
          </w:p>
        </w:tc>
        <w:tc>
          <w:tcPr>
            <w:tcW w:type="dxa" w:w="111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r>
      <w:tr>
        <w:tc>
          <w:tcPr>
            <w:tcW w:type="dxa" w:w="2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Wholesale (INR cr)</w:t>
            </w:r>
          </w:p>
        </w:tc>
        <w:tc>
          <w:tcPr>
            <w:tcW w:type="dxa" w:w="111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5.0</w:t>
            </w:r>
          </w:p>
        </w:tc>
        <w:tc>
          <w:tcPr>
            <w:tcW w:type="dxa" w:w="111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7.7</w:t>
            </w:r>
          </w:p>
        </w:tc>
        <w:tc>
          <w:tcPr>
            <w:tcW w:type="dxa" w:w="111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11.6</w:t>
            </w:r>
          </w:p>
        </w:tc>
        <w:tc>
          <w:tcPr>
            <w:tcW w:type="dxa" w:w="111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16.7</w:t>
            </w:r>
          </w:p>
        </w:tc>
        <w:tc>
          <w:tcPr>
            <w:tcW w:type="dxa" w:w="111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28.2</w:t>
            </w:r>
          </w:p>
        </w:tc>
        <w:tc>
          <w:tcPr>
            <w:tcW w:type="dxa" w:w="111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54.0%</w:t>
            </w:r>
          </w:p>
        </w:tc>
      </w:tr>
      <w:tr>
        <w:tc>
          <w:tcPr>
            <w:tcW w:type="dxa" w:w="2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 of Revenue</w:t>
            </w:r>
          </w:p>
        </w:tc>
        <w:tc>
          <w:tcPr>
            <w:tcW w:type="dxa" w:w="111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12.1%</w:t>
            </w:r>
          </w:p>
        </w:tc>
        <w:tc>
          <w:tcPr>
            <w:tcW w:type="dxa" w:w="111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12.3%</w:t>
            </w:r>
          </w:p>
        </w:tc>
        <w:tc>
          <w:tcPr>
            <w:tcW w:type="dxa" w:w="111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12.3%</w:t>
            </w:r>
          </w:p>
        </w:tc>
        <w:tc>
          <w:tcPr>
            <w:tcW w:type="dxa" w:w="111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12.1%</w:t>
            </w:r>
          </w:p>
        </w:tc>
        <w:tc>
          <w:tcPr>
            <w:tcW w:type="dxa" w:w="111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15.0%</w:t>
            </w:r>
          </w:p>
        </w:tc>
        <w:tc>
          <w:tcPr>
            <w:tcW w:type="dxa" w:w="111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r>
      <w:tr>
        <w:tc>
          <w:tcPr>
            <w:tcW w:type="dxa" w:w="2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Total Revenue</w:t>
            </w:r>
          </w:p>
        </w:tc>
        <w:tc>
          <w:tcPr>
            <w:tcW w:type="dxa" w:w="111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41.2</w:t>
            </w:r>
          </w:p>
        </w:tc>
        <w:tc>
          <w:tcPr>
            <w:tcW w:type="dxa" w:w="111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62.8</w:t>
            </w:r>
          </w:p>
        </w:tc>
        <w:tc>
          <w:tcPr>
            <w:tcW w:type="dxa" w:w="111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94.7</w:t>
            </w:r>
          </w:p>
        </w:tc>
        <w:tc>
          <w:tcPr>
            <w:tcW w:type="dxa" w:w="111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138.4</w:t>
            </w:r>
          </w:p>
        </w:tc>
        <w:tc>
          <w:tcPr>
            <w:tcW w:type="dxa" w:w="111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187.6</w:t>
            </w:r>
          </w:p>
        </w:tc>
        <w:tc>
          <w:tcPr>
            <w:tcW w:type="dxa" w:w="111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46.0%</w:t>
            </w:r>
          </w:p>
        </w:tc>
      </w:tr>
    </w:tbl>
    <w:p>
      <w:pPr>
        <w:pStyle w:val="Heading3"/>
        <w:spacing w:after="80" w:before="160"/>
      </w:pPr>
      <w:r>
        <w:rPr>
          <w:rFonts w:ascii="Calibri" w:cs="Calibri" w:eastAsia="Calibri" w:hAnsi="Calibri"/>
          <w:b/>
          <w:bCs/>
          <w:color w:val="1A1A1A"/>
          <w:sz w:val="24"/>
          <w:szCs w:val="24"/>
        </w:rPr>
        <w:t xml:space="preserve">4.2 Retail Café Network</w:t>
      </w:r>
    </w:p>
    <w:p>
      <w:pPr>
        <w:spacing w:after="60" w:before="60"/>
        <w:jc w:val="left"/>
      </w:pPr>
      <w:r>
        <w:rPr>
          <w:rFonts w:ascii="Calibri" w:cs="Calibri" w:eastAsia="Calibri" w:hAnsi="Calibri"/>
          <w:b w:val="false"/>
          <w:bCs w:val="false"/>
          <w:i w:val="false"/>
          <w:iCs w:val="false"/>
          <w:color w:val="1A1A1A"/>
          <w:sz w:val="22"/>
          <w:szCs w:val="22"/>
        </w:rPr>
        <w:t xml:space="preserve">Meridian operates a portfolio of 31 owned and operated cafés across two formats: full-format flagships (~1,800–2,400 sq. ft. with seating for 45–70 guests) and compact cafés (~800–1,200 sq. ft. with seating for 18–28 guests). The Company does not currently franchise and has historically declined inbound franchise inquiries to maintain experiential consistency.</w:t>
      </w:r>
    </w:p>
    <w:p>
      <w:pPr>
        <w:spacing w:after="60" w:before="60"/>
        <w:jc w:val="left"/>
      </w:pPr>
      <w:r>
        <w:rPr>
          <w:rFonts w:ascii="Calibri" w:cs="Calibri" w:eastAsia="Calibri" w:hAnsi="Calibri"/>
          <w:b w:val="false"/>
          <w:bCs w:val="false"/>
          <w:i w:val="false"/>
          <w:iCs w:val="false"/>
          <w:color w:val="1A1A1A"/>
          <w:sz w:val="22"/>
          <w:szCs w:val="22"/>
        </w:rPr>
        <w:t xml:space="preserve">Cafés generate revenue across four product categories: brewed beverages (espresso-based and filter), specialty drinks (signature seasonal beverages), food (artisan bakery, breakfast, all-day light meals), and packaged retail (whole-bean coffee, brewing equipment, gift sets). Food contribution to retail mix has grown from 18% in FY2021 to 31% in FY2025 following the in-house bakery initiative launched in FY2023.</w:t>
      </w:r>
    </w:p>
    <w:p>
      <w:pPr>
        <w:pStyle w:val="Heading3"/>
        <w:spacing w:after="80" w:before="160"/>
      </w:pPr>
      <w:r>
        <w:rPr>
          <w:rFonts w:ascii="Calibri" w:cs="Calibri" w:eastAsia="Calibri" w:hAnsi="Calibri"/>
          <w:b/>
          <w:bCs/>
          <w:color w:val="1A1A1A"/>
          <w:sz w:val="24"/>
          <w:szCs w:val="24"/>
        </w:rPr>
        <w:t xml:space="preserve">4.3 Café-Level Unit Economics (Mature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800"/>
        <w:gridCol w:w="1800"/>
        <w:gridCol w:w="1360"/>
      </w:tblGrid>
      <w:tr>
        <w:trPr>
          <w:tblHeader/>
        </w:trPr>
        <w:tc>
          <w:tcPr>
            <w:tcW w:type="dxa" w:w="44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Line Item (INR L per annum)</w:t>
            </w:r>
          </w:p>
        </w:tc>
        <w:tc>
          <w:tcPr>
            <w:tcW w:type="dxa" w:w="18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Compact Café</w:t>
            </w:r>
          </w:p>
        </w:tc>
        <w:tc>
          <w:tcPr>
            <w:tcW w:type="dxa" w:w="18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Flagship Café</w:t>
            </w:r>
          </w:p>
        </w:tc>
        <w:tc>
          <w:tcPr>
            <w:tcW w:type="dxa" w:w="136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Average</w:t>
            </w:r>
          </w:p>
        </w:tc>
      </w:tr>
      <w:tr>
        <w:tc>
          <w:tcPr>
            <w:tcW w:type="dxa" w:w="4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Revenue</w:t>
            </w:r>
          </w:p>
        </w:tc>
        <w:tc>
          <w:tcPr>
            <w:tcW w:type="dxa" w:w="1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324</w:t>
            </w:r>
          </w:p>
        </w:tc>
        <w:tc>
          <w:tcPr>
            <w:tcW w:type="dxa" w:w="1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612</w:t>
            </w:r>
          </w:p>
        </w:tc>
        <w:tc>
          <w:tcPr>
            <w:tcW w:type="dxa" w:w="13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478</w:t>
            </w:r>
          </w:p>
        </w:tc>
      </w:tr>
      <w:tr>
        <w:tc>
          <w:tcPr>
            <w:tcW w:type="dxa" w:w="4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COGS (food + coffee)</w:t>
            </w:r>
          </w:p>
        </w:tc>
        <w:tc>
          <w:tcPr>
            <w:tcW w:type="dxa" w:w="18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(101)</w:t>
            </w:r>
          </w:p>
        </w:tc>
        <w:tc>
          <w:tcPr>
            <w:tcW w:type="dxa" w:w="18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(190)</w:t>
            </w:r>
          </w:p>
        </w:tc>
        <w:tc>
          <w:tcPr>
            <w:tcW w:type="dxa" w:w="13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(149)</w:t>
            </w:r>
          </w:p>
        </w:tc>
      </w:tr>
      <w:tr>
        <w:tc>
          <w:tcPr>
            <w:tcW w:type="dxa" w:w="4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Gross Profit</w:t>
            </w:r>
          </w:p>
        </w:tc>
        <w:tc>
          <w:tcPr>
            <w:tcW w:type="dxa" w:w="1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223</w:t>
            </w:r>
          </w:p>
        </w:tc>
        <w:tc>
          <w:tcPr>
            <w:tcW w:type="dxa" w:w="1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422</w:t>
            </w:r>
          </w:p>
        </w:tc>
        <w:tc>
          <w:tcPr>
            <w:tcW w:type="dxa" w:w="13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329</w:t>
            </w:r>
          </w:p>
        </w:tc>
      </w:tr>
      <w:tr>
        <w:tc>
          <w:tcPr>
            <w:tcW w:type="dxa" w:w="4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Gross Margin %</w:t>
            </w:r>
          </w:p>
        </w:tc>
        <w:tc>
          <w:tcPr>
            <w:tcW w:type="dxa" w:w="18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68.8%</w:t>
            </w:r>
          </w:p>
        </w:tc>
        <w:tc>
          <w:tcPr>
            <w:tcW w:type="dxa" w:w="18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69.0%</w:t>
            </w:r>
          </w:p>
        </w:tc>
        <w:tc>
          <w:tcPr>
            <w:tcW w:type="dxa" w:w="13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68.8%</w:t>
            </w:r>
          </w:p>
        </w:tc>
      </w:tr>
      <w:tr>
        <w:tc>
          <w:tcPr>
            <w:tcW w:type="dxa" w:w="4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Rent</w:t>
            </w:r>
          </w:p>
        </w:tc>
        <w:tc>
          <w:tcPr>
            <w:tcW w:type="dxa" w:w="1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(38)</w:t>
            </w:r>
          </w:p>
        </w:tc>
        <w:tc>
          <w:tcPr>
            <w:tcW w:type="dxa" w:w="1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(74)</w:t>
            </w:r>
          </w:p>
        </w:tc>
        <w:tc>
          <w:tcPr>
            <w:tcW w:type="dxa" w:w="13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(58)</w:t>
            </w:r>
          </w:p>
        </w:tc>
      </w:tr>
      <w:tr>
        <w:tc>
          <w:tcPr>
            <w:tcW w:type="dxa" w:w="4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Manpower</w:t>
            </w:r>
          </w:p>
        </w:tc>
        <w:tc>
          <w:tcPr>
            <w:tcW w:type="dxa" w:w="18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(57)</w:t>
            </w:r>
          </w:p>
        </w:tc>
        <w:tc>
          <w:tcPr>
            <w:tcW w:type="dxa" w:w="18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(112)</w:t>
            </w:r>
          </w:p>
        </w:tc>
        <w:tc>
          <w:tcPr>
            <w:tcW w:type="dxa" w:w="13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(88)</w:t>
            </w:r>
          </w:p>
        </w:tc>
      </w:tr>
      <w:tr>
        <w:tc>
          <w:tcPr>
            <w:tcW w:type="dxa" w:w="4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Utilities &amp; consumables</w:t>
            </w:r>
          </w:p>
        </w:tc>
        <w:tc>
          <w:tcPr>
            <w:tcW w:type="dxa" w:w="1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(22)</w:t>
            </w:r>
          </w:p>
        </w:tc>
        <w:tc>
          <w:tcPr>
            <w:tcW w:type="dxa" w:w="1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(36)</w:t>
            </w:r>
          </w:p>
        </w:tc>
        <w:tc>
          <w:tcPr>
            <w:tcW w:type="dxa" w:w="13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(30)</w:t>
            </w:r>
          </w:p>
        </w:tc>
      </w:tr>
      <w:tr>
        <w:tc>
          <w:tcPr>
            <w:tcW w:type="dxa" w:w="4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Other store opex</w:t>
            </w:r>
          </w:p>
        </w:tc>
        <w:tc>
          <w:tcPr>
            <w:tcW w:type="dxa" w:w="18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w:t>
            </w:r>
          </w:p>
        </w:tc>
        <w:tc>
          <w:tcPr>
            <w:tcW w:type="dxa" w:w="18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w:t>
            </w:r>
          </w:p>
        </w:tc>
        <w:tc>
          <w:tcPr>
            <w:tcW w:type="dxa" w:w="13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w:t>
            </w:r>
          </w:p>
        </w:tc>
      </w:tr>
      <w:tr>
        <w:tc>
          <w:tcPr>
            <w:tcW w:type="dxa" w:w="4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Store-Level EBITDA</w:t>
            </w:r>
          </w:p>
        </w:tc>
        <w:tc>
          <w:tcPr>
            <w:tcW w:type="dxa" w:w="18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88</w:t>
            </w:r>
          </w:p>
        </w:tc>
        <w:tc>
          <w:tcPr>
            <w:tcW w:type="dxa" w:w="18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169</w:t>
            </w:r>
          </w:p>
        </w:tc>
        <w:tc>
          <w:tcPr>
            <w:tcW w:type="dxa" w:w="13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127</w:t>
            </w:r>
          </w:p>
        </w:tc>
      </w:tr>
      <w:tr>
        <w:tc>
          <w:tcPr>
            <w:tcW w:type="dxa" w:w="4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Store-Level EBITDA Margin %</w:t>
            </w:r>
          </w:p>
        </w:tc>
        <w:tc>
          <w:tcPr>
            <w:tcW w:type="dxa" w:w="18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27.2%</w:t>
            </w:r>
          </w:p>
        </w:tc>
        <w:tc>
          <w:tcPr>
            <w:tcW w:type="dxa" w:w="18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27.6%</w:t>
            </w:r>
          </w:p>
        </w:tc>
        <w:tc>
          <w:tcPr>
            <w:tcW w:type="dxa" w:w="13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26.6%</w:t>
            </w:r>
          </w:p>
        </w:tc>
      </w:tr>
      <w:tr>
        <w:tc>
          <w:tcPr>
            <w:tcW w:type="dxa" w:w="4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Build-out cost</w:t>
            </w:r>
          </w:p>
        </w:tc>
        <w:tc>
          <w:tcPr>
            <w:tcW w:type="dxa" w:w="1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112</w:t>
            </w:r>
          </w:p>
        </w:tc>
        <w:tc>
          <w:tcPr>
            <w:tcW w:type="dxa" w:w="1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186</w:t>
            </w:r>
          </w:p>
        </w:tc>
        <w:tc>
          <w:tcPr>
            <w:tcW w:type="dxa" w:w="13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162</w:t>
            </w:r>
          </w:p>
        </w:tc>
      </w:tr>
      <w:tr>
        <w:tc>
          <w:tcPr>
            <w:tcW w:type="dxa" w:w="4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Payback period (months)</w:t>
            </w:r>
          </w:p>
        </w:tc>
        <w:tc>
          <w:tcPr>
            <w:tcW w:type="dxa" w:w="18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23</w:t>
            </w:r>
          </w:p>
        </w:tc>
        <w:tc>
          <w:tcPr>
            <w:tcW w:type="dxa" w:w="18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w:t>
            </w:r>
          </w:p>
        </w:tc>
        <w:tc>
          <w:tcPr>
            <w:tcW w:type="dxa" w:w="13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22</w:t>
            </w:r>
          </w:p>
        </w:tc>
      </w:tr>
    </w:tbl>
    <w:p>
      <w:pPr>
        <w:pStyle w:val="Heading3"/>
        <w:spacing w:after="80" w:before="160"/>
      </w:pPr>
      <w:r>
        <w:rPr>
          <w:rFonts w:ascii="Calibri" w:cs="Calibri" w:eastAsia="Calibri" w:hAnsi="Calibri"/>
          <w:b/>
          <w:bCs/>
          <w:color w:val="1A1A1A"/>
          <w:sz w:val="24"/>
          <w:szCs w:val="24"/>
        </w:rPr>
        <w:t xml:space="preserve">4.4 D2C E-Commerce</w:t>
      </w:r>
    </w:p>
    <w:p>
      <w:pPr>
        <w:spacing w:after="60" w:before="60"/>
        <w:jc w:val="left"/>
      </w:pPr>
      <w:r>
        <w:rPr>
          <w:rFonts w:ascii="Calibri" w:cs="Calibri" w:eastAsia="Calibri" w:hAnsi="Calibri"/>
          <w:b w:val="false"/>
          <w:bCs w:val="false"/>
          <w:i w:val="false"/>
          <w:iCs w:val="false"/>
          <w:color w:val="1A1A1A"/>
          <w:sz w:val="22"/>
          <w:szCs w:val="22"/>
        </w:rPr>
        <w:t xml:space="preserve">Meridian operates the e-commerce business through its owned site meridiancoffee.in and three marketplace storefronts (Amazon, Flipkart, BigBasket). The owned site contributes 71% of D2C revenue and substantially all of subscription revenue. The product catalogue comprises 38 SKUs across four categories: single-origin coffees, blends, brewing equipment, and gift sets.</w:t>
      </w:r>
    </w:p>
    <w:p>
      <w:pPr>
        <w:spacing w:after="60" w:before="60"/>
        <w:jc w:val="left"/>
      </w:pPr>
      <w:r>
        <w:rPr>
          <w:rFonts w:ascii="Calibri" w:cs="Calibri" w:eastAsia="Calibri" w:hAnsi="Calibri"/>
          <w:b w:val="false"/>
          <w:bCs w:val="false"/>
          <w:i w:val="false"/>
          <w:iCs w:val="false"/>
          <w:color w:val="1A1A1A"/>
          <w:sz w:val="22"/>
          <w:szCs w:val="22"/>
        </w:rPr>
        <w:t xml:space="preserve">The flagship offering is the "Meridian Daily" subscription, launched in March 2022. Subscribers receive a recurring shipment of fresh roasted coffee on a weekly, fortnightly, or monthly cadence. The subscription product contributes 58% of total D2C revenue and exhibits substantially better unit economics than transactional e-commerce.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140"/>
        <w:gridCol w:w="1140"/>
        <w:gridCol w:w="1140"/>
        <w:gridCol w:w="1140"/>
        <w:gridCol w:w="1200"/>
      </w:tblGrid>
      <w:tr>
        <w:trPr>
          <w:tblHeader/>
        </w:trPr>
        <w:tc>
          <w:tcPr>
            <w:tcW w:type="dxa" w:w="36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D2C KPIs</w:t>
            </w:r>
          </w:p>
        </w:tc>
        <w:tc>
          <w:tcPr>
            <w:tcW w:type="dxa" w:w="114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FY21</w:t>
            </w:r>
          </w:p>
        </w:tc>
        <w:tc>
          <w:tcPr>
            <w:tcW w:type="dxa" w:w="114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FY22</w:t>
            </w:r>
          </w:p>
        </w:tc>
        <w:tc>
          <w:tcPr>
            <w:tcW w:type="dxa" w:w="114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FY23</w:t>
            </w:r>
          </w:p>
        </w:tc>
        <w:tc>
          <w:tcPr>
            <w:tcW w:type="dxa" w:w="114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FY24</w:t>
            </w:r>
          </w:p>
        </w:tc>
        <w:tc>
          <w:tcPr>
            <w:tcW w:type="dxa" w:w="12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FY25</w:t>
            </w:r>
          </w:p>
        </w:tc>
      </w:tr>
      <w:tr>
        <w:tc>
          <w:tcPr>
            <w:tcW w:type="dxa" w:w="36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Total D2C revenue (INR cr)</w:t>
            </w:r>
          </w:p>
        </w:tc>
        <w:tc>
          <w:tcPr>
            <w:tcW w:type="dxa" w:w="114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4.8</w:t>
            </w:r>
          </w:p>
        </w:tc>
        <w:tc>
          <w:tcPr>
            <w:tcW w:type="dxa" w:w="114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10.5</w:t>
            </w:r>
          </w:p>
        </w:tc>
        <w:tc>
          <w:tcPr>
            <w:tcW w:type="dxa" w:w="114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20.4</w:t>
            </w:r>
          </w:p>
        </w:tc>
        <w:tc>
          <w:tcPr>
            <w:tcW w:type="dxa" w:w="114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31.9</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39.4</w:t>
            </w:r>
          </w:p>
        </w:tc>
      </w:tr>
      <w:tr>
        <w:tc>
          <w:tcPr>
            <w:tcW w:type="dxa" w:w="36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Owned site % of D2C</w:t>
            </w:r>
          </w:p>
        </w:tc>
        <w:tc>
          <w:tcPr>
            <w:tcW w:type="dxa" w:w="114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62%</w:t>
            </w:r>
          </w:p>
        </w:tc>
        <w:tc>
          <w:tcPr>
            <w:tcW w:type="dxa" w:w="114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65%</w:t>
            </w:r>
          </w:p>
        </w:tc>
        <w:tc>
          <w:tcPr>
            <w:tcW w:type="dxa" w:w="114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68%</w:t>
            </w:r>
          </w:p>
        </w:tc>
        <w:tc>
          <w:tcPr>
            <w:tcW w:type="dxa" w:w="114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70%</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71%</w:t>
            </w:r>
          </w:p>
        </w:tc>
      </w:tr>
      <w:tr>
        <w:tc>
          <w:tcPr>
            <w:tcW w:type="dxa" w:w="36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Subscription % of D2C</w:t>
            </w:r>
          </w:p>
        </w:tc>
        <w:tc>
          <w:tcPr>
            <w:tcW w:type="dxa" w:w="114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14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w:t>
            </w:r>
          </w:p>
        </w:tc>
        <w:tc>
          <w:tcPr>
            <w:tcW w:type="dxa" w:w="114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w:t>
            </w:r>
          </w:p>
        </w:tc>
        <w:tc>
          <w:tcPr>
            <w:tcW w:type="dxa" w:w="114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47%</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58%</w:t>
            </w:r>
          </w:p>
        </w:tc>
      </w:tr>
      <w:tr>
        <w:tc>
          <w:tcPr>
            <w:tcW w:type="dxa" w:w="36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Active subscribers (EoP)</w:t>
            </w:r>
          </w:p>
        </w:tc>
        <w:tc>
          <w:tcPr>
            <w:tcW w:type="dxa" w:w="114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14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1,840</w:t>
            </w:r>
          </w:p>
        </w:tc>
        <w:tc>
          <w:tcPr>
            <w:tcW w:type="dxa" w:w="114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7,580</w:t>
            </w:r>
          </w:p>
        </w:tc>
        <w:tc>
          <w:tcPr>
            <w:tcW w:type="dxa" w:w="114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12,820</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18,420</w:t>
            </w:r>
          </w:p>
        </w:tc>
      </w:tr>
      <w:tr>
        <w:tc>
          <w:tcPr>
            <w:tcW w:type="dxa" w:w="36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Monthly subscriber churn %</w:t>
            </w:r>
          </w:p>
        </w:tc>
        <w:tc>
          <w:tcPr>
            <w:tcW w:type="dxa" w:w="114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14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6.8%</w:t>
            </w:r>
          </w:p>
        </w:tc>
        <w:tc>
          <w:tcPr>
            <w:tcW w:type="dxa" w:w="114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5.4%</w:t>
            </w:r>
          </w:p>
        </w:tc>
        <w:tc>
          <w:tcPr>
            <w:tcW w:type="dxa" w:w="114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4.6%</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4.1%</w:t>
            </w:r>
          </w:p>
        </w:tc>
      </w:tr>
      <w:tr>
        <w:tc>
          <w:tcPr>
            <w:tcW w:type="dxa" w:w="36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Subscriber ARPU (INR/month)</w:t>
            </w:r>
          </w:p>
        </w:tc>
        <w:tc>
          <w:tcPr>
            <w:tcW w:type="dxa" w:w="114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14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1,128</w:t>
            </w:r>
          </w:p>
        </w:tc>
        <w:tc>
          <w:tcPr>
            <w:tcW w:type="dxa" w:w="114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1,194</w:t>
            </w:r>
          </w:p>
        </w:tc>
        <w:tc>
          <w:tcPr>
            <w:tcW w:type="dxa" w:w="114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1,247</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1,290</w:t>
            </w:r>
          </w:p>
        </w:tc>
      </w:tr>
      <w:tr>
        <w:tc>
          <w:tcPr>
            <w:tcW w:type="dxa" w:w="36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LTV/CAC (subscription)</w:t>
            </w:r>
          </w:p>
        </w:tc>
        <w:tc>
          <w:tcPr>
            <w:tcW w:type="dxa" w:w="114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14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2.4x</w:t>
            </w:r>
          </w:p>
        </w:tc>
        <w:tc>
          <w:tcPr>
            <w:tcW w:type="dxa" w:w="114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3.6x</w:t>
            </w:r>
          </w:p>
        </w:tc>
        <w:tc>
          <w:tcPr>
            <w:tcW w:type="dxa" w:w="114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4.7x</w:t>
            </w:r>
          </w:p>
        </w:tc>
        <w:tc>
          <w:tcPr>
            <w:tcW w:type="dxa" w:w="1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5.8x</w:t>
            </w:r>
          </w:p>
        </w:tc>
      </w:tr>
      <w:tr>
        <w:tc>
          <w:tcPr>
            <w:tcW w:type="dxa" w:w="36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Repeat order rate (transactional)</w:t>
            </w:r>
          </w:p>
        </w:tc>
        <w:tc>
          <w:tcPr>
            <w:tcW w:type="dxa" w:w="114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44%</w:t>
            </w:r>
          </w:p>
        </w:tc>
        <w:tc>
          <w:tcPr>
            <w:tcW w:type="dxa" w:w="114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51%</w:t>
            </w:r>
          </w:p>
        </w:tc>
        <w:tc>
          <w:tcPr>
            <w:tcW w:type="dxa" w:w="114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58%</w:t>
            </w:r>
          </w:p>
        </w:tc>
        <w:tc>
          <w:tcPr>
            <w:tcW w:type="dxa" w:w="114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62%</w:t>
            </w:r>
          </w:p>
        </w:tc>
        <w:tc>
          <w:tcPr>
            <w:tcW w:type="dxa" w:w="1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65%</w:t>
            </w:r>
          </w:p>
        </w:tc>
      </w:tr>
    </w:tbl>
    <w:p>
      <w:pPr>
        <w:pStyle w:val="Heading3"/>
        <w:spacing w:after="80" w:before="160"/>
      </w:pPr>
      <w:r>
        <w:rPr>
          <w:rFonts w:ascii="Calibri" w:cs="Calibri" w:eastAsia="Calibri" w:hAnsi="Calibri"/>
          <w:b/>
          <w:bCs/>
          <w:color w:val="1A1A1A"/>
          <w:sz w:val="24"/>
          <w:szCs w:val="24"/>
        </w:rPr>
        <w:t xml:space="preserve">4.5 Wholesale &amp; B2B</w:t>
      </w:r>
    </w:p>
    <w:p>
      <w:pPr>
        <w:spacing w:after="60" w:before="60"/>
        <w:jc w:val="left"/>
      </w:pPr>
      <w:r>
        <w:rPr>
          <w:rFonts w:ascii="Calibri" w:cs="Calibri" w:eastAsia="Calibri" w:hAnsi="Calibri"/>
          <w:b w:val="false"/>
          <w:bCs w:val="false"/>
          <w:i w:val="false"/>
          <w:iCs w:val="false"/>
          <w:color w:val="1A1A1A"/>
          <w:sz w:val="22"/>
          <w:szCs w:val="22"/>
        </w:rPr>
        <w:t xml:space="preserve">The wholesale business supplies green and roasted coffee, branded retail packaging, and on-site barista services to a curated set of premium B2B accounts. The portfolio comprises 94 active accounts as of FY2025, segmented as: 41 boutique hotels and resorts; 28 corporate offices (predominantly technology and financial services); and 25 specialty quick-service restaurants and bakeries.</w:t>
      </w:r>
    </w:p>
    <w:p>
      <w:pPr>
        <w:spacing w:after="60" w:before="60"/>
        <w:jc w:val="left"/>
      </w:pPr>
      <w:r>
        <w:rPr>
          <w:rFonts w:ascii="Calibri" w:cs="Calibri" w:eastAsia="Calibri" w:hAnsi="Calibri"/>
          <w:b w:val="false"/>
          <w:bCs w:val="false"/>
          <w:i w:val="false"/>
          <w:iCs w:val="false"/>
          <w:color w:val="1A1A1A"/>
          <w:sz w:val="22"/>
          <w:szCs w:val="22"/>
        </w:rPr>
        <w:t xml:space="preserve">Average account size has grown from INR 5.5 lakh per annum in FY2021 to INR 30.0 lakh per annum in FY2025, driven by an explicit shift toward larger anchor accounts. The top 10 wholesale accounts contributed 38% of FY2025 wholesale revenue. Contract durations are typically 24–36 months with 60-day notice termination clauses; the renewal rate over the last three financial years has averaged 87%.</w:t>
      </w:r>
    </w:p>
    <w:p>
      <w:pPr>
        <w:pStyle w:val="Heading3"/>
        <w:spacing w:after="80" w:before="160"/>
      </w:pPr>
      <w:r>
        <w:rPr>
          <w:rFonts w:ascii="Calibri" w:cs="Calibri" w:eastAsia="Calibri" w:hAnsi="Calibri"/>
          <w:b/>
          <w:bCs/>
          <w:color w:val="1A1A1A"/>
          <w:sz w:val="24"/>
          <w:szCs w:val="24"/>
        </w:rPr>
        <w:t xml:space="preserve">4.6 Product Mix &amp; Pricing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900"/>
        <w:gridCol w:w="1860"/>
      </w:tblGrid>
      <w:tr>
        <w:trPr>
          <w:tblHeader/>
        </w:trPr>
        <w:tc>
          <w:tcPr>
            <w:tcW w:type="dxa" w:w="36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Product Category</w:t>
            </w:r>
          </w:p>
        </w:tc>
        <w:tc>
          <w:tcPr>
            <w:tcW w:type="dxa" w:w="20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 of FY25 Revenue</w:t>
            </w:r>
          </w:p>
        </w:tc>
        <w:tc>
          <w:tcPr>
            <w:tcW w:type="dxa" w:w="19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Avg Price Point (INR)</w:t>
            </w:r>
          </w:p>
        </w:tc>
        <w:tc>
          <w:tcPr>
            <w:tcW w:type="dxa" w:w="186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Gross Margin %</w:t>
            </w:r>
          </w:p>
        </w:tc>
      </w:tr>
      <w:tr>
        <w:tc>
          <w:tcPr>
            <w:tcW w:type="dxa" w:w="36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Espresso-based beverages</w:t>
            </w:r>
          </w:p>
        </w:tc>
        <w:tc>
          <w:tcPr>
            <w:tcW w:type="dxa" w:w="2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29.8%</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245</w:t>
            </w:r>
          </w:p>
        </w:tc>
        <w:tc>
          <w:tcPr>
            <w:tcW w:type="dxa" w:w="18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78%</w:t>
            </w:r>
          </w:p>
        </w:tc>
      </w:tr>
      <w:tr>
        <w:tc>
          <w:tcPr>
            <w:tcW w:type="dxa" w:w="36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Filter &amp; pour-over beverages</w:t>
            </w:r>
          </w:p>
        </w:tc>
        <w:tc>
          <w:tcPr>
            <w:tcW w:type="dxa" w:w="2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11.2%</w:t>
            </w:r>
          </w:p>
        </w:tc>
        <w:tc>
          <w:tcPr>
            <w:tcW w:type="dxa" w:w="19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295</w:t>
            </w:r>
          </w:p>
        </w:tc>
        <w:tc>
          <w:tcPr>
            <w:tcW w:type="dxa" w:w="18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76%</w:t>
            </w:r>
          </w:p>
        </w:tc>
      </w:tr>
      <w:tr>
        <w:tc>
          <w:tcPr>
            <w:tcW w:type="dxa" w:w="36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Specialty/seasonal beverages</w:t>
            </w:r>
          </w:p>
        </w:tc>
        <w:tc>
          <w:tcPr>
            <w:tcW w:type="dxa" w:w="2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8.1%</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365</w:t>
            </w:r>
          </w:p>
        </w:tc>
        <w:tc>
          <w:tcPr>
            <w:tcW w:type="dxa" w:w="18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72%</w:t>
            </w:r>
          </w:p>
        </w:tc>
      </w:tr>
      <w:tr>
        <w:tc>
          <w:tcPr>
            <w:tcW w:type="dxa" w:w="36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Food &amp; bakery</w:t>
            </w:r>
          </w:p>
        </w:tc>
        <w:tc>
          <w:tcPr>
            <w:tcW w:type="dxa" w:w="2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19.6%</w:t>
            </w:r>
          </w:p>
        </w:tc>
        <w:tc>
          <w:tcPr>
            <w:tcW w:type="dxa" w:w="19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385</w:t>
            </w:r>
          </w:p>
        </w:tc>
        <w:tc>
          <w:tcPr>
            <w:tcW w:type="dxa" w:w="18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61%</w:t>
            </w:r>
          </w:p>
        </w:tc>
      </w:tr>
      <w:tr>
        <w:tc>
          <w:tcPr>
            <w:tcW w:type="dxa" w:w="36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Packaged coffee (retail in-store)</w:t>
            </w:r>
          </w:p>
        </w:tc>
        <w:tc>
          <w:tcPr>
            <w:tcW w:type="dxa" w:w="2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8.3%</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850/250g</w:t>
            </w:r>
          </w:p>
        </w:tc>
        <w:tc>
          <w:tcPr>
            <w:tcW w:type="dxa" w:w="18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58%</w:t>
            </w:r>
          </w:p>
        </w:tc>
      </w:tr>
      <w:tr>
        <w:tc>
          <w:tcPr>
            <w:tcW w:type="dxa" w:w="36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D2C packaged coffee</w:t>
            </w:r>
          </w:p>
        </w:tc>
        <w:tc>
          <w:tcPr>
            <w:tcW w:type="dxa" w:w="2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13.9%</w:t>
            </w:r>
          </w:p>
        </w:tc>
        <w:tc>
          <w:tcPr>
            <w:tcW w:type="dxa" w:w="19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950/250g</w:t>
            </w:r>
          </w:p>
        </w:tc>
        <w:tc>
          <w:tcPr>
            <w:tcW w:type="dxa" w:w="18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62%</w:t>
            </w:r>
          </w:p>
        </w:tc>
      </w:tr>
      <w:tr>
        <w:tc>
          <w:tcPr>
            <w:tcW w:type="dxa" w:w="36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D2C subscription</w:t>
            </w:r>
          </w:p>
        </w:tc>
        <w:tc>
          <w:tcPr>
            <w:tcW w:type="dxa" w:w="2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9.1%</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1,290/month</w:t>
            </w:r>
          </w:p>
        </w:tc>
        <w:tc>
          <w:tcPr>
            <w:tcW w:type="dxa" w:w="18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66%</w:t>
            </w:r>
          </w:p>
        </w:tc>
      </w:tr>
      <w:tr>
        <w:tc>
          <w:tcPr>
            <w:tcW w:type="dxa" w:w="36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Wholesale (roasted)</w:t>
            </w:r>
          </w:p>
        </w:tc>
        <w:tc>
          <w:tcPr>
            <w:tcW w:type="dxa" w:w="2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12.4%</w:t>
            </w:r>
          </w:p>
        </w:tc>
        <w:tc>
          <w:tcPr>
            <w:tcW w:type="dxa" w:w="19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1,800/kg</w:t>
            </w:r>
          </w:p>
        </w:tc>
        <w:tc>
          <w:tcPr>
            <w:tcW w:type="dxa" w:w="18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44%</w:t>
            </w:r>
          </w:p>
        </w:tc>
      </w:tr>
      <w:tr>
        <w:tc>
          <w:tcPr>
            <w:tcW w:type="dxa" w:w="36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Wholesale (other: equipment, services)</w:t>
            </w:r>
          </w:p>
        </w:tc>
        <w:tc>
          <w:tcPr>
            <w:tcW w:type="dxa" w:w="2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8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32%</w:t>
            </w:r>
          </w:p>
        </w:tc>
      </w:tr>
      <w:tr>
        <w:tc>
          <w:tcPr>
            <w:tcW w:type="dxa" w:w="36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Brewing equipment &amp; accessories (D2C)</w:t>
            </w:r>
          </w:p>
        </w:tc>
        <w:tc>
          <w:tcPr>
            <w:tcW w:type="dxa" w:w="2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9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8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r>
    </w:tbl>
    <w:p>
      <w:pPr>
        <w:pStyle w:val="Heading1"/>
        <w:pageBreakBefore/>
        <w:pBdr>
          <w:bottom w:val="single" w:color="C9A227" w:sz="8" w:space="4"/>
        </w:pBdr>
        <w:spacing w:after="180" w:before="240"/>
      </w:pPr>
      <w:r>
        <w:rPr>
          <w:rFonts w:ascii="Calibri" w:cs="Calibri" w:eastAsia="Calibri" w:hAnsi="Calibri"/>
          <w:b/>
          <w:bCs/>
          <w:color w:val="0B2545"/>
          <w:sz w:val="36"/>
          <w:szCs w:val="36"/>
        </w:rPr>
        <w:t xml:space="preserve">5. Industry &amp; Market Landscape</w:t>
      </w:r>
    </w:p>
    <w:p>
      <w:pPr>
        <w:pStyle w:val="Heading3"/>
        <w:spacing w:after="80" w:before="160"/>
      </w:pPr>
      <w:r>
        <w:rPr>
          <w:rFonts w:ascii="Calibri" w:cs="Calibri" w:eastAsia="Calibri" w:hAnsi="Calibri"/>
          <w:b/>
          <w:bCs/>
          <w:color w:val="1A1A1A"/>
          <w:sz w:val="24"/>
          <w:szCs w:val="24"/>
        </w:rPr>
        <w:t xml:space="preserve">5.1 The Indian Coffee Market</w:t>
      </w:r>
    </w:p>
    <w:p>
      <w:pPr>
        <w:spacing w:after="60" w:before="60"/>
        <w:jc w:val="left"/>
      </w:pPr>
      <w:r>
        <w:rPr>
          <w:rFonts w:ascii="Calibri" w:cs="Calibri" w:eastAsia="Calibri" w:hAnsi="Calibri"/>
          <w:b w:val="false"/>
          <w:bCs w:val="false"/>
          <w:i w:val="false"/>
          <w:iCs w:val="false"/>
          <w:color w:val="1A1A1A"/>
          <w:sz w:val="22"/>
          <w:szCs w:val="22"/>
        </w:rPr>
        <w:t xml:space="preserve">India is the seventh largest coffee producer in the world, but historically a tea-dominant consumption market. Coffee consumption per capita stands at approximately 110 grams per year, against 6.4 kilograms in Brazil, 4.7 kilograms in the United States, and 2.3 kilograms in China. This low base has begun to inflect rapidly. Independent industry research (Euromonitor and Redseer, 2025) estimates that the total Indian coffee market grew from INR 8,800 crore in 2018 to INR 21,400 crore in 2025, a 13.5% CAGR, and is projected to reach INR 41,200 crore by 2030.</w:t>
      </w:r>
    </w:p>
    <w:p>
      <w:pPr>
        <w:spacing w:after="60" w:before="60"/>
        <w:jc w:val="left"/>
      </w:pPr>
      <w:r>
        <w:rPr>
          <w:rFonts w:ascii="Calibri" w:cs="Calibri" w:eastAsia="Calibri" w:hAnsi="Calibri"/>
          <w:b w:val="false"/>
          <w:bCs w:val="false"/>
          <w:i w:val="false"/>
          <w:iCs w:val="false"/>
          <w:color w:val="1A1A1A"/>
          <w:sz w:val="22"/>
          <w:szCs w:val="22"/>
        </w:rPr>
        <w:t xml:space="preserve">Within the broader coffee market, the specialty segment—defined as coffee priced at or above the 75th percentile of the cup or bean price distribution—has grown from approximately INR 740 crore in 2018 to INR 4,260 crore in 2025, a 28.4% CAGR. The specialty share of total coffee consumption has risen from 8.4% to 19.9% over the period, driven by urbanisation, rising disposable incomes, and the post-pandemic emergence of the home coffee occasion.</w:t>
      </w:r>
    </w:p>
    <w:p>
      <w:pPr>
        <w:pStyle w:val="Heading3"/>
        <w:spacing w:after="80" w:before="160"/>
      </w:pPr>
      <w:r>
        <w:rPr>
          <w:rFonts w:ascii="Calibri" w:cs="Calibri" w:eastAsia="Calibri" w:hAnsi="Calibri"/>
          <w:b/>
          <w:bCs/>
          <w:color w:val="1A1A1A"/>
          <w:sz w:val="24"/>
          <w:szCs w:val="24"/>
        </w:rPr>
        <w:t xml:space="preserve">5.2 Market Sizing &amp; Segmentation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1100"/>
        <w:gridCol w:w="1100"/>
        <w:gridCol w:w="1100"/>
        <w:gridCol w:w="1100"/>
        <w:gridCol w:w="1100"/>
      </w:tblGrid>
      <w:tr>
        <w:trPr>
          <w:tblHeader/>
        </w:trPr>
        <w:tc>
          <w:tcPr>
            <w:tcW w:type="dxa" w:w="35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Segment</w:t>
            </w:r>
          </w:p>
        </w:tc>
        <w:tc>
          <w:tcPr>
            <w:tcW w:type="dxa" w:w="11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2020</w:t>
            </w:r>
          </w:p>
        </w:tc>
        <w:tc>
          <w:tcPr>
            <w:tcW w:type="dxa" w:w="11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2022</w:t>
            </w:r>
          </w:p>
        </w:tc>
        <w:tc>
          <w:tcPr>
            <w:tcW w:type="dxa" w:w="11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2024</w:t>
            </w:r>
          </w:p>
        </w:tc>
        <w:tc>
          <w:tcPr>
            <w:tcW w:type="dxa" w:w="11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2025E</w:t>
            </w:r>
          </w:p>
        </w:tc>
        <w:tc>
          <w:tcPr>
            <w:tcW w:type="dxa" w:w="11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2030F</w:t>
            </w:r>
          </w:p>
        </w:tc>
        <w:tc>
          <w:tcPr>
            <w:tcW w:type="dxa" w:w="11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5Y CAGR (25-30)</w:t>
            </w:r>
          </w:p>
        </w:tc>
      </w:tr>
      <w:tr>
        <w:tc>
          <w:tcPr>
            <w:tcW w:type="dxa" w:w="35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Out-of-home (cafés &amp; QSR)</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4,200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5,600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8,100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9,800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18,400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13.4%</w:t>
            </w:r>
          </w:p>
        </w:tc>
      </w:tr>
      <w:tr>
        <w:tc>
          <w:tcPr>
            <w:tcW w:type="dxa" w:w="35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At-home premium packaged</w:t>
            </w:r>
          </w:p>
        </w:tc>
        <w:tc>
          <w:tcPr>
            <w:tcW w:type="dxa" w:w="11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1,400</w:t>
            </w:r>
          </w:p>
        </w:tc>
        <w:tc>
          <w:tcPr>
            <w:tcW w:type="dxa" w:w="11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2,200</w:t>
            </w:r>
          </w:p>
        </w:tc>
        <w:tc>
          <w:tcPr>
            <w:tcW w:type="dxa" w:w="11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3,500</w:t>
            </w:r>
          </w:p>
        </w:tc>
        <w:tc>
          <w:tcPr>
            <w:tcW w:type="dxa" w:w="11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4,400</w:t>
            </w:r>
          </w:p>
        </w:tc>
        <w:tc>
          <w:tcPr>
            <w:tcW w:type="dxa" w:w="11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11,200</w:t>
            </w:r>
          </w:p>
        </w:tc>
        <w:tc>
          <w:tcPr>
            <w:tcW w:type="dxa" w:w="11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20.5%</w:t>
            </w:r>
          </w:p>
        </w:tc>
      </w:tr>
      <w:tr>
        <w:tc>
          <w:tcPr>
            <w:tcW w:type="dxa" w:w="35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At-home mass packaged</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5,800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6,400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6,900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7,200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9,100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4.8%</w:t>
            </w:r>
          </w:p>
        </w:tc>
      </w:tr>
      <w:tr>
        <w:tc>
          <w:tcPr>
            <w:tcW w:type="dxa" w:w="35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Wholesale &amp; B2B</w:t>
            </w:r>
          </w:p>
        </w:tc>
        <w:tc>
          <w:tcPr>
            <w:tcW w:type="dxa" w:w="11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1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1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1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1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1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r>
      <w:tr>
        <w:tc>
          <w:tcPr>
            <w:tcW w:type="dxa" w:w="35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Total Indian Coffee Market (INR cr)</w:t>
            </w:r>
          </w:p>
        </w:tc>
        <w:tc>
          <w:tcPr>
            <w:tcW w:type="dxa" w:w="11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11,400</w:t>
            </w:r>
          </w:p>
        </w:tc>
        <w:tc>
          <w:tcPr>
            <w:tcW w:type="dxa" w:w="11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14,200</w:t>
            </w:r>
          </w:p>
        </w:tc>
        <w:tc>
          <w:tcPr>
            <w:tcW w:type="dxa" w:w="11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18,500</w:t>
            </w:r>
          </w:p>
        </w:tc>
        <w:tc>
          <w:tcPr>
            <w:tcW w:type="dxa" w:w="11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21,400</w:t>
            </w:r>
          </w:p>
        </w:tc>
        <w:tc>
          <w:tcPr>
            <w:tcW w:type="dxa" w:w="11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41,200</w:t>
            </w:r>
          </w:p>
        </w:tc>
        <w:tc>
          <w:tcPr>
            <w:tcW w:type="dxa" w:w="11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14.0%</w:t>
            </w:r>
          </w:p>
        </w:tc>
      </w:tr>
      <w:tr>
        <w:tc>
          <w:tcPr>
            <w:tcW w:type="dxa" w:w="35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of which Specialty (INR cr)</w:t>
            </w:r>
          </w:p>
        </w:tc>
        <w:tc>
          <w:tcPr>
            <w:tcW w:type="dxa" w:w="11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1,250</w:t>
            </w:r>
          </w:p>
        </w:tc>
        <w:tc>
          <w:tcPr>
            <w:tcW w:type="dxa" w:w="11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2,150</w:t>
            </w:r>
          </w:p>
        </w:tc>
        <w:tc>
          <w:tcPr>
            <w:tcW w:type="dxa" w:w="11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3,400</w:t>
            </w:r>
          </w:p>
        </w:tc>
        <w:tc>
          <w:tcPr>
            <w:tcW w:type="dxa" w:w="11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4,260</w:t>
            </w:r>
          </w:p>
        </w:tc>
        <w:tc>
          <w:tcPr>
            <w:tcW w:type="dxa" w:w="11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12,800</w:t>
            </w:r>
          </w:p>
        </w:tc>
        <w:tc>
          <w:tcPr>
            <w:tcW w:type="dxa" w:w="11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24.6%</w:t>
            </w:r>
          </w:p>
        </w:tc>
      </w:tr>
      <w:tr>
        <w:tc>
          <w:tcPr>
            <w:tcW w:type="dxa" w:w="35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Specialty share %</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11.0%</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15.1%</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18.4%</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19.9%</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31.1%</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r>
    </w:tbl>
    <w:p>
      <w:pPr>
        <w:pStyle w:val="Heading3"/>
        <w:spacing w:after="80" w:before="160"/>
      </w:pPr>
      <w:r>
        <w:rPr>
          <w:rFonts w:ascii="Calibri" w:cs="Calibri" w:eastAsia="Calibri" w:hAnsi="Calibri"/>
          <w:b/>
          <w:bCs/>
          <w:color w:val="1A1A1A"/>
          <w:sz w:val="24"/>
          <w:szCs w:val="24"/>
        </w:rPr>
        <w:t xml:space="preserve">5.3 Demand Drivers</w:t>
      </w:r>
    </w:p>
    <w:p>
      <w:pPr>
        <w:spacing w:after="60" w:before="60"/>
        <w:jc w:val="left"/>
      </w:pPr>
      <w:r>
        <w:rPr>
          <w:rFonts w:ascii="Calibri" w:cs="Calibri" w:eastAsia="Calibri" w:hAnsi="Calibri"/>
          <w:b w:val="false"/>
          <w:bCs w:val="false"/>
          <w:i w:val="false"/>
          <w:iCs w:val="false"/>
          <w:color w:val="1A1A1A"/>
          <w:sz w:val="22"/>
          <w:szCs w:val="22"/>
        </w:rPr>
        <w:t xml:space="preserve">Several structural and behavioural shifts continue to support category growth in India:</w:t>
      </w:r>
    </w:p>
    <w:p>
      <w:pPr>
        <w:pStyle w:val="ListParagraph"/>
        <w:numPr>
          <w:ilvl w:val="0"/>
          <w:numId w:val="2"/>
        </w:numPr>
        <w:spacing w:after="40" w:before="40"/>
      </w:pPr>
      <w:r>
        <w:rPr>
          <w:rFonts w:ascii="Calibri" w:cs="Calibri" w:eastAsia="Calibri" w:hAnsi="Calibri"/>
          <w:color w:val="1A1A1A"/>
          <w:sz w:val="22"/>
          <w:szCs w:val="22"/>
        </w:rPr>
        <w:t xml:space="preserve">Demographics. Roughly 65% of the Indian population is under the age of 35 and increasingly aspirational about premium consumer brands. Per-capita discretionary income in metro and Tier-1 cities has grown at a 10.4% CAGR over the last five years.</w:t>
      </w:r>
    </w:p>
    <w:p>
      <w:pPr>
        <w:pStyle w:val="ListParagraph"/>
        <w:numPr>
          <w:ilvl w:val="0"/>
          <w:numId w:val="2"/>
        </w:numPr>
        <w:spacing w:after="40" w:before="40"/>
      </w:pPr>
      <w:r>
        <w:rPr>
          <w:rFonts w:ascii="Calibri" w:cs="Calibri" w:eastAsia="Calibri" w:hAnsi="Calibri"/>
          <w:color w:val="1A1A1A"/>
          <w:sz w:val="22"/>
          <w:szCs w:val="22"/>
        </w:rPr>
        <w:t xml:space="preserve">Urbanisation and white-collar formalisation. The expansion of GCCs, technology services, and the broader services economy has concentrated young professionals in metro hubs—the same audience that has historically been most receptive to specialty coffee.</w:t>
      </w:r>
    </w:p>
    <w:p>
      <w:pPr>
        <w:pStyle w:val="ListParagraph"/>
        <w:numPr>
          <w:ilvl w:val="0"/>
          <w:numId w:val="2"/>
        </w:numPr>
        <w:spacing w:after="40" w:before="40"/>
      </w:pPr>
      <w:r>
        <w:rPr>
          <w:rFonts w:ascii="Calibri" w:cs="Calibri" w:eastAsia="Calibri" w:hAnsi="Calibri"/>
          <w:color w:val="1A1A1A"/>
          <w:sz w:val="22"/>
          <w:szCs w:val="22"/>
        </w:rPr>
        <w:t xml:space="preserve">Premiumisation of the home coffee occasion. The pandemic catalysed a permanent shift toward home brewing. Sales of espresso machines, French presses, and pour-over kits in India grew at a 41% CAGR between 2020 and 2024 (Mintel).</w:t>
      </w:r>
    </w:p>
    <w:p>
      <w:pPr>
        <w:pStyle w:val="ListParagraph"/>
        <w:numPr>
          <w:ilvl w:val="0"/>
          <w:numId w:val="2"/>
        </w:numPr>
        <w:spacing w:after="40" w:before="40"/>
      </w:pPr>
      <w:r>
        <w:rPr>
          <w:rFonts w:ascii="Calibri" w:cs="Calibri" w:eastAsia="Calibri" w:hAnsi="Calibri"/>
          <w:color w:val="1A1A1A"/>
          <w:sz w:val="22"/>
          <w:szCs w:val="22"/>
        </w:rPr>
        <w:t xml:space="preserve">Cultural validation through media, hospitality, and travel. Specialty coffee has been increasingly featured in mainstream media, premium hotels, and curated retail formats, normalising the category for first-time entrants.</w:t>
      </w:r>
    </w:p>
    <w:p>
      <w:pPr>
        <w:pStyle w:val="ListParagraph"/>
        <w:numPr>
          <w:ilvl w:val="0"/>
          <w:numId w:val="2"/>
        </w:numPr>
        <w:spacing w:after="40" w:before="40"/>
      </w:pPr>
      <w:r>
        <w:rPr>
          <w:rFonts w:ascii="Calibri" w:cs="Calibri" w:eastAsia="Calibri" w:hAnsi="Calibri"/>
          <w:color w:val="1A1A1A"/>
          <w:sz w:val="22"/>
          <w:szCs w:val="22"/>
        </w:rPr>
        <w:t xml:space="preserve">Direct-to-consumer enablement. India's payments, logistics, and content infrastructure has reduced the cost of building D2C brands, enabling specialty roasters to address customers far beyond their physical café footprint.</w:t>
      </w:r>
    </w:p>
    <w:p>
      <w:pPr>
        <w:pStyle w:val="Heading3"/>
        <w:spacing w:after="80" w:before="160"/>
      </w:pPr>
      <w:r>
        <w:rPr>
          <w:rFonts w:ascii="Calibri" w:cs="Calibri" w:eastAsia="Calibri" w:hAnsi="Calibri"/>
          <w:b/>
          <w:bCs/>
          <w:color w:val="1A1A1A"/>
          <w:sz w:val="24"/>
          <w:szCs w:val="24"/>
        </w:rPr>
        <w:t xml:space="preserve">5.4 Supply-Side Dynamics</w:t>
      </w:r>
    </w:p>
    <w:p>
      <w:pPr>
        <w:spacing w:after="60" w:before="60"/>
        <w:jc w:val="left"/>
      </w:pPr>
      <w:r>
        <w:rPr>
          <w:rFonts w:ascii="Calibri" w:cs="Calibri" w:eastAsia="Calibri" w:hAnsi="Calibri"/>
          <w:b w:val="false"/>
          <w:bCs w:val="false"/>
          <w:i w:val="false"/>
          <w:iCs w:val="false"/>
          <w:color w:val="1A1A1A"/>
          <w:sz w:val="22"/>
          <w:szCs w:val="22"/>
        </w:rPr>
        <w:t xml:space="preserve">India produces approximately 360,000 tonnes of green coffee annually, of which 70% is exported. Karnataka alone accounts for 70% of domestic production, with Coorg, Chikmagalur, and the Baba Budangiri ranges being the most prominent specialty-producing regions. Domestic specialty buyers have increasingly bypassed traditional auction channels in favour of direct trade relationships with estates, locking in supply at premium prices in exchange for quality consistency.</w:t>
      </w:r>
    </w:p>
    <w:p>
      <w:pPr>
        <w:spacing w:after="60" w:before="60"/>
        <w:jc w:val="left"/>
      </w:pPr>
      <w:r>
        <w:rPr>
          <w:rFonts w:ascii="Calibri" w:cs="Calibri" w:eastAsia="Calibri" w:hAnsi="Calibri"/>
          <w:b w:val="false"/>
          <w:bCs w:val="false"/>
          <w:i w:val="false"/>
          <w:iCs w:val="false"/>
          <w:color w:val="1A1A1A"/>
          <w:sz w:val="22"/>
          <w:szCs w:val="22"/>
        </w:rPr>
        <w:t xml:space="preserve">Meridian's direct trade book covers 23 Indian estates and 7 international supply partners (4 in Ethiopia, 3 in Colombia). The Company has multi-year (typically 3-year) volume commitments with 14 of these estates, providing meaningful supply security in a market where weather volatility and labour scarcity have caused frequent disruptions.</w:t>
      </w:r>
    </w:p>
    <w:p>
      <w:pPr>
        <w:pStyle w:val="Heading3"/>
        <w:spacing w:after="80" w:before="160"/>
      </w:pPr>
      <w:r>
        <w:rPr>
          <w:rFonts w:ascii="Calibri" w:cs="Calibri" w:eastAsia="Calibri" w:hAnsi="Calibri"/>
          <w:b/>
          <w:bCs/>
          <w:color w:val="1A1A1A"/>
          <w:sz w:val="24"/>
          <w:szCs w:val="24"/>
        </w:rPr>
        <w:t xml:space="preserve">5.5 Comparable Markets &amp; Benchmarks</w:t>
      </w:r>
    </w:p>
    <w:p>
      <w:pPr>
        <w:spacing w:after="60" w:before="60"/>
        <w:jc w:val="left"/>
      </w:pPr>
      <w:r>
        <w:rPr>
          <w:rFonts w:ascii="Calibri" w:cs="Calibri" w:eastAsia="Calibri" w:hAnsi="Calibri"/>
          <w:b w:val="false"/>
          <w:bCs w:val="false"/>
          <w:i w:val="false"/>
          <w:iCs w:val="false"/>
          <w:color w:val="1A1A1A"/>
          <w:sz w:val="22"/>
          <w:szCs w:val="22"/>
        </w:rPr>
        <w:t xml:space="preserve">Indonesia, Vietnam, and Thailand are widely cited as relevant precedents for India's specialty coffee evolution. In Indonesia, the specialty segment grew from &lt;10% of the total market in 2010 to roughly 28% by 2023. In Vietnam, the share rose from negligible levels in 2012 to around 35% by 2024, driven by domestic chains such as Highlands and Trung Nguyen alongside international entrants. The Indian trajectory appears to mirror these markets with a 5–8 year lag, suggesting meaningful headroom for specialty-focused operators.</w:t>
      </w:r>
    </w:p>
    <w:p>
      <w:pPr>
        <w:pStyle w:val="Heading1"/>
        <w:pageBreakBefore/>
        <w:pBdr>
          <w:bottom w:val="single" w:color="C9A227" w:sz="8" w:space="4"/>
        </w:pBdr>
        <w:spacing w:after="180" w:before="240"/>
      </w:pPr>
      <w:r>
        <w:rPr>
          <w:rFonts w:ascii="Calibri" w:cs="Calibri" w:eastAsia="Calibri" w:hAnsi="Calibri"/>
          <w:b/>
          <w:bCs/>
          <w:color w:val="0B2545"/>
          <w:sz w:val="36"/>
          <w:szCs w:val="36"/>
        </w:rPr>
        <w:t xml:space="preserve">6. Competitive Positioning</w:t>
      </w:r>
    </w:p>
    <w:p>
      <w:pPr>
        <w:pStyle w:val="Heading3"/>
        <w:spacing w:after="80" w:before="160"/>
      </w:pPr>
      <w:r>
        <w:rPr>
          <w:rFonts w:ascii="Calibri" w:cs="Calibri" w:eastAsia="Calibri" w:hAnsi="Calibri"/>
          <w:b/>
          <w:bCs/>
          <w:color w:val="1A1A1A"/>
          <w:sz w:val="24"/>
          <w:szCs w:val="24"/>
        </w:rPr>
        <w:t xml:space="preserve">6.1 Competitive Landscape</w:t>
      </w:r>
    </w:p>
    <w:p>
      <w:pPr>
        <w:spacing w:after="60" w:before="60"/>
        <w:jc w:val="left"/>
      </w:pPr>
      <w:r>
        <w:rPr>
          <w:rFonts w:ascii="Calibri" w:cs="Calibri" w:eastAsia="Calibri" w:hAnsi="Calibri"/>
          <w:b w:val="false"/>
          <w:bCs w:val="false"/>
          <w:i w:val="false"/>
          <w:iCs w:val="false"/>
          <w:color w:val="1A1A1A"/>
          <w:sz w:val="22"/>
          <w:szCs w:val="22"/>
        </w:rPr>
        <w:t xml:space="preserve">The Indian coffee market is fragmented across multiple segments. Meridian competes selectively in the premium and specialty bands; the Company explicitly does not pursue mass-market positioning. Competition can be grouped into five archetypes:</w:t>
      </w:r>
    </w:p>
    <w:p>
      <w:pPr>
        <w:pStyle w:val="ListParagraph"/>
        <w:numPr>
          <w:ilvl w:val="0"/>
          <w:numId w:val="2"/>
        </w:numPr>
        <w:spacing w:after="40" w:before="40"/>
      </w:pPr>
      <w:r>
        <w:rPr>
          <w:rFonts w:ascii="Calibri" w:cs="Calibri" w:eastAsia="Calibri" w:hAnsi="Calibri"/>
          <w:color w:val="1A1A1A"/>
          <w:sz w:val="22"/>
          <w:szCs w:val="22"/>
        </w:rPr>
        <w:t xml:space="preserve">International chains. Starbucks (operated by Tata Starbucks), Costa Coffee, and similar global brands occupy the premium-mainstream segment with footprints concentrated in Tier-1 cities and a broader food-led menu.</w:t>
      </w:r>
    </w:p>
    <w:p>
      <w:pPr>
        <w:pStyle w:val="ListParagraph"/>
        <w:numPr>
          <w:ilvl w:val="0"/>
          <w:numId w:val="2"/>
        </w:numPr>
        <w:spacing w:after="40" w:before="40"/>
      </w:pPr>
      <w:r>
        <w:rPr>
          <w:rFonts w:ascii="Calibri" w:cs="Calibri" w:eastAsia="Calibri" w:hAnsi="Calibri"/>
          <w:color w:val="1A1A1A"/>
          <w:sz w:val="22"/>
          <w:szCs w:val="22"/>
        </w:rPr>
        <w:t xml:space="preserve">Indian premium chains. Blue Tokai, Third Wave Coffee, Subko, and Maverick &amp; Farmer compete most directly with Meridian in the specialty space. Each has differentiated positioning: Blue Tokai with origin breadth and aggressive D2C, Third Wave with a more accessible price point, Subko at the highest price tier with bakery focus, and Maverick &amp; Farmer with a Bengaluru-centric craft positioning.</w:t>
      </w:r>
    </w:p>
    <w:p>
      <w:pPr>
        <w:pStyle w:val="ListParagraph"/>
        <w:numPr>
          <w:ilvl w:val="0"/>
          <w:numId w:val="2"/>
        </w:numPr>
        <w:spacing w:after="40" w:before="40"/>
      </w:pPr>
      <w:r>
        <w:rPr>
          <w:rFonts w:ascii="Calibri" w:cs="Calibri" w:eastAsia="Calibri" w:hAnsi="Calibri"/>
          <w:color w:val="1A1A1A"/>
          <w:sz w:val="22"/>
          <w:szCs w:val="22"/>
        </w:rPr>
        <w:t xml:space="preserve">Indian mainstream chains. Café Coffee Day, Barista, and similar legacy brands operate at lower price points and are predominantly food and beverage destinations rather than coffee-led.</w:t>
      </w:r>
    </w:p>
    <w:p>
      <w:pPr>
        <w:pStyle w:val="ListParagraph"/>
        <w:numPr>
          <w:ilvl w:val="0"/>
          <w:numId w:val="2"/>
        </w:numPr>
        <w:spacing w:after="40" w:before="40"/>
      </w:pPr>
      <w:r>
        <w:rPr>
          <w:rFonts w:ascii="Calibri" w:cs="Calibri" w:eastAsia="Calibri" w:hAnsi="Calibri"/>
          <w:color w:val="1A1A1A"/>
          <w:sz w:val="22"/>
          <w:szCs w:val="22"/>
        </w:rPr>
        <w:t xml:space="preserve">D2C-only specialty brands. Black Baza, Sleepy Owl (which has expanded into RTD), KC Roasters, and a long tail of micro-roasters compete for online specialty share but lack experiential retail anchors.</w:t>
      </w:r>
    </w:p>
    <w:p>
      <w:pPr>
        <w:pStyle w:val="ListParagraph"/>
        <w:numPr>
          <w:ilvl w:val="0"/>
          <w:numId w:val="2"/>
        </w:numPr>
        <w:spacing w:after="40" w:before="40"/>
      </w:pPr>
      <w:r>
        <w:rPr>
          <w:rFonts w:ascii="Calibri" w:cs="Calibri" w:eastAsia="Calibri" w:hAnsi="Calibri"/>
          <w:color w:val="1A1A1A"/>
          <w:sz w:val="22"/>
          <w:szCs w:val="22"/>
        </w:rPr>
        <w:t xml:space="preserve">FMCG packaged coffee. Nestlé (Nescafé), Tata, and ITC's Bru dominate at-home mass coffee but do not meaningfully compete in the specialty segment.</w:t>
      </w:r>
    </w:p>
    <w:p>
      <w:pPr>
        <w:pStyle w:val="Heading3"/>
        <w:spacing w:after="80" w:before="160"/>
      </w:pPr>
      <w:r>
        <w:rPr>
          <w:rFonts w:ascii="Calibri" w:cs="Calibri" w:eastAsia="Calibri" w:hAnsi="Calibri"/>
          <w:b/>
          <w:bCs/>
          <w:color w:val="1A1A1A"/>
          <w:sz w:val="24"/>
          <w:szCs w:val="24"/>
        </w:rPr>
        <w:t xml:space="preserve">6.2 Competitor Benchmarking</w:t>
      </w:r>
    </w:p>
    <w:p>
      <w:pPr>
        <w:spacing w:after="60" w:before="60"/>
        <w:jc w:val="left"/>
      </w:pPr>
      <w:r>
        <w:rPr>
          <w:rFonts w:ascii="Calibri" w:cs="Calibri" w:eastAsia="Calibri" w:hAnsi="Calibri"/>
          <w:b w:val="false"/>
          <w:bCs w:val="false"/>
          <w:i/>
          <w:iCs/>
          <w:color w:val="555555"/>
          <w:sz w:val="22"/>
          <w:szCs w:val="22"/>
        </w:rPr>
        <w:t xml:space="preserve">The table below benchmarks Meridian against the four most directly comparable specialty coffee competitors. Public information has been supplemented with management estimates; figures should be treated as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500"/>
        <w:gridCol w:w="1500"/>
        <w:gridCol w:w="1300"/>
        <w:gridCol w:w="1360"/>
      </w:tblGrid>
      <w:tr>
        <w:trPr>
          <w:tblHeader/>
        </w:trPr>
        <w:tc>
          <w:tcPr>
            <w:tcW w:type="dxa" w:w="24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Metric</w:t>
            </w:r>
          </w:p>
        </w:tc>
        <w:tc>
          <w:tcPr>
            <w:tcW w:type="dxa" w:w="13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Meridian</w:t>
            </w:r>
          </w:p>
        </w:tc>
        <w:tc>
          <w:tcPr>
            <w:tcW w:type="dxa" w:w="15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Blue Tokai</w:t>
            </w:r>
          </w:p>
        </w:tc>
        <w:tc>
          <w:tcPr>
            <w:tcW w:type="dxa" w:w="15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Third Wave</w:t>
            </w:r>
          </w:p>
        </w:tc>
        <w:tc>
          <w:tcPr>
            <w:tcW w:type="dxa" w:w="13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Subko</w:t>
            </w:r>
          </w:p>
        </w:tc>
        <w:tc>
          <w:tcPr>
            <w:tcW w:type="dxa" w:w="136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Maverick</w:t>
            </w:r>
          </w:p>
        </w:tc>
      </w:tr>
      <w:tr>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Cafés (count, India)</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w:t>
            </w:r>
          </w:p>
        </w:tc>
        <w:tc>
          <w:tcPr>
            <w:tcW w:type="dxa" w:w="15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120+</w:t>
            </w:r>
          </w:p>
        </w:tc>
        <w:tc>
          <w:tcPr>
            <w:tcW w:type="dxa" w:w="15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100+</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w:t>
            </w:r>
          </w:p>
        </w:tc>
        <w:tc>
          <w:tcPr>
            <w:tcW w:type="dxa" w:w="13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w:t>
            </w:r>
          </w:p>
        </w:tc>
      </w:tr>
      <w:tr>
        <w:tc>
          <w:tcPr>
            <w:tcW w:type="dxa" w:w="2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Cities</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w:t>
            </w:r>
          </w:p>
        </w:tc>
        <w:tc>
          <w:tcPr>
            <w:tcW w:type="dxa" w:w="15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w:t>
            </w:r>
          </w:p>
        </w:tc>
        <w:tc>
          <w:tcPr>
            <w:tcW w:type="dxa" w:w="15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w:t>
            </w:r>
          </w:p>
        </w:tc>
        <w:tc>
          <w:tcPr>
            <w:tcW w:type="dxa" w:w="13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w:t>
            </w:r>
          </w:p>
        </w:tc>
      </w:tr>
      <w:tr>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Roastery (owned)</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Yes</w:t>
            </w:r>
          </w:p>
        </w:tc>
        <w:tc>
          <w:tcPr>
            <w:tcW w:type="dxa" w:w="15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Yes</w:t>
            </w:r>
          </w:p>
        </w:tc>
        <w:tc>
          <w:tcPr>
            <w:tcW w:type="dxa" w:w="15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Yes</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Yes</w:t>
            </w:r>
          </w:p>
        </w:tc>
        <w:tc>
          <w:tcPr>
            <w:tcW w:type="dxa" w:w="13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Yes</w:t>
            </w:r>
          </w:p>
        </w:tc>
      </w:tr>
      <w:tr>
        <w:tc>
          <w:tcPr>
            <w:tcW w:type="dxa" w:w="2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D2C subscription</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Yes</w:t>
            </w:r>
          </w:p>
        </w:tc>
        <w:tc>
          <w:tcPr>
            <w:tcW w:type="dxa" w:w="15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Yes</w:t>
            </w:r>
          </w:p>
        </w:tc>
        <w:tc>
          <w:tcPr>
            <w:tcW w:type="dxa" w:w="15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Limited</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No</w:t>
            </w:r>
          </w:p>
        </w:tc>
        <w:tc>
          <w:tcPr>
            <w:tcW w:type="dxa" w:w="13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No</w:t>
            </w:r>
          </w:p>
        </w:tc>
      </w:tr>
      <w:tr>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Avg café revenue (INR cr)</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4.8</w:t>
            </w:r>
          </w:p>
        </w:tc>
        <w:tc>
          <w:tcPr>
            <w:tcW w:type="dxa" w:w="15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 (est.)</w:t>
            </w:r>
          </w:p>
        </w:tc>
        <w:tc>
          <w:tcPr>
            <w:tcW w:type="dxa" w:w="15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 (est.)</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5.2 (est.)</w:t>
            </w:r>
          </w:p>
        </w:tc>
        <w:tc>
          <w:tcPr>
            <w:tcW w:type="dxa" w:w="13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3.8 (est.)</w:t>
            </w:r>
          </w:p>
        </w:tc>
      </w:tr>
      <w:tr>
        <w:tc>
          <w:tcPr>
            <w:tcW w:type="dxa" w:w="2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Specialty positioning intensity</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High</w:t>
            </w:r>
          </w:p>
        </w:tc>
        <w:tc>
          <w:tcPr>
            <w:tcW w:type="dxa" w:w="15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Medium-High</w:t>
            </w:r>
          </w:p>
        </w:tc>
        <w:tc>
          <w:tcPr>
            <w:tcW w:type="dxa" w:w="15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Medium</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Very High</w:t>
            </w:r>
          </w:p>
        </w:tc>
        <w:tc>
          <w:tcPr>
            <w:tcW w:type="dxa" w:w="13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High</w:t>
            </w:r>
          </w:p>
        </w:tc>
      </w:tr>
      <w:tr>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Estimated revenue (FY25, INR cr)</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187.6</w:t>
            </w:r>
          </w:p>
        </w:tc>
        <w:tc>
          <w:tcPr>
            <w:tcW w:type="dxa" w:w="15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~310</w:t>
            </w:r>
          </w:p>
        </w:tc>
        <w:tc>
          <w:tcPr>
            <w:tcW w:type="dxa" w:w="15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~270</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~58</w:t>
            </w:r>
          </w:p>
        </w:tc>
        <w:tc>
          <w:tcPr>
            <w:tcW w:type="dxa" w:w="13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~32</w:t>
            </w:r>
          </w:p>
        </w:tc>
      </w:tr>
      <w:tr>
        <w:tc>
          <w:tcPr>
            <w:tcW w:type="dxa" w:w="2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Estimated EBITDA margin</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17.4%</w:t>
            </w:r>
          </w:p>
        </w:tc>
        <w:tc>
          <w:tcPr>
            <w:tcW w:type="dxa" w:w="15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 (est.)</w:t>
            </w:r>
          </w:p>
        </w:tc>
        <w:tc>
          <w:tcPr>
            <w:tcW w:type="dxa" w:w="15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 (est.)</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 (est.)</w:t>
            </w:r>
          </w:p>
        </w:tc>
        <w:tc>
          <w:tcPr>
            <w:tcW w:type="dxa" w:w="13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n/m</w:t>
            </w:r>
          </w:p>
        </w:tc>
      </w:tr>
    </w:tbl>
    <w:p>
      <w:pPr>
        <w:pStyle w:val="Heading3"/>
        <w:spacing w:after="80" w:before="160"/>
      </w:pPr>
      <w:r>
        <w:rPr>
          <w:rFonts w:ascii="Calibri" w:cs="Calibri" w:eastAsia="Calibri" w:hAnsi="Calibri"/>
          <w:b/>
          <w:bCs/>
          <w:color w:val="1A1A1A"/>
          <w:sz w:val="24"/>
          <w:szCs w:val="24"/>
        </w:rPr>
        <w:t xml:space="preserve">6.3 Source of Competitive Advantage</w:t>
      </w:r>
    </w:p>
    <w:p>
      <w:pPr>
        <w:spacing w:after="60" w:before="60"/>
        <w:jc w:val="left"/>
      </w:pPr>
      <w:r>
        <w:rPr>
          <w:rFonts w:ascii="Calibri" w:cs="Calibri" w:eastAsia="Calibri" w:hAnsi="Calibri"/>
          <w:b w:val="false"/>
          <w:bCs w:val="false"/>
          <w:i w:val="false"/>
          <w:iCs w:val="false"/>
          <w:color w:val="1A1A1A"/>
          <w:sz w:val="22"/>
          <w:szCs w:val="22"/>
        </w:rPr>
        <w:t xml:space="preserve">Meridian's defensibility rests on five interlocking advantages, each of which is individually replicable but which together create meaningful switching costs and brand affinity that competitors have struggled to dislodge:</w:t>
      </w:r>
    </w:p>
    <w:p>
      <w:pPr>
        <w:pStyle w:val="ListParagraph"/>
        <w:numPr>
          <w:ilvl w:val="0"/>
          <w:numId w:val="2"/>
        </w:numPr>
        <w:spacing w:after="40" w:before="40"/>
      </w:pPr>
      <w:r>
        <w:rPr>
          <w:rFonts w:ascii="Calibri" w:cs="Calibri" w:eastAsia="Calibri" w:hAnsi="Calibri"/>
          <w:color w:val="1A1A1A"/>
          <w:sz w:val="22"/>
          <w:szCs w:val="22"/>
        </w:rPr>
        <w:t xml:space="preserve">Vertical integration. Owning the roastery allows Meridian to control quality, margin, and product velocity across all three channels. Pure café chains and pure D2C brands lack this lever.</w:t>
      </w:r>
    </w:p>
    <w:p>
      <w:pPr>
        <w:pStyle w:val="ListParagraph"/>
        <w:numPr>
          <w:ilvl w:val="0"/>
          <w:numId w:val="2"/>
        </w:numPr>
        <w:spacing w:after="40" w:before="40"/>
      </w:pPr>
      <w:r>
        <w:rPr>
          <w:rFonts w:ascii="Calibri" w:cs="Calibri" w:eastAsia="Calibri" w:hAnsi="Calibri"/>
          <w:color w:val="1A1A1A"/>
          <w:sz w:val="22"/>
          <w:szCs w:val="22"/>
        </w:rPr>
        <w:t xml:space="preserve">Direct trade origin book. Multi-year contracted supply at 23 estates is a multi-year build that materially affects both COGS and storytelling. New entrants face a 3–5 year disadvantage in replicating the network.</w:t>
      </w:r>
    </w:p>
    <w:p>
      <w:pPr>
        <w:pStyle w:val="ListParagraph"/>
        <w:numPr>
          <w:ilvl w:val="0"/>
          <w:numId w:val="2"/>
        </w:numPr>
        <w:spacing w:after="40" w:before="40"/>
      </w:pPr>
      <w:r>
        <w:rPr>
          <w:rFonts w:ascii="Calibri" w:cs="Calibri" w:eastAsia="Calibri" w:hAnsi="Calibri"/>
          <w:color w:val="1A1A1A"/>
          <w:sz w:val="22"/>
          <w:szCs w:val="22"/>
        </w:rPr>
        <w:t xml:space="preserve">Channel reinforcement. Cafés are the highest-trust customer acquisition channel for D2C; D2C subscriptions back-fill demand on slower café days; wholesale provides scale leverage on green coffee procurement. Few competitors operate all three at scale.</w:t>
      </w:r>
    </w:p>
    <w:p>
      <w:pPr>
        <w:pStyle w:val="ListParagraph"/>
        <w:numPr>
          <w:ilvl w:val="0"/>
          <w:numId w:val="2"/>
        </w:numPr>
        <w:spacing w:after="40" w:before="40"/>
      </w:pPr>
      <w:r>
        <w:rPr>
          <w:rFonts w:ascii="Calibri" w:cs="Calibri" w:eastAsia="Calibri" w:hAnsi="Calibri"/>
          <w:color w:val="1A1A1A"/>
          <w:sz w:val="22"/>
          <w:szCs w:val="22"/>
        </w:rPr>
        <w:t xml:space="preserve">Brand equity. Unprompted brand awareness of 42% in metro target audiences (Kantar, July 2025), substantially above peers excluding the international chains. Editorial coverage in over 60 mainstream and specialty publications since 2020.</w:t>
      </w:r>
    </w:p>
    <w:p>
      <w:pPr>
        <w:pStyle w:val="ListParagraph"/>
        <w:numPr>
          <w:ilvl w:val="0"/>
          <w:numId w:val="2"/>
        </w:numPr>
        <w:spacing w:after="40" w:before="40"/>
      </w:pPr>
      <w:r>
        <w:rPr>
          <w:rFonts w:ascii="Calibri" w:cs="Calibri" w:eastAsia="Calibri" w:hAnsi="Calibri"/>
          <w:color w:val="1A1A1A"/>
          <w:sz w:val="22"/>
          <w:szCs w:val="22"/>
        </w:rPr>
        <w:t xml:space="preserve">Operational discipline. Same-store sales growth has compounded at 11.3% over four years, well above the peer average. Café-level EBITDA margins of 28.4% reflect format engineering, supply chain leverage, and disciplined opex management.</w:t>
      </w:r>
    </w:p>
    <w:p>
      <w:pPr>
        <w:pStyle w:val="Heading3"/>
        <w:spacing w:after="80" w:before="160"/>
      </w:pPr>
      <w:r>
        <w:rPr>
          <w:rFonts w:ascii="Calibri" w:cs="Calibri" w:eastAsia="Calibri" w:hAnsi="Calibri"/>
          <w:b/>
          <w:bCs/>
          <w:color w:val="1A1A1A"/>
          <w:sz w:val="24"/>
          <w:szCs w:val="24"/>
        </w:rPr>
        <w:t xml:space="preserve">6.4 SWOT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Strengths</w:t>
            </w:r>
          </w:p>
        </w:tc>
        <w:tc>
          <w:tcPr>
            <w:tcW w:type="dxa" w:w="468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Weaknesses</w:t>
            </w:r>
          </w:p>
        </w:tc>
      </w:tr>
      <w:tr>
        <w:tc>
          <w:tcPr>
            <w:tcW w:type="dxa" w:w="46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Premium brand equity, vertically integrated, strong unit economics, founder-led category creation, multi-channel reinforcement.</w:t>
            </w:r>
          </w:p>
        </w:tc>
        <w:tc>
          <w:tcPr>
            <w:tcW w:type="dxa" w:w="46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Concentrated geographic footprint (4 cities), under-penetrated in Tier-1 cities outside South India, modest brand awareness outside metros, sub-scale wholesale operation.</w:t>
            </w:r>
          </w:p>
        </w:tc>
      </w:tr>
    </w:tbl>
    <w:p>
      <w:r>
        <w:rPr>
          <w:rFonts w:ascii="Calibri" w:cs="Calibri" w:eastAsia="Calibri" w:hAnsi="Calibri"/>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Opportunities</w:t>
            </w:r>
          </w:p>
        </w:tc>
        <w:tc>
          <w:tcPr>
            <w:tcW w:type="dxa" w:w="468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Threats</w:t>
            </w:r>
          </w:p>
        </w:tc>
      </w:tr>
      <w:tr>
        <w:tc>
          <w:tcPr>
            <w:tcW w:type="dxa" w:w="46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Pan-India expansion, deepening D2C penetration, RTD product launch, B2B QSR partnerships, potential international expansion (UAE/Singapore).</w:t>
            </w:r>
          </w:p>
        </w:tc>
        <w:tc>
          <w:tcPr>
            <w:tcW w:type="dxa" w:w="46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Intensifying competition from well-capitalised peers, green coffee price volatility, real-estate cost pressure in metros, talent competition for skilled baristas.</w:t>
            </w:r>
          </w:p>
        </w:tc>
      </w:tr>
    </w:tbl>
    <w:p>
      <w:pPr>
        <w:pStyle w:val="Heading1"/>
        <w:pageBreakBefore/>
        <w:pBdr>
          <w:bottom w:val="single" w:color="C9A227" w:sz="8" w:space="4"/>
        </w:pBdr>
        <w:spacing w:after="180" w:before="240"/>
      </w:pPr>
      <w:r>
        <w:rPr>
          <w:rFonts w:ascii="Calibri" w:cs="Calibri" w:eastAsia="Calibri" w:hAnsi="Calibri"/>
          <w:b/>
          <w:bCs/>
          <w:color w:val="0B2545"/>
          <w:sz w:val="36"/>
          <w:szCs w:val="36"/>
        </w:rPr>
        <w:t xml:space="preserve">7. Operations &amp; Supply Chain</w:t>
      </w:r>
    </w:p>
    <w:p>
      <w:pPr>
        <w:pStyle w:val="Heading3"/>
        <w:spacing w:after="80" w:before="160"/>
      </w:pPr>
      <w:r>
        <w:rPr>
          <w:rFonts w:ascii="Calibri" w:cs="Calibri" w:eastAsia="Calibri" w:hAnsi="Calibri"/>
          <w:b/>
          <w:bCs/>
          <w:color w:val="1A1A1A"/>
          <w:sz w:val="24"/>
          <w:szCs w:val="24"/>
        </w:rPr>
        <w:t xml:space="preserve">7.1 Sourcing &amp; Green Coffee Procurement</w:t>
      </w:r>
    </w:p>
    <w:p>
      <w:pPr>
        <w:spacing w:after="60" w:before="60"/>
        <w:jc w:val="left"/>
      </w:pPr>
      <w:r>
        <w:rPr>
          <w:rFonts w:ascii="Calibri" w:cs="Calibri" w:eastAsia="Calibri" w:hAnsi="Calibri"/>
          <w:b w:val="false"/>
          <w:bCs w:val="false"/>
          <w:i w:val="false"/>
          <w:iCs w:val="false"/>
          <w:color w:val="1A1A1A"/>
          <w:sz w:val="22"/>
          <w:szCs w:val="22"/>
        </w:rPr>
        <w:t xml:space="preserve">Green coffee is procured through a combination of direct trade contracts with estates and a smaller complement of spot-market purchases. As of FY2025, 78% of green volume was procured through direct trade, up from 51% in FY2021. The Company's sourcing manager and head roaster jointly travel to origin twice each year to evaluate harvests, negotiate volumes, and qualify new lots.</w:t>
      </w:r>
    </w:p>
    <w:p>
      <w:pPr>
        <w:spacing w:after="60" w:before="60"/>
        <w:jc w:val="left"/>
      </w:pPr>
      <w:r>
        <w:rPr>
          <w:rFonts w:ascii="Calibri" w:cs="Calibri" w:eastAsia="Calibri" w:hAnsi="Calibri"/>
          <w:b w:val="false"/>
          <w:bCs w:val="false"/>
          <w:i w:val="false"/>
          <w:iCs w:val="false"/>
          <w:color w:val="1A1A1A"/>
          <w:sz w:val="22"/>
          <w:szCs w:val="22"/>
        </w:rPr>
        <w:t xml:space="preserve">Direct trade contracts are structured in INR for Indian estates and in USD for international supply, with hedging on USD exposure greater than USD 50,000 per quarter. The Company maintains a 90–110 day green coffee inventory at the central roastery, providing a buffer against harvest and shipping disruptions.</w:t>
      </w:r>
    </w:p>
    <w:p>
      <w:pPr>
        <w:pStyle w:val="Heading3"/>
        <w:spacing w:after="80" w:before="160"/>
      </w:pPr>
      <w:r>
        <w:rPr>
          <w:rFonts w:ascii="Calibri" w:cs="Calibri" w:eastAsia="Calibri" w:hAnsi="Calibri"/>
          <w:b/>
          <w:bCs/>
          <w:color w:val="1A1A1A"/>
          <w:sz w:val="24"/>
          <w:szCs w:val="24"/>
        </w:rPr>
        <w:t xml:space="preserve">7.2 Origin &amp; Supplier Concentration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900"/>
        <w:gridCol w:w="2060"/>
      </w:tblGrid>
      <w:tr>
        <w:trPr>
          <w:tblHeader/>
        </w:trPr>
        <w:tc>
          <w:tcPr>
            <w:tcW w:type="dxa" w:w="30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Origin</w:t>
            </w:r>
          </w:p>
        </w:tc>
        <w:tc>
          <w:tcPr>
            <w:tcW w:type="dxa" w:w="24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 of Green Volume (FY25)</w:t>
            </w:r>
          </w:p>
        </w:tc>
        <w:tc>
          <w:tcPr>
            <w:tcW w:type="dxa" w:w="19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Direct Trade %</w:t>
            </w:r>
          </w:p>
        </w:tc>
        <w:tc>
          <w:tcPr>
            <w:tcW w:type="dxa" w:w="206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Avg Price (INR/kg)</w:t>
            </w:r>
          </w:p>
        </w:tc>
      </w:tr>
      <w:tr>
        <w:tc>
          <w:tcPr>
            <w:tcW w:type="dxa" w:w="3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Karnataka (Coorg, Chikmagalur)</w:t>
            </w:r>
          </w:p>
        </w:tc>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44.0%</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92%</w:t>
            </w:r>
          </w:p>
        </w:tc>
        <w:tc>
          <w:tcPr>
            <w:tcW w:type="dxa" w:w="20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640</w:t>
            </w:r>
          </w:p>
        </w:tc>
      </w:tr>
      <w:tr>
        <w:tc>
          <w:tcPr>
            <w:tcW w:type="dxa" w:w="3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Tamil Nadu (Yercaud, Pulneys)</w:t>
            </w:r>
          </w:p>
        </w:tc>
        <w:tc>
          <w:tcPr>
            <w:tcW w:type="dxa" w:w="2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11.0%</w:t>
            </w:r>
          </w:p>
        </w:tc>
        <w:tc>
          <w:tcPr>
            <w:tcW w:type="dxa" w:w="19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85%</w:t>
            </w:r>
          </w:p>
        </w:tc>
        <w:tc>
          <w:tcPr>
            <w:tcW w:type="dxa" w:w="20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590</w:t>
            </w:r>
          </w:p>
        </w:tc>
      </w:tr>
      <w:tr>
        <w:tc>
          <w:tcPr>
            <w:tcW w:type="dxa" w:w="3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Kerala (Wayanad)</w:t>
            </w:r>
          </w:p>
        </w:tc>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8.0%</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78%</w:t>
            </w:r>
          </w:p>
        </w:tc>
        <w:tc>
          <w:tcPr>
            <w:tcW w:type="dxa" w:w="20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560</w:t>
            </w:r>
          </w:p>
        </w:tc>
      </w:tr>
      <w:tr>
        <w:tc>
          <w:tcPr>
            <w:tcW w:type="dxa" w:w="3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Ethiopia (Yirgacheffe, Sidamo, Guji)</w:t>
            </w:r>
          </w:p>
        </w:tc>
        <w:tc>
          <w:tcPr>
            <w:tcW w:type="dxa" w:w="2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21.0%</w:t>
            </w:r>
          </w:p>
        </w:tc>
        <w:tc>
          <w:tcPr>
            <w:tcW w:type="dxa" w:w="19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71%</w:t>
            </w:r>
          </w:p>
        </w:tc>
        <w:tc>
          <w:tcPr>
            <w:tcW w:type="dxa" w:w="20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1,180</w:t>
            </w:r>
          </w:p>
        </w:tc>
      </w:tr>
      <w:tr>
        <w:tc>
          <w:tcPr>
            <w:tcW w:type="dxa" w:w="3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Colombia (Huila, Nariño, Tolima)</w:t>
            </w:r>
          </w:p>
        </w:tc>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12.0%</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65%</w:t>
            </w:r>
          </w:p>
        </w:tc>
        <w:tc>
          <w:tcPr>
            <w:tcW w:type="dxa" w:w="20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990</w:t>
            </w:r>
          </w:p>
        </w:tc>
      </w:tr>
      <w:tr>
        <w:tc>
          <w:tcPr>
            <w:tcW w:type="dxa" w:w="3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Other (spot)</w:t>
            </w:r>
          </w:p>
        </w:tc>
        <w:tc>
          <w:tcPr>
            <w:tcW w:type="dxa" w:w="2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4.0%</w:t>
            </w:r>
          </w:p>
        </w:tc>
        <w:tc>
          <w:tcPr>
            <w:tcW w:type="dxa" w:w="19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w:t>
            </w:r>
          </w:p>
        </w:tc>
        <w:tc>
          <w:tcPr>
            <w:tcW w:type="dxa" w:w="20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Variable</w:t>
            </w:r>
          </w:p>
        </w:tc>
      </w:tr>
      <w:tr>
        <w:tc>
          <w:tcPr>
            <w:tcW w:type="dxa" w:w="3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Total</w:t>
            </w:r>
          </w:p>
        </w:tc>
        <w:tc>
          <w:tcPr>
            <w:tcW w:type="dxa" w:w="2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100.0%</w:t>
            </w:r>
          </w:p>
        </w:tc>
        <w:tc>
          <w:tcPr>
            <w:tcW w:type="dxa" w:w="19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78.0%</w:t>
            </w:r>
          </w:p>
        </w:tc>
        <w:tc>
          <w:tcPr>
            <w:tcW w:type="dxa" w:w="20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w:t>
            </w:r>
          </w:p>
        </w:tc>
      </w:tr>
    </w:tbl>
    <w:p>
      <w:pPr>
        <w:pStyle w:val="Heading3"/>
        <w:spacing w:after="80" w:before="160"/>
      </w:pPr>
      <w:r>
        <w:rPr>
          <w:rFonts w:ascii="Calibri" w:cs="Calibri" w:eastAsia="Calibri" w:hAnsi="Calibri"/>
          <w:b/>
          <w:bCs/>
          <w:color w:val="1A1A1A"/>
          <w:sz w:val="24"/>
          <w:szCs w:val="24"/>
        </w:rPr>
        <w:t xml:space="preserve">7.3 Roasting Operations</w:t>
      </w:r>
    </w:p>
    <w:p>
      <w:pPr>
        <w:spacing w:after="60" w:before="60"/>
        <w:jc w:val="left"/>
      </w:pPr>
      <w:r>
        <w:rPr>
          <w:rFonts w:ascii="Calibri" w:cs="Calibri" w:eastAsia="Calibri" w:hAnsi="Calibri"/>
          <w:b w:val="false"/>
          <w:bCs w:val="false"/>
          <w:i w:val="false"/>
          <w:iCs w:val="false"/>
          <w:color w:val="1A1A1A"/>
          <w:sz w:val="22"/>
          <w:szCs w:val="22"/>
        </w:rPr>
        <w:t xml:space="preserve">Meridian operates a flagship 14,000 sq. ft. roastery in Whitefield, Bengaluru, equipped with two production roasters (45kg/batch capacity each, Probat) and one sample roaster (1kg, Loring). Two regional micro-roasteries in Mumbai (3,200 sq. ft.) and Hyderabad (2,800 sq. ft.) handle local D2C fulfilment and feed cafés in their respective metros to ensure freshness.</w:t>
      </w:r>
    </w:p>
    <w:p>
      <w:pPr>
        <w:spacing w:after="60" w:before="60"/>
        <w:jc w:val="left"/>
      </w:pPr>
      <w:r>
        <w:rPr>
          <w:rFonts w:ascii="Calibri" w:cs="Calibri" w:eastAsia="Calibri" w:hAnsi="Calibri"/>
          <w:b w:val="false"/>
          <w:bCs w:val="false"/>
          <w:i w:val="false"/>
          <w:iCs w:val="false"/>
          <w:color w:val="1A1A1A"/>
          <w:sz w:val="22"/>
          <w:szCs w:val="22"/>
        </w:rPr>
        <w:t xml:space="preserve">Total roasting capacity is currently 380 metric tonnes per annum, against FY2025 production of 258 MT. Utilisation has risen from 41% in FY2021 to 68% in FY2025. Phase II expansion at the Whitefield facility, planned for FY2027, will add a third 60kg production roaster and dedicated cold-brew and concentrate lines, taking capacity to approximately 720 MT per annum.</w:t>
      </w:r>
    </w:p>
    <w:p>
      <w:pPr>
        <w:pStyle w:val="Heading3"/>
        <w:spacing w:after="80" w:before="160"/>
      </w:pPr>
      <w:r>
        <w:rPr>
          <w:rFonts w:ascii="Calibri" w:cs="Calibri" w:eastAsia="Calibri" w:hAnsi="Calibri"/>
          <w:b/>
          <w:bCs/>
          <w:color w:val="1A1A1A"/>
          <w:sz w:val="24"/>
          <w:szCs w:val="24"/>
        </w:rPr>
        <w:t xml:space="preserve">7.4 Distribution &amp; Fulfilment</w:t>
      </w:r>
    </w:p>
    <w:p>
      <w:pPr>
        <w:spacing w:after="60" w:before="60"/>
        <w:jc w:val="left"/>
      </w:pPr>
      <w:r>
        <w:rPr>
          <w:rFonts w:ascii="Calibri" w:cs="Calibri" w:eastAsia="Calibri" w:hAnsi="Calibri"/>
          <w:b w:val="false"/>
          <w:bCs w:val="false"/>
          <w:i w:val="false"/>
          <w:iCs w:val="false"/>
          <w:color w:val="1A1A1A"/>
          <w:sz w:val="22"/>
          <w:szCs w:val="22"/>
        </w:rPr>
        <w:t xml:space="preserve">Café restocking is managed on a hub-and-spoke model: the central roastery supplies all Bengaluru and Pune cafés twice weekly via owned cold-chain delivery vans; the Mumbai and Hyderabad micro-roasteries supply their respective cities. D2C orders are fulfilled from a 6,800 sq. ft. warehouse co-located with the central roastery, integrated with three logistics partners (Delhivery, Shadowfax for tier-1 reach, and BlueDart for premium service tier).</w:t>
      </w:r>
    </w:p>
    <w:p>
      <w:pPr>
        <w:spacing w:after="60" w:before="60"/>
        <w:jc w:val="left"/>
      </w:pPr>
      <w:r>
        <w:rPr>
          <w:rFonts w:ascii="Calibri" w:cs="Calibri" w:eastAsia="Calibri" w:hAnsi="Calibri"/>
          <w:b w:val="false"/>
          <w:bCs w:val="false"/>
          <w:i w:val="false"/>
          <w:iCs w:val="false"/>
          <w:color w:val="1A1A1A"/>
          <w:sz w:val="22"/>
          <w:szCs w:val="22"/>
        </w:rPr>
        <w:t xml:space="preserve">Average D2C order processing time is 14 hours; average door-to-door delivery time is 38 hours within metros and 62 hours nationally. Subscription orders are batched and dispatched on the 1st, 11th, and 21st of each month for predictability.</w:t>
      </w:r>
    </w:p>
    <w:p>
      <w:pPr>
        <w:pStyle w:val="Heading3"/>
        <w:spacing w:after="80" w:before="160"/>
      </w:pPr>
      <w:r>
        <w:rPr>
          <w:rFonts w:ascii="Calibri" w:cs="Calibri" w:eastAsia="Calibri" w:hAnsi="Calibri"/>
          <w:b/>
          <w:bCs/>
          <w:color w:val="1A1A1A"/>
          <w:sz w:val="24"/>
          <w:szCs w:val="24"/>
        </w:rPr>
        <w:t xml:space="preserve">7.5 Technology Stack</w:t>
      </w:r>
    </w:p>
    <w:p>
      <w:pPr>
        <w:pStyle w:val="ListParagraph"/>
        <w:numPr>
          <w:ilvl w:val="0"/>
          <w:numId w:val="2"/>
        </w:numPr>
        <w:spacing w:after="40" w:before="40"/>
      </w:pPr>
      <w:r>
        <w:rPr>
          <w:rFonts w:ascii="Calibri" w:cs="Calibri" w:eastAsia="Calibri" w:hAnsi="Calibri"/>
          <w:color w:val="1A1A1A"/>
          <w:sz w:val="22"/>
          <w:szCs w:val="22"/>
        </w:rPr>
        <w:t xml:space="preserve">Point of sale: Toast (cafés) integrated with custom inventory management.</w:t>
      </w:r>
    </w:p>
    <w:p>
      <w:pPr>
        <w:pStyle w:val="ListParagraph"/>
        <w:numPr>
          <w:ilvl w:val="0"/>
          <w:numId w:val="2"/>
        </w:numPr>
        <w:spacing w:after="40" w:before="40"/>
      </w:pPr>
      <w:r>
        <w:rPr>
          <w:rFonts w:ascii="Calibri" w:cs="Calibri" w:eastAsia="Calibri" w:hAnsi="Calibri"/>
          <w:color w:val="1A1A1A"/>
          <w:sz w:val="22"/>
          <w:szCs w:val="22"/>
        </w:rPr>
        <w:t xml:space="preserve">E-commerce: Shopify Plus with custom subscription stack on Recharge.</w:t>
      </w:r>
    </w:p>
    <w:p>
      <w:pPr>
        <w:pStyle w:val="ListParagraph"/>
        <w:numPr>
          <w:ilvl w:val="0"/>
          <w:numId w:val="2"/>
        </w:numPr>
        <w:spacing w:after="40" w:before="40"/>
      </w:pPr>
      <w:r>
        <w:rPr>
          <w:rFonts w:ascii="Calibri" w:cs="Calibri" w:eastAsia="Calibri" w:hAnsi="Calibri"/>
          <w:color w:val="1A1A1A"/>
          <w:sz w:val="22"/>
          <w:szCs w:val="22"/>
        </w:rPr>
        <w:t xml:space="preserve">ERP &amp; accounting: NetSuite (implemented FY2024).</w:t>
      </w:r>
    </w:p>
    <w:p>
      <w:pPr>
        <w:pStyle w:val="ListParagraph"/>
        <w:numPr>
          <w:ilvl w:val="0"/>
          <w:numId w:val="2"/>
        </w:numPr>
        <w:spacing w:after="40" w:before="40"/>
      </w:pPr>
      <w:r>
        <w:rPr>
          <w:rFonts w:ascii="Calibri" w:cs="Calibri" w:eastAsia="Calibri" w:hAnsi="Calibri"/>
          <w:color w:val="1A1A1A"/>
          <w:sz w:val="22"/>
          <w:szCs w:val="22"/>
        </w:rPr>
        <w:t xml:space="preserve">Customer data platform: Klaviyo for marketing, Segment for unified profiles.</w:t>
      </w:r>
    </w:p>
    <w:p>
      <w:pPr>
        <w:pStyle w:val="ListParagraph"/>
        <w:numPr>
          <w:ilvl w:val="0"/>
          <w:numId w:val="2"/>
        </w:numPr>
        <w:spacing w:after="40" w:before="40"/>
      </w:pPr>
      <w:r>
        <w:rPr>
          <w:rFonts w:ascii="Calibri" w:cs="Calibri" w:eastAsia="Calibri" w:hAnsi="Calibri"/>
          <w:color w:val="1A1A1A"/>
          <w:sz w:val="22"/>
          <w:szCs w:val="22"/>
        </w:rPr>
        <w:t xml:space="preserve">Coffee QC: Cropster for green inventory, roast profile management, and cupping records.</w:t>
      </w:r>
    </w:p>
    <w:p>
      <w:pPr>
        <w:pStyle w:val="ListParagraph"/>
        <w:numPr>
          <w:ilvl w:val="0"/>
          <w:numId w:val="2"/>
        </w:numPr>
        <w:spacing w:after="40" w:before="40"/>
      </w:pPr>
      <w:r>
        <w:rPr>
          <w:rFonts w:ascii="Calibri" w:cs="Calibri" w:eastAsia="Calibri" w:hAnsi="Calibri"/>
          <w:color w:val="1A1A1A"/>
          <w:sz w:val="22"/>
          <w:szCs w:val="22"/>
        </w:rPr>
        <w:t xml:space="preserve">Supply chain: Custom Python-based green coffee inventory and forecasting tool.</w:t>
      </w:r>
    </w:p>
    <w:p>
      <w:pPr>
        <w:pStyle w:val="Heading1"/>
        <w:pageBreakBefore/>
        <w:pBdr>
          <w:bottom w:val="single" w:color="C9A227" w:sz="8" w:space="4"/>
        </w:pBdr>
        <w:spacing w:after="180" w:before="240"/>
      </w:pPr>
      <w:r>
        <w:rPr>
          <w:rFonts w:ascii="Calibri" w:cs="Calibri" w:eastAsia="Calibri" w:hAnsi="Calibri"/>
          <w:b/>
          <w:bCs/>
          <w:color w:val="0B2545"/>
          <w:sz w:val="36"/>
          <w:szCs w:val="36"/>
        </w:rPr>
        <w:t xml:space="preserve">8. Management &amp; Organisation</w:t>
      </w:r>
    </w:p>
    <w:p>
      <w:pPr>
        <w:pStyle w:val="Heading3"/>
        <w:spacing w:after="80" w:before="160"/>
      </w:pPr>
      <w:r>
        <w:rPr>
          <w:rFonts w:ascii="Calibri" w:cs="Calibri" w:eastAsia="Calibri" w:hAnsi="Calibri"/>
          <w:b/>
          <w:bCs/>
          <w:color w:val="1A1A1A"/>
          <w:sz w:val="24"/>
          <w:szCs w:val="24"/>
        </w:rPr>
        <w:t xml:space="preserve">8.1 Founders</w:t>
      </w:r>
    </w:p>
    <w:p>
      <w:pPr>
        <w:spacing w:after="60" w:before="60"/>
        <w:jc w:val="left"/>
      </w:pPr>
      <w:r>
        <w:rPr>
          <w:rFonts w:ascii="Calibri" w:cs="Calibri" w:eastAsia="Calibri" w:hAnsi="Calibri"/>
          <w:b/>
          <w:bCs/>
          <w:i w:val="false"/>
          <w:iCs w:val="false"/>
          <w:color w:val="1A1A1A"/>
          <w:sz w:val="22"/>
          <w:szCs w:val="22"/>
        </w:rPr>
        <w:t xml:space="preserve">Arjun Kothari, Co-Founder &amp; Chief Executive Officer. </w:t>
      </w:r>
      <w:r>
        <w:rPr>
          <w:rFonts w:ascii="Calibri" w:cs="Calibri" w:eastAsia="Calibri" w:hAnsi="Calibri"/>
          <w:b w:val="false"/>
          <w:bCs w:val="false"/>
          <w:i w:val="false"/>
          <w:iCs w:val="false"/>
          <w:color w:val="1A1A1A"/>
          <w:sz w:val="22"/>
          <w:szCs w:val="22"/>
        </w:rPr>
        <w:t xml:space="preserve">Arjun has led the Company since inception and is responsible for strategy, finance, and origin sourcing. Before founding Meridian, he spent eight years at a multinational agricultural commodities trading firm, with postings in Singapore and Geneva covering coffee and cocoa. He holds an MBA from INSEAD and a Bachelor's degree in Economics from St. Stephen's College, Delhi. Arjun is a Q-Grader certified by the Specialty Coffee Association.</w:t>
      </w:r>
    </w:p>
    <w:p>
      <w:pPr>
        <w:spacing w:after="60" w:before="60"/>
        <w:jc w:val="left"/>
      </w:pPr>
      <w:r>
        <w:rPr>
          <w:rFonts w:ascii="Calibri" w:cs="Calibri" w:eastAsia="Calibri" w:hAnsi="Calibri"/>
          <w:b/>
          <w:bCs/>
          <w:i w:val="false"/>
          <w:iCs w:val="false"/>
          <w:color w:val="1A1A1A"/>
          <w:sz w:val="22"/>
          <w:szCs w:val="22"/>
        </w:rPr>
        <w:t xml:space="preserve">Naina Reddy, Co-Founder &amp; Chief Operating Officer. </w:t>
      </w:r>
      <w:r>
        <w:rPr>
          <w:rFonts w:ascii="Calibri" w:cs="Calibri" w:eastAsia="Calibri" w:hAnsi="Calibri"/>
          <w:b w:val="false"/>
          <w:bCs w:val="false"/>
          <w:i w:val="false"/>
          <w:iCs w:val="false"/>
          <w:color w:val="1A1A1A"/>
          <w:sz w:val="22"/>
          <w:szCs w:val="22"/>
        </w:rPr>
        <w:t xml:space="preserve">Naina oversees retail operations, brand, and people. She spent six years prior to Meridian in operations and food &amp; beverage roles at two leading luxury hotel groups, including a posting in Bali managing a flagship resort F&amp;B program. She holds a Bachelor's degree in Hospitality Management from the Welcomgroup Graduate School of Hotel Administration, Manipal.</w:t>
      </w:r>
    </w:p>
    <w:p>
      <w:pPr>
        <w:pStyle w:val="Heading3"/>
        <w:spacing w:after="80" w:before="160"/>
      </w:pPr>
      <w:r>
        <w:rPr>
          <w:rFonts w:ascii="Calibri" w:cs="Calibri" w:eastAsia="Calibri" w:hAnsi="Calibri"/>
          <w:b/>
          <w:bCs/>
          <w:color w:val="1A1A1A"/>
          <w:sz w:val="24"/>
          <w:szCs w:val="24"/>
        </w:rPr>
        <w:t xml:space="preserve">8.2 Senior Leadership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100"/>
        <w:gridCol w:w="4160"/>
      </w:tblGrid>
      <w:tr>
        <w:trPr>
          <w:tblHeader/>
        </w:trPr>
        <w:tc>
          <w:tcPr>
            <w:tcW w:type="dxa" w:w="19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Name</w:t>
            </w:r>
          </w:p>
        </w:tc>
        <w:tc>
          <w:tcPr>
            <w:tcW w:type="dxa" w:w="22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Role</w:t>
            </w:r>
          </w:p>
        </w:tc>
        <w:tc>
          <w:tcPr>
            <w:tcW w:type="dxa" w:w="11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Tenure</w:t>
            </w:r>
          </w:p>
        </w:tc>
        <w:tc>
          <w:tcPr>
            <w:tcW w:type="dxa" w:w="416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Prior Experience</w:t>
            </w:r>
          </w:p>
        </w:tc>
      </w:tr>
      <w:tr>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Vikram Iyer</w:t>
            </w:r>
          </w:p>
        </w:tc>
        <w:tc>
          <w:tcPr>
            <w:tcW w:type="dxa" w:w="2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Chief Financial Officer</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3.4 yrs</w:t>
            </w:r>
          </w:p>
        </w:tc>
        <w:tc>
          <w:tcPr>
            <w:tcW w:type="dxa" w:w="41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Tata Starbucks (Finance Head, North), Big 4 audit</w:t>
            </w:r>
          </w:p>
        </w:tc>
      </w:tr>
      <w:tr>
        <w:tc>
          <w:tcPr>
            <w:tcW w:type="dxa" w:w="19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Priya Menon</w:t>
            </w:r>
          </w:p>
        </w:tc>
        <w:tc>
          <w:tcPr>
            <w:tcW w:type="dxa" w:w="2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Head of Coffee &amp; Roasting</w:t>
            </w:r>
          </w:p>
        </w:tc>
        <w:tc>
          <w:tcPr>
            <w:tcW w:type="dxa" w:w="11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4.8 yrs</w:t>
            </w:r>
          </w:p>
        </w:tc>
        <w:tc>
          <w:tcPr>
            <w:tcW w:type="dxa" w:w="41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Counter Culture Coffee (USA), independent consultant</w:t>
            </w:r>
          </w:p>
        </w:tc>
      </w:tr>
      <w:tr>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Rohit Bansal</w:t>
            </w:r>
          </w:p>
        </w:tc>
        <w:tc>
          <w:tcPr>
            <w:tcW w:type="dxa" w:w="2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VP, Retail Operations</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 yrs</w:t>
            </w:r>
          </w:p>
        </w:tc>
        <w:tc>
          <w:tcPr>
            <w:tcW w:type="dxa" w:w="41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Theobroma (Regional Ops), Costa Coffee India</w:t>
            </w:r>
          </w:p>
        </w:tc>
      </w:tr>
      <w:tr>
        <w:tc>
          <w:tcPr>
            <w:tcW w:type="dxa" w:w="19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Anjali Patel</w:t>
            </w:r>
          </w:p>
        </w:tc>
        <w:tc>
          <w:tcPr>
            <w:tcW w:type="dxa" w:w="2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VP, D2C &amp; Marketing</w:t>
            </w:r>
          </w:p>
        </w:tc>
        <w:tc>
          <w:tcPr>
            <w:tcW w:type="dxa" w:w="11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 yrs</w:t>
            </w:r>
          </w:p>
        </w:tc>
        <w:tc>
          <w:tcPr>
            <w:tcW w:type="dxa" w:w="41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boAt Lifestyle, Beardo (digital lead)</w:t>
            </w:r>
          </w:p>
        </w:tc>
      </w:tr>
      <w:tr>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Karthik Rao</w:t>
            </w:r>
          </w:p>
        </w:tc>
        <w:tc>
          <w:tcPr>
            <w:tcW w:type="dxa" w:w="2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Head of Wholesale &amp; B2B</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 yrs</w:t>
            </w:r>
          </w:p>
        </w:tc>
        <w:tc>
          <w:tcPr>
            <w:tcW w:type="dxa" w:w="41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Lavazza India, IHCL F&amp;B (procurement)</w:t>
            </w:r>
          </w:p>
        </w:tc>
      </w:tr>
      <w:tr>
        <w:tc>
          <w:tcPr>
            <w:tcW w:type="dxa" w:w="19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Sneha Joshi</w:t>
            </w:r>
          </w:p>
        </w:tc>
        <w:tc>
          <w:tcPr>
            <w:tcW w:type="dxa" w:w="2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Head of People</w:t>
            </w:r>
          </w:p>
        </w:tc>
        <w:tc>
          <w:tcPr>
            <w:tcW w:type="dxa" w:w="11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2.3 yrs</w:t>
            </w:r>
          </w:p>
        </w:tc>
        <w:tc>
          <w:tcPr>
            <w:tcW w:type="dxa" w:w="41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Zomato, Swiggy (HR business partner)</w:t>
            </w:r>
          </w:p>
        </w:tc>
      </w:tr>
      <w:tr>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Manoj Krishnan</w:t>
            </w:r>
          </w:p>
        </w:tc>
        <w:tc>
          <w:tcPr>
            <w:tcW w:type="dxa" w:w="2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Head of Supply Chain</w:t>
            </w:r>
          </w:p>
        </w:tc>
        <w:tc>
          <w:tcPr>
            <w:tcW w:type="dxa" w:w="11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 yrs</w:t>
            </w:r>
          </w:p>
        </w:tc>
        <w:tc>
          <w:tcPr>
            <w:tcW w:type="dxa" w:w="41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ITC Foods, Big Basket</w:t>
            </w:r>
          </w:p>
        </w:tc>
      </w:tr>
      <w:tr>
        <w:tc>
          <w:tcPr>
            <w:tcW w:type="dxa" w:w="19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Aditya Sharma</w:t>
            </w:r>
          </w:p>
        </w:tc>
        <w:tc>
          <w:tcPr>
            <w:tcW w:type="dxa" w:w="2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Head of Technology</w:t>
            </w:r>
          </w:p>
        </w:tc>
        <w:tc>
          <w:tcPr>
            <w:tcW w:type="dxa" w:w="11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 yrs</w:t>
            </w:r>
          </w:p>
        </w:tc>
        <w:tc>
          <w:tcPr>
            <w:tcW w:type="dxa" w:w="41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Razorpay, multiple consumer startups</w:t>
            </w:r>
          </w:p>
        </w:tc>
      </w:tr>
    </w:tbl>
    <w:p>
      <w:pPr>
        <w:pStyle w:val="Heading3"/>
        <w:spacing w:after="80" w:before="160"/>
      </w:pPr>
      <w:r>
        <w:rPr>
          <w:rFonts w:ascii="Calibri" w:cs="Calibri" w:eastAsia="Calibri" w:hAnsi="Calibri"/>
          <w:b/>
          <w:bCs/>
          <w:color w:val="1A1A1A"/>
          <w:sz w:val="24"/>
          <w:szCs w:val="24"/>
        </w:rPr>
        <w:t xml:space="preserve">8.3 Organisation Design</w:t>
      </w:r>
    </w:p>
    <w:p>
      <w:pPr>
        <w:spacing w:after="60" w:before="60"/>
        <w:jc w:val="left"/>
      </w:pPr>
      <w:r>
        <w:rPr>
          <w:rFonts w:ascii="Calibri" w:cs="Calibri" w:eastAsia="Calibri" w:hAnsi="Calibri"/>
          <w:b w:val="false"/>
          <w:bCs w:val="false"/>
          <w:i w:val="false"/>
          <w:iCs w:val="false"/>
          <w:color w:val="1A1A1A"/>
          <w:sz w:val="22"/>
          <w:szCs w:val="22"/>
        </w:rPr>
        <w:t xml:space="preserve">Meridian operates as a functional organisation with three primary business units: Retail (cafés), D2C (e-commerce and subscription), and Wholesale (B2B). Each business unit is led by a P&amp;L-accountable VP, with shared services across Finance, People, Technology, Supply Chain, and Coffee Quality reporting into the CEO and COO.</w:t>
      </w:r>
    </w:p>
    <w:p>
      <w:pPr>
        <w:spacing w:after="60" w:before="60"/>
        <w:jc w:val="left"/>
      </w:pPr>
      <w:r>
        <w:rPr>
          <w:rFonts w:ascii="Calibri" w:cs="Calibri" w:eastAsia="Calibri" w:hAnsi="Calibri"/>
          <w:b w:val="false"/>
          <w:bCs w:val="false"/>
          <w:i w:val="false"/>
          <w:iCs w:val="false"/>
          <w:color w:val="1A1A1A"/>
          <w:sz w:val="22"/>
          <w:szCs w:val="22"/>
        </w:rPr>
        <w:t xml:space="preserve">The Company employs 397 full-time equivalent staff as of January 2026, distributed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300"/>
        <w:gridCol w:w="1900"/>
        <w:gridCol w:w="2460"/>
      </w:tblGrid>
      <w:tr>
        <w:trPr>
          <w:tblHeader/>
        </w:trPr>
        <w:tc>
          <w:tcPr>
            <w:tcW w:type="dxa" w:w="37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Function</w:t>
            </w:r>
          </w:p>
        </w:tc>
        <w:tc>
          <w:tcPr>
            <w:tcW w:type="dxa" w:w="13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FTE</w:t>
            </w:r>
          </w:p>
        </w:tc>
        <w:tc>
          <w:tcPr>
            <w:tcW w:type="dxa" w:w="19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 of Total</w:t>
            </w:r>
          </w:p>
        </w:tc>
        <w:tc>
          <w:tcPr>
            <w:tcW w:type="dxa" w:w="246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Median Tenure</w:t>
            </w:r>
          </w:p>
        </w:tc>
      </w:tr>
      <w:tr>
        <w:tc>
          <w:tcPr>
            <w:tcW w:type="dxa" w:w="3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Café operations (baristas, store managers)</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278</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70.0%</w:t>
            </w:r>
          </w:p>
        </w:tc>
        <w:tc>
          <w:tcPr>
            <w:tcW w:type="dxa" w:w="24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 yrs</w:t>
            </w:r>
          </w:p>
        </w:tc>
      </w:tr>
      <w:tr>
        <w:tc>
          <w:tcPr>
            <w:tcW w:type="dxa" w:w="3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Roastery &amp; supply chain</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w:t>
            </w:r>
          </w:p>
        </w:tc>
        <w:tc>
          <w:tcPr>
            <w:tcW w:type="dxa" w:w="19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7.8%</w:t>
            </w:r>
          </w:p>
        </w:tc>
        <w:tc>
          <w:tcPr>
            <w:tcW w:type="dxa" w:w="24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 yrs</w:t>
            </w:r>
          </w:p>
        </w:tc>
      </w:tr>
      <w:tr>
        <w:tc>
          <w:tcPr>
            <w:tcW w:type="dxa" w:w="3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Warehouse &amp; D2C fulfilment</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22</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5.5%</w:t>
            </w:r>
          </w:p>
        </w:tc>
        <w:tc>
          <w:tcPr>
            <w:tcW w:type="dxa" w:w="24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 yrs</w:t>
            </w:r>
          </w:p>
        </w:tc>
      </w:tr>
      <w:tr>
        <w:tc>
          <w:tcPr>
            <w:tcW w:type="dxa" w:w="3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Marketing, brand &amp; D2C tech</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w:t>
            </w:r>
          </w:p>
        </w:tc>
        <w:tc>
          <w:tcPr>
            <w:tcW w:type="dxa" w:w="19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4.5%</w:t>
            </w:r>
          </w:p>
        </w:tc>
        <w:tc>
          <w:tcPr>
            <w:tcW w:type="dxa" w:w="24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 yrs</w:t>
            </w:r>
          </w:p>
        </w:tc>
      </w:tr>
      <w:tr>
        <w:tc>
          <w:tcPr>
            <w:tcW w:type="dxa" w:w="3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Wholesale &amp; B2B</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w:t>
            </w:r>
          </w:p>
        </w:tc>
        <w:tc>
          <w:tcPr>
            <w:tcW w:type="dxa" w:w="24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1.7 yrs</w:t>
            </w:r>
          </w:p>
        </w:tc>
      </w:tr>
      <w:tr>
        <w:tc>
          <w:tcPr>
            <w:tcW w:type="dxa" w:w="3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Finance, HR, IT, admin</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w:t>
            </w:r>
          </w:p>
        </w:tc>
        <w:tc>
          <w:tcPr>
            <w:tcW w:type="dxa" w:w="19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6.0%</w:t>
            </w:r>
          </w:p>
        </w:tc>
        <w:tc>
          <w:tcPr>
            <w:tcW w:type="dxa" w:w="24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2.2 yrs</w:t>
            </w:r>
          </w:p>
        </w:tc>
      </w:tr>
      <w:tr>
        <w:tc>
          <w:tcPr>
            <w:tcW w:type="dxa" w:w="3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Senior leadership &amp; founders</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3.3%</w:t>
            </w:r>
          </w:p>
        </w:tc>
        <w:tc>
          <w:tcPr>
            <w:tcW w:type="dxa" w:w="24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 yrs</w:t>
            </w:r>
          </w:p>
        </w:tc>
      </w:tr>
      <w:tr>
        <w:tc>
          <w:tcPr>
            <w:tcW w:type="dxa" w:w="3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Total</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397</w:t>
            </w:r>
          </w:p>
        </w:tc>
        <w:tc>
          <w:tcPr>
            <w:tcW w:type="dxa" w:w="19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100.0%</w:t>
            </w:r>
          </w:p>
        </w:tc>
        <w:tc>
          <w:tcPr>
            <w:tcW w:type="dxa" w:w="24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w:t>
            </w:r>
          </w:p>
        </w:tc>
      </w:tr>
    </w:tbl>
    <w:p>
      <w:pPr>
        <w:pStyle w:val="Heading3"/>
        <w:spacing w:after="80" w:before="160"/>
      </w:pPr>
      <w:r>
        <w:rPr>
          <w:rFonts w:ascii="Calibri" w:cs="Calibri" w:eastAsia="Calibri" w:hAnsi="Calibri"/>
          <w:b/>
          <w:bCs/>
          <w:color w:val="1A1A1A"/>
          <w:sz w:val="24"/>
          <w:szCs w:val="24"/>
        </w:rPr>
        <w:t xml:space="preserve">8.4 Talent Practices &amp; ESOP</w:t>
      </w:r>
    </w:p>
    <w:p>
      <w:pPr>
        <w:spacing w:after="60" w:before="60"/>
        <w:jc w:val="left"/>
      </w:pPr>
      <w:r>
        <w:rPr>
          <w:rFonts w:ascii="Calibri" w:cs="Calibri" w:eastAsia="Calibri" w:hAnsi="Calibri"/>
          <w:b w:val="false"/>
          <w:bCs w:val="false"/>
          <w:i w:val="false"/>
          <w:iCs w:val="false"/>
          <w:color w:val="1A1A1A"/>
          <w:sz w:val="22"/>
          <w:szCs w:val="22"/>
        </w:rPr>
        <w:t xml:space="preserve">Meridian operates a structured ESOP program covering 38 current employees, with a total pool of 7.4% on a fully diluted basis. The plan vests over 4 years with a 1-year cliff, and includes both performance and time-vesting tranches. The Company runs a formal performance review cycle twice annually and maintains a documented career ladder for café and roastery roles.</w:t>
      </w:r>
    </w:p>
    <w:p>
      <w:pPr>
        <w:spacing w:after="60" w:before="60"/>
        <w:jc w:val="left"/>
      </w:pPr>
      <w:r>
        <w:rPr>
          <w:rFonts w:ascii="Calibri" w:cs="Calibri" w:eastAsia="Calibri" w:hAnsi="Calibri"/>
          <w:b w:val="false"/>
          <w:bCs w:val="false"/>
          <w:i w:val="false"/>
          <w:iCs w:val="false"/>
          <w:color w:val="1A1A1A"/>
          <w:sz w:val="22"/>
          <w:szCs w:val="22"/>
        </w:rPr>
        <w:t xml:space="preserve">Voluntary attrition for FY2025 was 28.4% (cafés) and 14.1% (corporate), against industry benchmarks of 38–45% (cafés) and 22–25% (corporate). The barista certification program, run as a 90-day in-house curriculum, has graduated 412 staff since launch in FY2022.</w:t>
      </w:r>
    </w:p>
    <w:p>
      <w:pPr>
        <w:pStyle w:val="Heading1"/>
        <w:pageBreakBefore/>
        <w:pBdr>
          <w:bottom w:val="single" w:color="C9A227" w:sz="8" w:space="4"/>
        </w:pBdr>
        <w:spacing w:after="180" w:before="240"/>
      </w:pPr>
      <w:r>
        <w:rPr>
          <w:rFonts w:ascii="Calibri" w:cs="Calibri" w:eastAsia="Calibri" w:hAnsi="Calibri"/>
          <w:b/>
          <w:bCs/>
          <w:color w:val="0B2545"/>
          <w:sz w:val="36"/>
          <w:szCs w:val="36"/>
        </w:rPr>
        <w:t xml:space="preserve">9. Historical Financial Performance</w:t>
      </w:r>
    </w:p>
    <w:p>
      <w:pPr>
        <w:spacing w:after="60" w:before="60"/>
        <w:jc w:val="left"/>
      </w:pPr>
      <w:r>
        <w:rPr>
          <w:rFonts w:ascii="Calibri" w:cs="Calibri" w:eastAsia="Calibri" w:hAnsi="Calibri"/>
          <w:b w:val="false"/>
          <w:bCs w:val="false"/>
          <w:i/>
          <w:iCs/>
          <w:color w:val="555555"/>
          <w:sz w:val="22"/>
          <w:szCs w:val="22"/>
        </w:rPr>
        <w:t xml:space="preserve">This section presents Meridian's audited historical financial performance for the five fiscal years ending March 31, 2025 (FY2021 through FY2025). All figures are in INR crore unless otherwise stated. Audits for FY2021 through FY2024 were performed by Walker Chandiok &amp; Co. LLP; FY2025 was audited by Deloitte Haskins &amp; Sells LLP, appointed in connection with the planned process. No material adverse findings have been raised during any audit cycle.</w:t>
      </w:r>
    </w:p>
    <w:p>
      <w:pPr>
        <w:pStyle w:val="Heading3"/>
        <w:spacing w:after="80" w:before="160"/>
      </w:pPr>
      <w:r>
        <w:rPr>
          <w:rFonts w:ascii="Calibri" w:cs="Calibri" w:eastAsia="Calibri" w:hAnsi="Calibri"/>
          <w:b/>
          <w:bCs/>
          <w:color w:val="1A1A1A"/>
          <w:sz w:val="24"/>
          <w:szCs w:val="24"/>
        </w:rPr>
        <w:t xml:space="preserve">9.1 Income Statement (Audited)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72"/>
        <w:gridCol w:w="1272"/>
        <w:gridCol w:w="1272"/>
        <w:gridCol w:w="1272"/>
        <w:gridCol w:w="1272"/>
      </w:tblGrid>
      <w:tr>
        <w:trPr>
          <w:tblHeader/>
        </w:trPr>
        <w:tc>
          <w:tcPr>
            <w:tcW w:type="dxa" w:w="30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INR cr</w:t>
            </w:r>
          </w:p>
        </w:tc>
        <w:tc>
          <w:tcPr>
            <w:tcW w:type="dxa" w:w="1272"/>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FY2021A</w:t>
            </w:r>
          </w:p>
        </w:tc>
        <w:tc>
          <w:tcPr>
            <w:tcW w:type="dxa" w:w="1272"/>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FY2022A</w:t>
            </w:r>
          </w:p>
        </w:tc>
        <w:tc>
          <w:tcPr>
            <w:tcW w:type="dxa" w:w="1272"/>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FY2023A</w:t>
            </w:r>
          </w:p>
        </w:tc>
        <w:tc>
          <w:tcPr>
            <w:tcW w:type="dxa" w:w="1272"/>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FY2024A</w:t>
            </w:r>
          </w:p>
        </w:tc>
        <w:tc>
          <w:tcPr>
            <w:tcW w:type="dxa" w:w="1272"/>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FY2025A</w:t>
            </w:r>
          </w:p>
        </w:tc>
      </w:tr>
      <w:tr>
        <w:tc>
          <w:tcPr>
            <w:tcW w:type="dxa" w:w="3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Revenue from operations</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41.2</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62.8</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94.7</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138.4</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187.6</w:t>
            </w:r>
          </w:p>
        </w:tc>
      </w:tr>
      <w:tr>
        <w:tc>
          <w:tcPr>
            <w:tcW w:type="dxa" w:w="3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  Retail Cafés</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31.4</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44.6</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62.7</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89.8</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120.0</w:t>
            </w:r>
          </w:p>
        </w:tc>
      </w:tr>
      <w:tr>
        <w:tc>
          <w:tcPr>
            <w:tcW w:type="dxa" w:w="3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  D2C E-commerce</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4.8</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10.5</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20.4</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31.9</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39.4</w:t>
            </w:r>
          </w:p>
        </w:tc>
      </w:tr>
      <w:tr>
        <w:tc>
          <w:tcPr>
            <w:tcW w:type="dxa" w:w="3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  Wholesale</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5.0</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7.7</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11.6</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16.7</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28.2</w:t>
            </w:r>
          </w:p>
        </w:tc>
      </w:tr>
      <w:tr>
        <w:tc>
          <w:tcPr>
            <w:tcW w:type="dxa" w:w="3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YoY Growth %</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52.4%</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50.8%</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46.1%</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35.5%</w:t>
            </w:r>
          </w:p>
        </w:tc>
      </w:tr>
      <w:tr>
        <w:tc>
          <w:tcPr>
            <w:tcW w:type="dxa" w:w="3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Cost of goods sold</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(18.1)</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(25.8)</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(36.7)</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(51.7)</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(66.6)</w:t>
            </w:r>
          </w:p>
        </w:tc>
      </w:tr>
      <w:tr>
        <w:tc>
          <w:tcPr>
            <w:tcW w:type="dxa" w:w="3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bCs/>
                <w:i w:val="false"/>
                <w:iCs w:val="false"/>
                <w:color w:val="1A1A1A"/>
                <w:sz w:val="20"/>
                <w:szCs w:val="20"/>
              </w:rPr>
              <w:t xml:space="preserve">Gross Profit</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23.1</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37.0</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58.0</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86.7</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121.0</w:t>
            </w:r>
          </w:p>
        </w:tc>
      </w:tr>
      <w:tr>
        <w:tc>
          <w:tcPr>
            <w:tcW w:type="dxa" w:w="3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Gross Margin %</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56.1%</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58.9%</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61.2%</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62.6%</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64.5%</w:t>
            </w:r>
          </w:p>
        </w:tc>
      </w:tr>
      <w:tr>
        <w:tc>
          <w:tcPr>
            <w:tcW w:type="dxa" w:w="3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Personnel costs</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(8.4)</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(13.2)</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(20.1)</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(28.7)</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(37.5)</w:t>
            </w:r>
          </w:p>
        </w:tc>
      </w:tr>
      <w:tr>
        <w:tc>
          <w:tcPr>
            <w:tcW w:type="dxa" w:w="3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Rent &amp; occupancy</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(4.6)</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(6.8)</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(9.4)</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(13.1)</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(17.6)</w:t>
            </w:r>
          </w:p>
        </w:tc>
      </w:tr>
      <w:tr>
        <w:tc>
          <w:tcPr>
            <w:tcW w:type="dxa" w:w="3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Marketing &amp; sales</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(3.6)</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(5.4)</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(8.1)</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(11.3)</w:t>
            </w:r>
          </w:p>
        </w:tc>
      </w:tr>
      <w:tr>
        <w:tc>
          <w:tcPr>
            <w:tcW w:type="dxa" w:w="3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Other operating expenses</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(5.2)</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(6.7)</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(11.0)</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(15.4)</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(22.0)</w:t>
            </w:r>
          </w:p>
        </w:tc>
      </w:tr>
      <w:tr>
        <w:tc>
          <w:tcPr>
            <w:tcW w:type="dxa" w:w="3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EBITDA</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2.8</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6.7</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12.1</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21.4</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32.6</w:t>
            </w:r>
          </w:p>
        </w:tc>
      </w:tr>
      <w:tr>
        <w:tc>
          <w:tcPr>
            <w:tcW w:type="dxa" w:w="3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EBITDA Margin %</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6.8%</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10.7%</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12.8%</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15.5%</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17.4%</w:t>
            </w:r>
          </w:p>
        </w:tc>
      </w:tr>
      <w:tr>
        <w:tc>
          <w:tcPr>
            <w:tcW w:type="dxa" w:w="3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Depreciation &amp; amortisation</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(2.7)</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(3.8)</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(5.2)</w:t>
            </w:r>
          </w:p>
        </w:tc>
      </w:tr>
      <w:tr>
        <w:tc>
          <w:tcPr>
            <w:tcW w:type="dxa" w:w="3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1A1A1A"/>
                <w:sz w:val="20"/>
                <w:szCs w:val="20"/>
              </w:rPr>
              <w:t xml:space="preserve">EBIT</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1.4</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4.8</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9.4</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17.6</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27.4</w:t>
            </w:r>
          </w:p>
        </w:tc>
      </w:tr>
      <w:tr>
        <w:tc>
          <w:tcPr>
            <w:tcW w:type="dxa" w:w="3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Finance costs</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(0.7)</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w:t>
            </w:r>
          </w:p>
        </w:tc>
      </w:tr>
      <w:tr>
        <w:tc>
          <w:tcPr>
            <w:tcW w:type="dxa" w:w="3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Other income</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0.1</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0.2</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0.3</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0.4</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0.5</w:t>
            </w:r>
          </w:p>
        </w:tc>
      </w:tr>
      <w:tr>
        <w:tc>
          <w:tcPr>
            <w:tcW w:type="dxa" w:w="3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bCs/>
                <w:i w:val="false"/>
                <w:iCs w:val="false"/>
                <w:color w:val="1A1A1A"/>
                <w:sz w:val="20"/>
                <w:szCs w:val="20"/>
              </w:rPr>
              <w:t xml:space="preserve">PBT</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0.8</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3.8</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8.1</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15.9</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25.3</w:t>
            </w:r>
          </w:p>
        </w:tc>
      </w:tr>
      <w:tr>
        <w:tc>
          <w:tcPr>
            <w:tcW w:type="dxa" w:w="3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Tax expense</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(0.4)</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(1.7)</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(2.7)</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(4.7)</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(6.6)</w:t>
            </w:r>
          </w:p>
        </w:tc>
      </w:tr>
      <w:tr>
        <w:tc>
          <w:tcPr>
            <w:tcW w:type="dxa" w:w="3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Profit After Tax (PAT)</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0.4</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2.1</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5.4</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11.2</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18.7</w:t>
            </w:r>
          </w:p>
        </w:tc>
      </w:tr>
      <w:tr>
        <w:tc>
          <w:tcPr>
            <w:tcW w:type="dxa" w:w="3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PAT Margin %</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3.3%</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5.7%</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8.1%</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10.0%</w:t>
            </w:r>
          </w:p>
        </w:tc>
      </w:tr>
    </w:tbl>
    <w:p>
      <w:pPr>
        <w:pStyle w:val="Heading3"/>
        <w:spacing w:after="80" w:before="160"/>
      </w:pPr>
      <w:r>
        <w:rPr>
          <w:rFonts w:ascii="Calibri" w:cs="Calibri" w:eastAsia="Calibri" w:hAnsi="Calibri"/>
          <w:b/>
          <w:bCs/>
          <w:color w:val="1A1A1A"/>
          <w:sz w:val="24"/>
          <w:szCs w:val="24"/>
        </w:rPr>
        <w:t xml:space="preserve">9.2 Revenue Bridge: FY2021 to FY2025</w:t>
      </w:r>
    </w:p>
    <w:p>
      <w:pPr>
        <w:spacing w:after="60" w:before="60"/>
        <w:jc w:val="left"/>
      </w:pPr>
      <w:r>
        <w:rPr>
          <w:rFonts w:ascii="Calibri" w:cs="Calibri" w:eastAsia="Calibri" w:hAnsi="Calibri"/>
          <w:b w:val="false"/>
          <w:bCs w:val="false"/>
          <w:i w:val="false"/>
          <w:iCs w:val="false"/>
          <w:color w:val="1A1A1A"/>
          <w:sz w:val="22"/>
          <w:szCs w:val="22"/>
        </w:rPr>
        <w:t xml:space="preserve">The INR 146.4 crore of revenue growth between FY2021 and FY2025 is attributable to the following drivers: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4400"/>
        <w:gridCol w:w="1900"/>
        <w:gridCol w:w="2160"/>
      </w:tblGrid>
      <w:tr>
        <w:trPr>
          <w:tblHeader/>
        </w:trPr>
        <w:tc>
          <w:tcPr>
            <w:tcW w:type="dxa" w:w="44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Driver</w:t>
            </w:r>
          </w:p>
        </w:tc>
        <w:tc>
          <w:tcPr>
            <w:tcW w:type="dxa" w:w="19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INR cr</w:t>
            </w:r>
          </w:p>
        </w:tc>
        <w:tc>
          <w:tcPr>
            <w:tcW w:type="dxa" w:w="216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 of Growth</w:t>
            </w:r>
          </w:p>
        </w:tc>
      </w:tr>
      <w:tr>
        <w:tc>
          <w:tcPr>
            <w:tcW w:type="dxa" w:w="4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FY2021 baseline revenue</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41.2</w:t>
            </w:r>
          </w:p>
        </w:tc>
        <w:tc>
          <w:tcPr>
            <w:tcW w:type="dxa" w:w="21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r>
      <w:tr>
        <w:tc>
          <w:tcPr>
            <w:tcW w:type="dxa" w:w="4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New cafés (net of closures)</w:t>
            </w:r>
          </w:p>
        </w:tc>
        <w:tc>
          <w:tcPr>
            <w:tcW w:type="dxa" w:w="19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+58.4</w:t>
            </w:r>
          </w:p>
        </w:tc>
        <w:tc>
          <w:tcPr>
            <w:tcW w:type="dxa" w:w="21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39.9%</w:t>
            </w:r>
          </w:p>
        </w:tc>
      </w:tr>
      <w:tr>
        <w:tc>
          <w:tcPr>
            <w:tcW w:type="dxa" w:w="4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Same-store sales growth (cafés)</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+30.2</w:t>
            </w:r>
          </w:p>
        </w:tc>
        <w:tc>
          <w:tcPr>
            <w:tcW w:type="dxa" w:w="21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20.6%</w:t>
            </w:r>
          </w:p>
        </w:tc>
      </w:tr>
      <w:tr>
        <w:tc>
          <w:tcPr>
            <w:tcW w:type="dxa" w:w="4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D2C e-commerce growth (transactional)</w:t>
            </w:r>
          </w:p>
        </w:tc>
        <w:tc>
          <w:tcPr>
            <w:tcW w:type="dxa" w:w="19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+19.4</w:t>
            </w:r>
          </w:p>
        </w:tc>
        <w:tc>
          <w:tcPr>
            <w:tcW w:type="dxa" w:w="21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13.3%</w:t>
            </w:r>
          </w:p>
        </w:tc>
      </w:tr>
      <w:tr>
        <w:tc>
          <w:tcPr>
            <w:tcW w:type="dxa" w:w="4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D2C subscription growth</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+15.2</w:t>
            </w:r>
          </w:p>
        </w:tc>
        <w:tc>
          <w:tcPr>
            <w:tcW w:type="dxa" w:w="21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10.4%</w:t>
            </w:r>
          </w:p>
        </w:tc>
      </w:tr>
      <w:tr>
        <w:tc>
          <w:tcPr>
            <w:tcW w:type="dxa" w:w="4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Wholesale account growth</w:t>
            </w:r>
          </w:p>
        </w:tc>
        <w:tc>
          <w:tcPr>
            <w:tcW w:type="dxa" w:w="19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+18.2</w:t>
            </w:r>
          </w:p>
        </w:tc>
        <w:tc>
          <w:tcPr>
            <w:tcW w:type="dxa" w:w="21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12.4%</w:t>
            </w:r>
          </w:p>
        </w:tc>
      </w:tr>
      <w:tr>
        <w:tc>
          <w:tcPr>
            <w:tcW w:type="dxa" w:w="4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Pricing actions</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+5.0</w:t>
            </w:r>
          </w:p>
        </w:tc>
        <w:tc>
          <w:tcPr>
            <w:tcW w:type="dxa" w:w="21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3.4%</w:t>
            </w:r>
          </w:p>
        </w:tc>
      </w:tr>
      <w:tr>
        <w:tc>
          <w:tcPr>
            <w:tcW w:type="dxa" w:w="4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FY2025 revenue</w:t>
            </w:r>
          </w:p>
        </w:tc>
        <w:tc>
          <w:tcPr>
            <w:tcW w:type="dxa" w:w="19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187.6</w:t>
            </w:r>
          </w:p>
        </w:tc>
        <w:tc>
          <w:tcPr>
            <w:tcW w:type="dxa" w:w="21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100.0%</w:t>
            </w:r>
          </w:p>
        </w:tc>
      </w:tr>
    </w:tbl>
    <w:p>
      <w:pPr>
        <w:pStyle w:val="Heading3"/>
        <w:spacing w:after="80" w:before="160"/>
      </w:pPr>
      <w:r>
        <w:rPr>
          <w:rFonts w:ascii="Calibri" w:cs="Calibri" w:eastAsia="Calibri" w:hAnsi="Calibri"/>
          <w:b/>
          <w:bCs/>
          <w:color w:val="1A1A1A"/>
          <w:sz w:val="24"/>
          <w:szCs w:val="24"/>
        </w:rPr>
        <w:t xml:space="preserve">9.3 Margin Bridge: FY2021 EBITDA Margin (6.8%) to FY2025 EBITDA Margin (17.4%)</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6760"/>
        <w:gridCol w:w="1700"/>
      </w:tblGrid>
      <w:tr>
        <w:trPr>
          <w:tblHeader/>
        </w:trPr>
        <w:tc>
          <w:tcPr>
            <w:tcW w:type="dxa" w:w="676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Driver</w:t>
            </w:r>
          </w:p>
        </w:tc>
        <w:tc>
          <w:tcPr>
            <w:tcW w:type="dxa" w:w="17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Margin Impact (bps)</w:t>
            </w:r>
          </w:p>
        </w:tc>
      </w:tr>
      <w:tr>
        <w:tc>
          <w:tcPr>
            <w:tcW w:type="dxa" w:w="67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FY2021 EBITDA margin</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+680</w:t>
            </w:r>
          </w:p>
        </w:tc>
      </w:tr>
      <w:tr>
        <w:tc>
          <w:tcPr>
            <w:tcW w:type="dxa" w:w="67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Gross margin expansion (mix + procurement)</w:t>
            </w:r>
          </w:p>
        </w:tc>
        <w:tc>
          <w:tcPr>
            <w:tcW w:type="dxa" w:w="1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+840</w:t>
            </w:r>
          </w:p>
        </w:tc>
      </w:tr>
      <w:tr>
        <w:tc>
          <w:tcPr>
            <w:tcW w:type="dxa" w:w="67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Personnel leverage (revenue per FTE)</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+220</w:t>
            </w:r>
          </w:p>
        </w:tc>
      </w:tr>
      <w:tr>
        <w:tc>
          <w:tcPr>
            <w:tcW w:type="dxa" w:w="67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Rent leverage on mature stores</w:t>
            </w:r>
          </w:p>
        </w:tc>
        <w:tc>
          <w:tcPr>
            <w:tcW w:type="dxa" w:w="1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+140</w:t>
            </w:r>
          </w:p>
        </w:tc>
      </w:tr>
      <w:tr>
        <w:tc>
          <w:tcPr>
            <w:tcW w:type="dxa" w:w="67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D2C scale economics</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+180</w:t>
            </w:r>
          </w:p>
        </w:tc>
      </w:tr>
      <w:tr>
        <w:tc>
          <w:tcPr>
            <w:tcW w:type="dxa" w:w="67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Wholesale margin improvement</w:t>
            </w:r>
          </w:p>
        </w:tc>
        <w:tc>
          <w:tcPr>
            <w:tcW w:type="dxa" w:w="1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+90</w:t>
            </w:r>
          </w:p>
        </w:tc>
      </w:tr>
      <w:tr>
        <w:tc>
          <w:tcPr>
            <w:tcW w:type="dxa" w:w="67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Marketing reinvestment (offset)</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(190)</w:t>
            </w:r>
          </w:p>
        </w:tc>
      </w:tr>
      <w:tr>
        <w:tc>
          <w:tcPr>
            <w:tcW w:type="dxa" w:w="67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Corporate cost build (offset)</w:t>
            </w:r>
          </w:p>
        </w:tc>
        <w:tc>
          <w:tcPr>
            <w:tcW w:type="dxa" w:w="1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(220)</w:t>
            </w:r>
          </w:p>
        </w:tc>
      </w:tr>
      <w:tr>
        <w:tc>
          <w:tcPr>
            <w:tcW w:type="dxa" w:w="67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FY2025 EBITDA margin</w:t>
            </w:r>
          </w:p>
        </w:tc>
        <w:tc>
          <w:tcPr>
            <w:tcW w:type="dxa" w:w="1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1,740</w:t>
            </w:r>
          </w:p>
        </w:tc>
      </w:tr>
    </w:tbl>
    <w:p>
      <w:r>
        <w:br w:type="page"/>
      </w:r>
    </w:p>
    <w:p>
      <w:pPr>
        <w:pStyle w:val="Heading3"/>
        <w:spacing w:after="80" w:before="160"/>
      </w:pPr>
      <w:r>
        <w:rPr>
          <w:rFonts w:ascii="Calibri" w:cs="Calibri" w:eastAsia="Calibri" w:hAnsi="Calibri"/>
          <w:b/>
          <w:bCs/>
          <w:color w:val="1A1A1A"/>
          <w:sz w:val="24"/>
          <w:szCs w:val="24"/>
        </w:rPr>
        <w:t xml:space="preserve">9.4 Balance Sheet Summary (As at March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212"/>
        <w:gridCol w:w="1212"/>
        <w:gridCol w:w="1212"/>
        <w:gridCol w:w="1212"/>
        <w:gridCol w:w="1212"/>
      </w:tblGrid>
      <w:tr>
        <w:trPr>
          <w:tblHeader/>
        </w:trPr>
        <w:tc>
          <w:tcPr>
            <w:tcW w:type="dxa" w:w="33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INR cr</w:t>
            </w:r>
          </w:p>
        </w:tc>
        <w:tc>
          <w:tcPr>
            <w:tcW w:type="dxa" w:w="1212"/>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FY2021A</w:t>
            </w:r>
          </w:p>
        </w:tc>
        <w:tc>
          <w:tcPr>
            <w:tcW w:type="dxa" w:w="1212"/>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FY2022A</w:t>
            </w:r>
          </w:p>
        </w:tc>
        <w:tc>
          <w:tcPr>
            <w:tcW w:type="dxa" w:w="1212"/>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FY2023A</w:t>
            </w:r>
          </w:p>
        </w:tc>
        <w:tc>
          <w:tcPr>
            <w:tcW w:type="dxa" w:w="1212"/>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FY2024A</w:t>
            </w:r>
          </w:p>
        </w:tc>
        <w:tc>
          <w:tcPr>
            <w:tcW w:type="dxa" w:w="1212"/>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FY2025A</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Property, plant &amp; equipment</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12.4</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16.7</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23.8</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31.9</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42.1</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Right-of-use assets (Ind AS 116)</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8.6</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12.4</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18.1</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24.6</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31.2</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Intangible assets</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0.4</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0.6</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Other non-current assets</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3.2</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4.1</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bCs/>
                <w:i w:val="false"/>
                <w:iCs w:val="false"/>
                <w:color w:val="1A1A1A"/>
                <w:sz w:val="20"/>
                <w:szCs w:val="20"/>
              </w:rPr>
              <w:t xml:space="preserve">Total Non-Current Assets</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22.6</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31.3</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45.4</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61.5</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79.8</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Inventory</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4.8</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7.1</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10.4</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15.2</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19.8</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Trade receivables</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3.7</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5.4</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8.1</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Cash &amp; equivalents</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9.4</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8.7</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7.2</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11.4</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18.6</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Other current assets</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3.2</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4.6</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6.2</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1A1A1A"/>
                <w:sz w:val="20"/>
                <w:szCs w:val="20"/>
              </w:rPr>
              <w:t xml:space="preserve">Total Current Assets</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17.6</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20.8</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24.5</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36.6</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52.7</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TOTAL ASSETS</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40.2</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52.1</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69.9</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98.1</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132.5</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Equity share capital</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0.4</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0.4</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0.4</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0.4</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0.4</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Reserves &amp; surplus</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23.6</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25.7</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31.1</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42.3</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61.0</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1A1A1A"/>
                <w:sz w:val="20"/>
                <w:szCs w:val="20"/>
              </w:rPr>
              <w:t xml:space="preserve">Total Equity</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24.0</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26.1</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31.5</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42.7</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61.4</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Long-term borrowings</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6.4</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9.1</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12.7</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16.4</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21.8</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Lease liabilities (NC)</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7.2</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10.4</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15.4</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21.0</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26.6</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Other NC liabilities</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0.2</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0.4</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0.6</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0.8</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1A1A1A"/>
                <w:sz w:val="20"/>
                <w:szCs w:val="20"/>
              </w:rPr>
              <w:t xml:space="preserve">Total NC Liabilities</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13.8</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19.9</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28.7</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38.2</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49.5</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Trade payables</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4.6</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6.8</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9.4</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Short-term borrowings</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0.6</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3.2</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Lease liabilities (current)</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2.7</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3.6</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4.6</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Other current liabilities &amp; provisions</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3.6</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5.4</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6.4</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bCs/>
                <w:i w:val="false"/>
                <w:iCs w:val="false"/>
                <w:color w:val="1A1A1A"/>
                <w:sz w:val="20"/>
                <w:szCs w:val="20"/>
              </w:rPr>
              <w:t xml:space="preserve">Total Current Liabilities</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5.4</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9.1</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12.7</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18.2</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23.6</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TOTAL EQUITY &amp; LIABILITIES</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43.2</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55.1</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72.9</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99.1</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134.5</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Net Debt (Gross debt − Cash)</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7.3</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7.4</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6.4</w:t>
            </w:r>
          </w:p>
        </w:tc>
      </w:tr>
    </w:tbl>
    <w:p>
      <w:r>
        <w:br w:type="page"/>
      </w:r>
    </w:p>
    <w:p>
      <w:pPr>
        <w:pStyle w:val="Heading3"/>
        <w:spacing w:after="80" w:before="160"/>
      </w:pPr>
      <w:r>
        <w:rPr>
          <w:rFonts w:ascii="Calibri" w:cs="Calibri" w:eastAsia="Calibri" w:hAnsi="Calibri"/>
          <w:b/>
          <w:bCs/>
          <w:color w:val="1A1A1A"/>
          <w:sz w:val="24"/>
          <w:szCs w:val="24"/>
        </w:rPr>
        <w:t xml:space="preserve">9.5 Cash Flow Statement (Audited)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212"/>
        <w:gridCol w:w="1212"/>
        <w:gridCol w:w="1212"/>
        <w:gridCol w:w="1212"/>
        <w:gridCol w:w="1212"/>
      </w:tblGrid>
      <w:tr>
        <w:trPr>
          <w:tblHeader/>
        </w:trPr>
        <w:tc>
          <w:tcPr>
            <w:tcW w:type="dxa" w:w="33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INR cr</w:t>
            </w:r>
          </w:p>
        </w:tc>
        <w:tc>
          <w:tcPr>
            <w:tcW w:type="dxa" w:w="1212"/>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FY2021A</w:t>
            </w:r>
          </w:p>
        </w:tc>
        <w:tc>
          <w:tcPr>
            <w:tcW w:type="dxa" w:w="1212"/>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FY2022A</w:t>
            </w:r>
          </w:p>
        </w:tc>
        <w:tc>
          <w:tcPr>
            <w:tcW w:type="dxa" w:w="1212"/>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FY2023A</w:t>
            </w:r>
          </w:p>
        </w:tc>
        <w:tc>
          <w:tcPr>
            <w:tcW w:type="dxa" w:w="1212"/>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FY2024A</w:t>
            </w:r>
          </w:p>
        </w:tc>
        <w:tc>
          <w:tcPr>
            <w:tcW w:type="dxa" w:w="1212"/>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FY2025A</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PBT</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0.8</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3.8</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8.1</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15.9</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25.3</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Depreciation &amp; amortisation</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2.7</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3.8</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5.2</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Finance costs</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0.7</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Other non-cash items</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0.2</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0.3</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0.4</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0.6</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0.8</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Changes in working capital</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(0.8)</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(3.6)</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(4.8)</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Income tax paid</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(0.3)</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(3.8)</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(5.4)</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CFO (Operating)</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2.0</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4.4</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8.3</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15.0</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23.7</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Capex (cafés)</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(4.2)</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(6.4)</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(7.8)</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(8.4)</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Capex (roastery &amp; equipment)</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(0.8)</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(3.2)</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(4.6)</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Capex (technology &amp; other)</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(0.4)</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(0.6)</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(0.8)</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Acquisition of intangibles</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(0.1)</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(0.2)</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(0.4)</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(0.6)</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(0.8)</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CFI (Investing)</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(3.9)</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(6.4)</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(10.2)</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(13.0)</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(15.9)</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Proceeds from borrowings</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3.6</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4.6</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5.4</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7.2</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Repayment of borrowings</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(0.8)</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(3.6)</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Lease payments</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(3.8)</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(5.2)</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(6.8)</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Finance costs paid</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(0.7)</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Equity raise (net)</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Dividends paid</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CFF (Financing)</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(0.9)</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(1.6)</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(2.6)</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(4.3)</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(5.8)</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Net change in cash</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(3.6)</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(4.5)</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(2.3)</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Opening cash</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12.2</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9.4</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5.8</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1A1A1A"/>
                <w:sz w:val="20"/>
                <w:szCs w:val="20"/>
              </w:rPr>
              <w:t xml:space="preserve">Closing cash position</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9.4</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5.8</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1.3</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(1.0)</w:t>
            </w:r>
          </w:p>
        </w:tc>
        <w:tc>
          <w:tcPr>
            <w:tcW w:type="dxa" w:w="121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1.0</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FCF (CFO − Capex − Lease)</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(2.3)</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(3.6)</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(5.7)</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(3.0)</w:t>
            </w:r>
          </w:p>
        </w:tc>
        <w:tc>
          <w:tcPr>
            <w:tcW w:type="dxa" w:w="121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w:t>
            </w:r>
          </w:p>
        </w:tc>
      </w:tr>
    </w:tbl>
    <w:p>
      <w:pPr>
        <w:spacing w:after="60" w:before="60"/>
        <w:jc w:val="left"/>
      </w:pPr>
      <w:r>
        <w:rPr>
          <w:rFonts w:ascii="Calibri" w:cs="Calibri" w:eastAsia="Calibri" w:hAnsi="Calibri"/>
          <w:b w:val="false"/>
          <w:bCs w:val="false"/>
          <w:i/>
          <w:iCs/>
          <w:color w:val="555555"/>
          <w:sz w:val="18"/>
          <w:szCs w:val="18"/>
        </w:rPr>
        <w:t xml:space="preserve">Note: Closing cash differences against the balance sheet reflect movements in cash equivalents and short-term investments. Refer to Appendix A for reconciliation.</w:t>
      </w:r>
    </w:p>
    <w:p>
      <w:pPr>
        <w:pStyle w:val="Heading3"/>
        <w:spacing w:after="80" w:before="160"/>
      </w:pPr>
      <w:r>
        <w:rPr>
          <w:rFonts w:ascii="Calibri" w:cs="Calibri" w:eastAsia="Calibri" w:hAnsi="Calibri"/>
          <w:b/>
          <w:bCs/>
          <w:color w:val="1A1A1A"/>
          <w:sz w:val="24"/>
          <w:szCs w:val="24"/>
        </w:rPr>
        <w:t xml:space="preserve">9.6 Working Capital Profile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760"/>
        <w:gridCol w:w="1080"/>
        <w:gridCol w:w="1080"/>
        <w:gridCol w:w="1080"/>
        <w:gridCol w:w="1080"/>
        <w:gridCol w:w="1080"/>
      </w:tblGrid>
      <w:tr>
        <w:trPr>
          <w:tblHeader/>
        </w:trPr>
        <w:tc>
          <w:tcPr>
            <w:tcW w:type="dxa" w:w="376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Days</w:t>
            </w:r>
          </w:p>
        </w:tc>
        <w:tc>
          <w:tcPr>
            <w:tcW w:type="dxa" w:w="108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FY21</w:t>
            </w:r>
          </w:p>
        </w:tc>
        <w:tc>
          <w:tcPr>
            <w:tcW w:type="dxa" w:w="108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FY22</w:t>
            </w:r>
          </w:p>
        </w:tc>
        <w:tc>
          <w:tcPr>
            <w:tcW w:type="dxa" w:w="108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FY23</w:t>
            </w:r>
          </w:p>
        </w:tc>
        <w:tc>
          <w:tcPr>
            <w:tcW w:type="dxa" w:w="108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FY24</w:t>
            </w:r>
          </w:p>
        </w:tc>
        <w:tc>
          <w:tcPr>
            <w:tcW w:type="dxa" w:w="108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FY25</w:t>
            </w:r>
          </w:p>
        </w:tc>
      </w:tr>
      <w:tr>
        <w:tc>
          <w:tcPr>
            <w:tcW w:type="dxa" w:w="37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Inventory days (on COGS)</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97</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100</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104</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107</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108</w:t>
            </w:r>
          </w:p>
        </w:tc>
      </w:tr>
      <w:tr>
        <w:tc>
          <w:tcPr>
            <w:tcW w:type="dxa" w:w="37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Receivable days (on revenue)</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w:t>
            </w:r>
          </w:p>
        </w:tc>
      </w:tr>
      <w:tr>
        <w:tc>
          <w:tcPr>
            <w:tcW w:type="dxa" w:w="37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Payable days (on COGS)</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36</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44</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46</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48</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51</w:t>
            </w:r>
          </w:p>
        </w:tc>
      </w:tr>
      <w:tr>
        <w:tc>
          <w:tcPr>
            <w:tcW w:type="dxa" w:w="37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Cash conversion cycle (days)</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77</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71</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72</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73</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73</w:t>
            </w:r>
          </w:p>
        </w:tc>
      </w:tr>
    </w:tbl>
    <w:p>
      <w:pPr>
        <w:pStyle w:val="Heading1"/>
        <w:pageBreakBefore/>
        <w:pBdr>
          <w:bottom w:val="single" w:color="C9A227" w:sz="8" w:space="4"/>
        </w:pBdr>
        <w:spacing w:after="180" w:before="240"/>
      </w:pPr>
      <w:r>
        <w:rPr>
          <w:rFonts w:ascii="Calibri" w:cs="Calibri" w:eastAsia="Calibri" w:hAnsi="Calibri"/>
          <w:b/>
          <w:bCs/>
          <w:color w:val="0B2545"/>
          <w:sz w:val="36"/>
          <w:szCs w:val="36"/>
        </w:rPr>
        <w:t xml:space="preserve">10. Financial Projections</w:t>
      </w:r>
    </w:p>
    <w:p>
      <w:pPr>
        <w:spacing w:after="60" w:before="60"/>
        <w:jc w:val="left"/>
      </w:pPr>
      <w:r>
        <w:rPr>
          <w:rFonts w:ascii="Calibri" w:cs="Calibri" w:eastAsia="Calibri" w:hAnsi="Calibri"/>
          <w:b w:val="false"/>
          <w:bCs w:val="false"/>
          <w:i/>
          <w:iCs/>
          <w:color w:val="555555"/>
          <w:sz w:val="22"/>
          <w:szCs w:val="22"/>
        </w:rPr>
        <w:t xml:space="preserve">The projections that follow have been prepared by management with input from the Advisor. They reflect the Company's growth plan assuming a successful capital raise of INR 200 crore, deployed in line with the use of proceeds described in Section 2.5. All figures are in INR crore unless otherwise stated. Detailed assumptions are set out in Section 10.4 and Appendix B.</w:t>
      </w:r>
    </w:p>
    <w:p>
      <w:pPr>
        <w:pStyle w:val="Heading3"/>
        <w:spacing w:after="80" w:before="160"/>
      </w:pPr>
      <w:r>
        <w:rPr>
          <w:rFonts w:ascii="Calibri" w:cs="Calibri" w:eastAsia="Calibri" w:hAnsi="Calibri"/>
          <w:b/>
          <w:bCs/>
          <w:color w:val="1A1A1A"/>
          <w:sz w:val="24"/>
          <w:szCs w:val="24"/>
        </w:rPr>
        <w:t xml:space="preserve">10.1 Projected Income Statement (FY2026P–FY2028P)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15"/>
        <w:gridCol w:w="1515"/>
        <w:gridCol w:w="1515"/>
        <w:gridCol w:w="1515"/>
      </w:tblGrid>
      <w:tr>
        <w:trPr>
          <w:tblHeader/>
        </w:trPr>
        <w:tc>
          <w:tcPr>
            <w:tcW w:type="dxa" w:w="33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INR cr</w:t>
            </w:r>
          </w:p>
        </w:tc>
        <w:tc>
          <w:tcPr>
            <w:tcW w:type="dxa" w:w="1515"/>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FY2025A</w:t>
            </w:r>
          </w:p>
        </w:tc>
        <w:tc>
          <w:tcPr>
            <w:tcW w:type="dxa" w:w="1515"/>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FY2026P</w:t>
            </w:r>
          </w:p>
        </w:tc>
        <w:tc>
          <w:tcPr>
            <w:tcW w:type="dxa" w:w="1515"/>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FY2027P</w:t>
            </w:r>
          </w:p>
        </w:tc>
        <w:tc>
          <w:tcPr>
            <w:tcW w:type="dxa" w:w="1515"/>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FY2028P</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Revenue from operations</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187.6</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246.9</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318.4</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402.7</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  Retail Cafés</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120.0</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159.4</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207.2</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261.7</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  D2C E-commerce</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39.4</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54.1</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71.6</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92.2</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  Wholesale</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28.2</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33.4</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39.6</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48.8</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YoY Growth %</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35.5%</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31.6%</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29.0%</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26.5%</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Cost of goods sold</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(66.6)</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(84.4)</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(105.8)</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(130.3)</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bCs/>
                <w:i w:val="false"/>
                <w:iCs w:val="false"/>
                <w:color w:val="1A1A1A"/>
                <w:sz w:val="20"/>
                <w:szCs w:val="20"/>
              </w:rPr>
              <w:t xml:space="preserve">Gross Profit</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121.0</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162.5</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212.6</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272.4</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Gross Margin %</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64.5%</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65.8%</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66.8%</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67.6%</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Personnel costs</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(37.5)</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(48.4)</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(60.2)</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(73.7)</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Rent &amp; occupancy</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(17.6)</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(22.7)</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(28.4)</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(35.0)</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Marketing &amp; sales</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(11.3)</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(16.1)</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(20.7)</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(26.2)</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Other operating expenses</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(22.0)</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(28.2)</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(36.1)</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(45.1)</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EBITDA</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32.6</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47.1</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67.2</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92.4</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EBITDA Margin %</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17.4%</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19.1%</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21.1%</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22.9%</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Depreciation &amp; amortisation</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(5.2)</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(7.1)</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(9.8)</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(13.2)</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1A1A1A"/>
                <w:sz w:val="20"/>
                <w:szCs w:val="20"/>
              </w:rPr>
              <w:t xml:space="preserve">EBIT</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27.4</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40.0</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57.4</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79.2</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Finance costs</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(3.4)</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(4.2)</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(4.8)</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Other income</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0.5</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0.7</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0.9</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bCs/>
                <w:i w:val="false"/>
                <w:iCs w:val="false"/>
                <w:color w:val="1A1A1A"/>
                <w:sz w:val="20"/>
                <w:szCs w:val="20"/>
              </w:rPr>
              <w:t xml:space="preserve">PBT</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25.3</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37.3</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54.1</w:t>
            </w:r>
          </w:p>
        </w:tc>
        <w:tc>
          <w:tcPr>
            <w:tcW w:type="dxa" w:w="15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75.5</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Tax expense</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(6.6)</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(7.9)</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(10.0)</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(12.7)</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Profit After Tax (PAT)</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18.7</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29.4</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44.1</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62.8</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PAT Margin %</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10.0%</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11.9%</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13.9%</w:t>
            </w:r>
          </w:p>
        </w:tc>
        <w:tc>
          <w:tcPr>
            <w:tcW w:type="dxa" w:w="15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15.6%</w:t>
            </w:r>
          </w:p>
        </w:tc>
      </w:tr>
    </w:tbl>
    <w:p>
      <w:r>
        <w:br w:type="page"/>
      </w:r>
    </w:p>
    <w:p>
      <w:pPr>
        <w:pStyle w:val="Heading3"/>
        <w:spacing w:after="80" w:before="160"/>
      </w:pPr>
      <w:r>
        <w:rPr>
          <w:rFonts w:ascii="Calibri" w:cs="Calibri" w:eastAsia="Calibri" w:hAnsi="Calibri"/>
          <w:b/>
          <w:bCs/>
          <w:color w:val="1A1A1A"/>
          <w:sz w:val="24"/>
          <w:szCs w:val="24"/>
        </w:rPr>
        <w:t xml:space="preserve">10.2 Operating KPI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415"/>
        <w:gridCol w:w="1415"/>
        <w:gridCol w:w="1415"/>
        <w:gridCol w:w="1415"/>
      </w:tblGrid>
      <w:tr>
        <w:trPr>
          <w:tblHeader/>
        </w:trPr>
        <w:tc>
          <w:tcPr>
            <w:tcW w:type="dxa" w:w="37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Metric</w:t>
            </w:r>
          </w:p>
        </w:tc>
        <w:tc>
          <w:tcPr>
            <w:tcW w:type="dxa" w:w="1415"/>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FY25A</w:t>
            </w:r>
          </w:p>
        </w:tc>
        <w:tc>
          <w:tcPr>
            <w:tcW w:type="dxa" w:w="1415"/>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FY26P</w:t>
            </w:r>
          </w:p>
        </w:tc>
        <w:tc>
          <w:tcPr>
            <w:tcW w:type="dxa" w:w="1415"/>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FY27P</w:t>
            </w:r>
          </w:p>
        </w:tc>
        <w:tc>
          <w:tcPr>
            <w:tcW w:type="dxa" w:w="1415"/>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FY28P</w:t>
            </w:r>
          </w:p>
        </w:tc>
      </w:tr>
      <w:tr>
        <w:tc>
          <w:tcPr>
            <w:tcW w:type="dxa" w:w="3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Cafés (period end)</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42</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55</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71</w:t>
            </w:r>
          </w:p>
        </w:tc>
      </w:tr>
      <w:tr>
        <w:tc>
          <w:tcPr>
            <w:tcW w:type="dxa" w:w="3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New cafés opened</w:t>
            </w:r>
          </w:p>
        </w:tc>
        <w:tc>
          <w:tcPr>
            <w:tcW w:type="dxa" w:w="14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w:t>
            </w:r>
          </w:p>
        </w:tc>
        <w:tc>
          <w:tcPr>
            <w:tcW w:type="dxa" w:w="14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w:t>
            </w:r>
          </w:p>
        </w:tc>
        <w:tc>
          <w:tcPr>
            <w:tcW w:type="dxa" w:w="14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w:t>
            </w:r>
          </w:p>
        </w:tc>
        <w:tc>
          <w:tcPr>
            <w:tcW w:type="dxa" w:w="14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17</w:t>
            </w:r>
          </w:p>
        </w:tc>
      </w:tr>
      <w:tr>
        <w:tc>
          <w:tcPr>
            <w:tcW w:type="dxa" w:w="3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Cafés closed</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w:t>
            </w:r>
          </w:p>
        </w:tc>
      </w:tr>
      <w:tr>
        <w:tc>
          <w:tcPr>
            <w:tcW w:type="dxa" w:w="3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Avg revenue/mature café (INR cr)</w:t>
            </w:r>
          </w:p>
        </w:tc>
        <w:tc>
          <w:tcPr>
            <w:tcW w:type="dxa" w:w="14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4.8</w:t>
            </w:r>
          </w:p>
        </w:tc>
        <w:tc>
          <w:tcPr>
            <w:tcW w:type="dxa" w:w="14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5.0</w:t>
            </w:r>
          </w:p>
        </w:tc>
        <w:tc>
          <w:tcPr>
            <w:tcW w:type="dxa" w:w="14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5.2</w:t>
            </w:r>
          </w:p>
        </w:tc>
        <w:tc>
          <w:tcPr>
            <w:tcW w:type="dxa" w:w="14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5.5</w:t>
            </w:r>
          </w:p>
        </w:tc>
      </w:tr>
      <w:tr>
        <w:tc>
          <w:tcPr>
            <w:tcW w:type="dxa" w:w="3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Same-store sales growth %</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9.3%</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8.5%</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7.5%</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6.5%</w:t>
            </w:r>
          </w:p>
        </w:tc>
      </w:tr>
      <w:tr>
        <w:tc>
          <w:tcPr>
            <w:tcW w:type="dxa" w:w="3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D2C subscribers (period end, '000)</w:t>
            </w:r>
          </w:p>
        </w:tc>
        <w:tc>
          <w:tcPr>
            <w:tcW w:type="dxa" w:w="14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18.4</w:t>
            </w:r>
          </w:p>
        </w:tc>
        <w:tc>
          <w:tcPr>
            <w:tcW w:type="dxa" w:w="14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27.5</w:t>
            </w:r>
          </w:p>
        </w:tc>
        <w:tc>
          <w:tcPr>
            <w:tcW w:type="dxa" w:w="14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38.6</w:t>
            </w:r>
          </w:p>
        </w:tc>
        <w:tc>
          <w:tcPr>
            <w:tcW w:type="dxa" w:w="14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51.0</w:t>
            </w:r>
          </w:p>
        </w:tc>
      </w:tr>
      <w:tr>
        <w:tc>
          <w:tcPr>
            <w:tcW w:type="dxa" w:w="3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D2C ARPU (INR/month)</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1,290</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1,335</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1,378</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1,420</w:t>
            </w:r>
          </w:p>
        </w:tc>
      </w:tr>
      <w:tr>
        <w:tc>
          <w:tcPr>
            <w:tcW w:type="dxa" w:w="3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Wholesale accounts (period end)</w:t>
            </w:r>
          </w:p>
        </w:tc>
        <w:tc>
          <w:tcPr>
            <w:tcW w:type="dxa" w:w="14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94</w:t>
            </w:r>
          </w:p>
        </w:tc>
        <w:tc>
          <w:tcPr>
            <w:tcW w:type="dxa" w:w="14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126</w:t>
            </w:r>
          </w:p>
        </w:tc>
        <w:tc>
          <w:tcPr>
            <w:tcW w:type="dxa" w:w="14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168</w:t>
            </w:r>
          </w:p>
        </w:tc>
        <w:tc>
          <w:tcPr>
            <w:tcW w:type="dxa" w:w="14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218</w:t>
            </w:r>
          </w:p>
        </w:tc>
      </w:tr>
      <w:tr>
        <w:tc>
          <w:tcPr>
            <w:tcW w:type="dxa" w:w="3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Roastery output (MT)</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258</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346</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451</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574</w:t>
            </w:r>
          </w:p>
        </w:tc>
      </w:tr>
      <w:tr>
        <w:tc>
          <w:tcPr>
            <w:tcW w:type="dxa" w:w="3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FTE headcount (period end)</w:t>
            </w:r>
          </w:p>
        </w:tc>
        <w:tc>
          <w:tcPr>
            <w:tcW w:type="dxa" w:w="14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397</w:t>
            </w:r>
          </w:p>
        </w:tc>
        <w:tc>
          <w:tcPr>
            <w:tcW w:type="dxa" w:w="14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534</w:t>
            </w:r>
          </w:p>
        </w:tc>
        <w:tc>
          <w:tcPr>
            <w:tcW w:type="dxa" w:w="14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682</w:t>
            </w:r>
          </w:p>
        </w:tc>
        <w:tc>
          <w:tcPr>
            <w:tcW w:type="dxa" w:w="141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858</w:t>
            </w:r>
          </w:p>
        </w:tc>
      </w:tr>
      <w:tr>
        <w:tc>
          <w:tcPr>
            <w:tcW w:type="dxa" w:w="3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Revenue per FTE (INR L)</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47.2</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46.2</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46.7</w:t>
            </w:r>
          </w:p>
        </w:tc>
        <w:tc>
          <w:tcPr>
            <w:tcW w:type="dxa" w:w="141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46.9</w:t>
            </w:r>
          </w:p>
        </w:tc>
      </w:tr>
    </w:tbl>
    <w:p>
      <w:pPr>
        <w:pStyle w:val="Heading3"/>
        <w:spacing w:after="80" w:before="160"/>
      </w:pPr>
      <w:r>
        <w:rPr>
          <w:rFonts w:ascii="Calibri" w:cs="Calibri" w:eastAsia="Calibri" w:hAnsi="Calibri"/>
          <w:b/>
          <w:bCs/>
          <w:color w:val="1A1A1A"/>
          <w:sz w:val="24"/>
          <w:szCs w:val="24"/>
        </w:rPr>
        <w:t xml:space="preserve">10.3 Projected Cash Flow</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760"/>
        <w:gridCol w:w="1600"/>
        <w:gridCol w:w="1600"/>
        <w:gridCol w:w="1600"/>
      </w:tblGrid>
      <w:tr>
        <w:trPr>
          <w:tblHeader/>
        </w:trPr>
        <w:tc>
          <w:tcPr>
            <w:tcW w:type="dxa" w:w="476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INR cr</w:t>
            </w:r>
          </w:p>
        </w:tc>
        <w:tc>
          <w:tcPr>
            <w:tcW w:type="dxa" w:w="16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FY26P</w:t>
            </w:r>
          </w:p>
        </w:tc>
        <w:tc>
          <w:tcPr>
            <w:tcW w:type="dxa" w:w="16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FY27P</w:t>
            </w:r>
          </w:p>
        </w:tc>
        <w:tc>
          <w:tcPr>
            <w:tcW w:type="dxa" w:w="16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FY28P</w:t>
            </w:r>
          </w:p>
        </w:tc>
      </w:tr>
      <w:tr>
        <w:tc>
          <w:tcPr>
            <w:tcW w:type="dxa" w:w="47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EBITDA</w:t>
            </w:r>
          </w:p>
        </w:tc>
        <w:tc>
          <w:tcPr>
            <w:tcW w:type="dxa" w:w="16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47.1</w:t>
            </w:r>
          </w:p>
        </w:tc>
        <w:tc>
          <w:tcPr>
            <w:tcW w:type="dxa" w:w="16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67.2</w:t>
            </w:r>
          </w:p>
        </w:tc>
        <w:tc>
          <w:tcPr>
            <w:tcW w:type="dxa" w:w="16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92.4</w:t>
            </w:r>
          </w:p>
        </w:tc>
      </w:tr>
      <w:tr>
        <w:tc>
          <w:tcPr>
            <w:tcW w:type="dxa" w:w="47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Less: change in WC</w:t>
            </w:r>
          </w:p>
        </w:tc>
        <w:tc>
          <w:tcPr>
            <w:tcW w:type="dxa" w:w="16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(7.1)</w:t>
            </w:r>
          </w:p>
        </w:tc>
        <w:tc>
          <w:tcPr>
            <w:tcW w:type="dxa" w:w="16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(8.7)</w:t>
            </w:r>
          </w:p>
        </w:tc>
        <w:tc>
          <w:tcPr>
            <w:tcW w:type="dxa" w:w="16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(10.4)</w:t>
            </w:r>
          </w:p>
        </w:tc>
      </w:tr>
      <w:tr>
        <w:tc>
          <w:tcPr>
            <w:tcW w:type="dxa" w:w="47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Less: tax</w:t>
            </w:r>
          </w:p>
        </w:tc>
        <w:tc>
          <w:tcPr>
            <w:tcW w:type="dxa" w:w="16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(7.9)</w:t>
            </w:r>
          </w:p>
        </w:tc>
        <w:tc>
          <w:tcPr>
            <w:tcW w:type="dxa" w:w="16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(10.0)</w:t>
            </w:r>
          </w:p>
        </w:tc>
        <w:tc>
          <w:tcPr>
            <w:tcW w:type="dxa" w:w="16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(12.7)</w:t>
            </w:r>
          </w:p>
        </w:tc>
      </w:tr>
      <w:tr>
        <w:tc>
          <w:tcPr>
            <w:tcW w:type="dxa" w:w="47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1A1A1A"/>
                <w:sz w:val="20"/>
                <w:szCs w:val="20"/>
              </w:rPr>
              <w:t xml:space="preserve">Operating cash flow (pre-lease)</w:t>
            </w:r>
          </w:p>
        </w:tc>
        <w:tc>
          <w:tcPr>
            <w:tcW w:type="dxa" w:w="16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32.1</w:t>
            </w:r>
          </w:p>
        </w:tc>
        <w:tc>
          <w:tcPr>
            <w:tcW w:type="dxa" w:w="16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48.5</w:t>
            </w:r>
          </w:p>
        </w:tc>
        <w:tc>
          <w:tcPr>
            <w:tcW w:type="dxa" w:w="16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69.3</w:t>
            </w:r>
          </w:p>
        </w:tc>
      </w:tr>
      <w:tr>
        <w:tc>
          <w:tcPr>
            <w:tcW w:type="dxa" w:w="47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Less: maintenance capex</w:t>
            </w:r>
          </w:p>
        </w:tc>
        <w:tc>
          <w:tcPr>
            <w:tcW w:type="dxa" w:w="16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(6.4)</w:t>
            </w:r>
          </w:p>
        </w:tc>
        <w:tc>
          <w:tcPr>
            <w:tcW w:type="dxa" w:w="16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(8.2)</w:t>
            </w:r>
          </w:p>
        </w:tc>
        <w:tc>
          <w:tcPr>
            <w:tcW w:type="dxa" w:w="16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(10.4)</w:t>
            </w:r>
          </w:p>
        </w:tc>
      </w:tr>
      <w:tr>
        <w:tc>
          <w:tcPr>
            <w:tcW w:type="dxa" w:w="47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Less: growth capex (cafés)</w:t>
            </w:r>
          </w:p>
        </w:tc>
        <w:tc>
          <w:tcPr>
            <w:tcW w:type="dxa" w:w="16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(19.2)</w:t>
            </w:r>
          </w:p>
        </w:tc>
        <w:tc>
          <w:tcPr>
            <w:tcW w:type="dxa" w:w="16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(22.4)</w:t>
            </w:r>
          </w:p>
        </w:tc>
        <w:tc>
          <w:tcPr>
            <w:tcW w:type="dxa" w:w="16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(27.2)</w:t>
            </w:r>
          </w:p>
        </w:tc>
      </w:tr>
      <w:tr>
        <w:tc>
          <w:tcPr>
            <w:tcW w:type="dxa" w:w="47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Less: growth capex (roastery &amp; tech)</w:t>
            </w:r>
          </w:p>
        </w:tc>
        <w:tc>
          <w:tcPr>
            <w:tcW w:type="dxa" w:w="16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(11.4)</w:t>
            </w:r>
          </w:p>
        </w:tc>
        <w:tc>
          <w:tcPr>
            <w:tcW w:type="dxa" w:w="16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(14.6)</w:t>
            </w:r>
          </w:p>
        </w:tc>
        <w:tc>
          <w:tcPr>
            <w:tcW w:type="dxa" w:w="16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(8.2)</w:t>
            </w:r>
          </w:p>
        </w:tc>
      </w:tr>
      <w:tr>
        <w:tc>
          <w:tcPr>
            <w:tcW w:type="dxa" w:w="47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Less: lease payments</w:t>
            </w:r>
          </w:p>
        </w:tc>
        <w:tc>
          <w:tcPr>
            <w:tcW w:type="dxa" w:w="16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(8.4)</w:t>
            </w:r>
          </w:p>
        </w:tc>
        <w:tc>
          <w:tcPr>
            <w:tcW w:type="dxa" w:w="16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(10.6)</w:t>
            </w:r>
          </w:p>
        </w:tc>
        <w:tc>
          <w:tcPr>
            <w:tcW w:type="dxa" w:w="16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(13.1)</w:t>
            </w:r>
          </w:p>
        </w:tc>
      </w:tr>
      <w:tr>
        <w:tc>
          <w:tcPr>
            <w:tcW w:type="dxa" w:w="47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Free Cash Flow</w:t>
            </w:r>
          </w:p>
        </w:tc>
        <w:tc>
          <w:tcPr>
            <w:tcW w:type="dxa" w:w="16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(13.3)</w:t>
            </w:r>
          </w:p>
        </w:tc>
        <w:tc>
          <w:tcPr>
            <w:tcW w:type="dxa" w:w="16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(7.3)</w:t>
            </w:r>
          </w:p>
        </w:tc>
        <w:tc>
          <w:tcPr>
            <w:tcW w:type="dxa" w:w="16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10.4</w:t>
            </w:r>
          </w:p>
        </w:tc>
      </w:tr>
      <w:tr>
        <w:tc>
          <w:tcPr>
            <w:tcW w:type="dxa" w:w="47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Cumulative FCF (post-investment)</w:t>
            </w:r>
          </w:p>
        </w:tc>
        <w:tc>
          <w:tcPr>
            <w:tcW w:type="dxa" w:w="16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(13.3)</w:t>
            </w:r>
          </w:p>
        </w:tc>
        <w:tc>
          <w:tcPr>
            <w:tcW w:type="dxa" w:w="16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(20.6)</w:t>
            </w:r>
          </w:p>
        </w:tc>
        <w:tc>
          <w:tcPr>
            <w:tcW w:type="dxa" w:w="16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(10.2)</w:t>
            </w:r>
          </w:p>
        </w:tc>
      </w:tr>
    </w:tbl>
    <w:p>
      <w:pPr>
        <w:pStyle w:val="Heading3"/>
        <w:spacing w:after="80" w:before="160"/>
      </w:pPr>
      <w:r>
        <w:rPr>
          <w:rFonts w:ascii="Calibri" w:cs="Calibri" w:eastAsia="Calibri" w:hAnsi="Calibri"/>
          <w:b/>
          <w:bCs/>
          <w:color w:val="1A1A1A"/>
          <w:sz w:val="24"/>
          <w:szCs w:val="24"/>
        </w:rPr>
        <w:t xml:space="preserve">10.4 Key Assumptions</w:t>
      </w:r>
    </w:p>
    <w:p>
      <w:pPr>
        <w:pStyle w:val="ListParagraph"/>
        <w:numPr>
          <w:ilvl w:val="0"/>
          <w:numId w:val="2"/>
        </w:numPr>
        <w:spacing w:after="40" w:before="40"/>
      </w:pPr>
      <w:r>
        <w:rPr>
          <w:rFonts w:ascii="Calibri" w:cs="Calibri" w:eastAsia="Calibri" w:hAnsi="Calibri"/>
          <w:color w:val="1A1A1A"/>
          <w:sz w:val="22"/>
          <w:szCs w:val="22"/>
        </w:rPr>
        <w:t xml:space="preserve">Café count grows from 31 to 71 over the projection period (40 net additions). Average build-out cost of INR 1.6 crore. Mature stabilisation in month 18.</w:t>
      </w:r>
    </w:p>
    <w:p>
      <w:pPr>
        <w:pStyle w:val="ListParagraph"/>
        <w:numPr>
          <w:ilvl w:val="0"/>
          <w:numId w:val="2"/>
        </w:numPr>
        <w:spacing w:after="40" w:before="40"/>
      </w:pPr>
      <w:r>
        <w:rPr>
          <w:rFonts w:ascii="Calibri" w:cs="Calibri" w:eastAsia="Calibri" w:hAnsi="Calibri"/>
          <w:color w:val="1A1A1A"/>
          <w:sz w:val="22"/>
          <w:szCs w:val="22"/>
        </w:rPr>
        <w:t xml:space="preserve">Same-store sales growth decelerates from 9.3% (FY25A) to 6.5% (FY28P), reflecting maturation of the existing portfolio and selective price increases of 4–5% annually.</w:t>
      </w:r>
    </w:p>
    <w:p>
      <w:pPr>
        <w:pStyle w:val="ListParagraph"/>
        <w:numPr>
          <w:ilvl w:val="0"/>
          <w:numId w:val="2"/>
        </w:numPr>
        <w:spacing w:after="40" w:before="40"/>
      </w:pPr>
      <w:r>
        <w:rPr>
          <w:rFonts w:ascii="Calibri" w:cs="Calibri" w:eastAsia="Calibri" w:hAnsi="Calibri"/>
          <w:color w:val="1A1A1A"/>
          <w:sz w:val="22"/>
          <w:szCs w:val="22"/>
        </w:rPr>
        <w:t xml:space="preserve">D2C subscriber base grows at 41% CAGR over the projection period, with monthly churn improving from 4.1% to 3.4% as cohort quality improves.</w:t>
      </w:r>
    </w:p>
    <w:p>
      <w:pPr>
        <w:pStyle w:val="ListParagraph"/>
        <w:numPr>
          <w:ilvl w:val="0"/>
          <w:numId w:val="2"/>
        </w:numPr>
        <w:spacing w:after="40" w:before="40"/>
      </w:pPr>
      <w:r>
        <w:rPr>
          <w:rFonts w:ascii="Calibri" w:cs="Calibri" w:eastAsia="Calibri" w:hAnsi="Calibri"/>
          <w:color w:val="1A1A1A"/>
          <w:sz w:val="22"/>
          <w:szCs w:val="22"/>
        </w:rPr>
        <w:t xml:space="preserve">Gross margin expansion of 310 bps over the projection period driven by (i) channel mix shift toward D2C subscription (+90 bps), (ii) procurement leverage from Phase II roastery (+120 bps), and (iii) selective pricing actions (+100 bps).</w:t>
      </w:r>
    </w:p>
    <w:p>
      <w:pPr>
        <w:pStyle w:val="ListParagraph"/>
        <w:numPr>
          <w:ilvl w:val="0"/>
          <w:numId w:val="2"/>
        </w:numPr>
        <w:spacing w:after="40" w:before="40"/>
      </w:pPr>
      <w:r>
        <w:rPr>
          <w:rFonts w:ascii="Calibri" w:cs="Calibri" w:eastAsia="Calibri" w:hAnsi="Calibri"/>
          <w:color w:val="1A1A1A"/>
          <w:sz w:val="22"/>
          <w:szCs w:val="22"/>
        </w:rPr>
        <w:t xml:space="preserve">Personnel cost grows broadly in line with revenue, with headcount additions front-loaded into FY26 to support the expansion pipeline.</w:t>
      </w:r>
    </w:p>
    <w:p>
      <w:pPr>
        <w:pStyle w:val="ListParagraph"/>
        <w:numPr>
          <w:ilvl w:val="0"/>
          <w:numId w:val="2"/>
        </w:numPr>
        <w:spacing w:after="40" w:before="40"/>
      </w:pPr>
      <w:r>
        <w:rPr>
          <w:rFonts w:ascii="Calibri" w:cs="Calibri" w:eastAsia="Calibri" w:hAnsi="Calibri"/>
          <w:color w:val="1A1A1A"/>
          <w:sz w:val="22"/>
          <w:szCs w:val="22"/>
        </w:rPr>
        <w:t xml:space="preserve">Marketing intensity steps up from 6.0% of revenue (FY25) to 6.5% (FY26) before normalising at 6.5% in steady state.</w:t>
      </w:r>
    </w:p>
    <w:p>
      <w:pPr>
        <w:pStyle w:val="ListParagraph"/>
        <w:numPr>
          <w:ilvl w:val="0"/>
          <w:numId w:val="2"/>
        </w:numPr>
        <w:spacing w:after="40" w:before="40"/>
      </w:pPr>
      <w:r>
        <w:rPr>
          <w:rFonts w:ascii="Calibri" w:cs="Calibri" w:eastAsia="Calibri" w:hAnsi="Calibri"/>
          <w:color w:val="1A1A1A"/>
          <w:sz w:val="22"/>
          <w:szCs w:val="22"/>
        </w:rPr>
        <w:t xml:space="preserve">Capex of INR 117 crore over FY26–FY28, of which INR 92 crore for café expansion, INR 28 crore for the Phase II roastery, and the balance for technology and supporting infrastructure.</w:t>
      </w:r>
    </w:p>
    <w:p>
      <w:pPr>
        <w:pStyle w:val="Heading3"/>
        <w:spacing w:after="80" w:before="160"/>
      </w:pPr>
      <w:r>
        <w:rPr>
          <w:rFonts w:ascii="Calibri" w:cs="Calibri" w:eastAsia="Calibri" w:hAnsi="Calibri"/>
          <w:b/>
          <w:bCs/>
          <w:color w:val="1A1A1A"/>
          <w:sz w:val="24"/>
          <w:szCs w:val="24"/>
        </w:rPr>
        <w:t xml:space="preserve">10.5 Sensitivity Analysis (FY28P EBITDA, INR 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800"/>
        <w:gridCol w:w="1800"/>
        <w:gridCol w:w="2000"/>
      </w:tblGrid>
      <w:tr>
        <w:trPr>
          <w:tblHeader/>
        </w:trPr>
        <w:tc>
          <w:tcPr>
            <w:tcW w:type="dxa" w:w="376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Same-store sales growth →
New café count ↓</w:t>
            </w:r>
          </w:p>
        </w:tc>
        <w:tc>
          <w:tcPr>
            <w:tcW w:type="dxa" w:w="18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Low
(4.5%)</w:t>
            </w:r>
          </w:p>
        </w:tc>
        <w:tc>
          <w:tcPr>
            <w:tcW w:type="dxa" w:w="18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Base
(6.5%)</w:t>
            </w:r>
          </w:p>
        </w:tc>
        <w:tc>
          <w:tcPr>
            <w:tcW w:type="dxa" w:w="20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High
(8.5%)</w:t>
            </w:r>
          </w:p>
        </w:tc>
      </w:tr>
      <w:tr>
        <w:tc>
          <w:tcPr>
            <w:tcW w:type="dxa" w:w="37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Conservative (32 net adds)</w:t>
            </w:r>
          </w:p>
        </w:tc>
        <w:tc>
          <w:tcPr>
            <w:tcW w:type="dxa" w:w="1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78.4</w:t>
            </w:r>
          </w:p>
        </w:tc>
        <w:tc>
          <w:tcPr>
            <w:tcW w:type="dxa" w:w="1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84.6</w:t>
            </w:r>
          </w:p>
        </w:tc>
        <w:tc>
          <w:tcPr>
            <w:tcW w:type="dxa" w:w="2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91.0</w:t>
            </w:r>
          </w:p>
        </w:tc>
      </w:tr>
      <w:tr>
        <w:tc>
          <w:tcPr>
            <w:tcW w:type="dxa" w:w="37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Base case (40 net adds)</w:t>
            </w:r>
          </w:p>
        </w:tc>
        <w:tc>
          <w:tcPr>
            <w:tcW w:type="dxa" w:w="18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84.7</w:t>
            </w:r>
          </w:p>
        </w:tc>
        <w:tc>
          <w:tcPr>
            <w:tcW w:type="dxa" w:w="18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92.4</w:t>
            </w:r>
          </w:p>
        </w:tc>
        <w:tc>
          <w:tcPr>
            <w:tcW w:type="dxa" w:w="2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100.3</w:t>
            </w:r>
          </w:p>
        </w:tc>
      </w:tr>
      <w:tr>
        <w:tc>
          <w:tcPr>
            <w:tcW w:type="dxa" w:w="37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Aggressive (48 net adds)</w:t>
            </w:r>
          </w:p>
        </w:tc>
        <w:tc>
          <w:tcPr>
            <w:tcW w:type="dxa" w:w="1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90.6</w:t>
            </w:r>
          </w:p>
        </w:tc>
        <w:tc>
          <w:tcPr>
            <w:tcW w:type="dxa" w:w="1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99.4</w:t>
            </w:r>
          </w:p>
        </w:tc>
        <w:tc>
          <w:tcPr>
            <w:tcW w:type="dxa" w:w="2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108.7</w:t>
            </w:r>
          </w:p>
        </w:tc>
      </w:tr>
    </w:tbl>
    <w:p>
      <w:pPr>
        <w:pStyle w:val="Heading1"/>
        <w:pageBreakBefore/>
        <w:pBdr>
          <w:bottom w:val="single" w:color="C9A227" w:sz="8" w:space="4"/>
        </w:pBdr>
        <w:spacing w:after="180" w:before="240"/>
      </w:pPr>
      <w:r>
        <w:rPr>
          <w:rFonts w:ascii="Calibri" w:cs="Calibri" w:eastAsia="Calibri" w:hAnsi="Calibri"/>
          <w:b/>
          <w:bCs/>
          <w:color w:val="0B2545"/>
          <w:sz w:val="36"/>
          <w:szCs w:val="36"/>
        </w:rPr>
        <w:t xml:space="preserve">11. Growth Strategy &amp; Investment Thesis</w:t>
      </w:r>
    </w:p>
    <w:p>
      <w:pPr>
        <w:pStyle w:val="Heading3"/>
        <w:spacing w:after="80" w:before="160"/>
      </w:pPr>
      <w:r>
        <w:rPr>
          <w:rFonts w:ascii="Calibri" w:cs="Calibri" w:eastAsia="Calibri" w:hAnsi="Calibri"/>
          <w:b/>
          <w:bCs/>
          <w:color w:val="1A1A1A"/>
          <w:sz w:val="24"/>
          <w:szCs w:val="24"/>
        </w:rPr>
        <w:t xml:space="preserve">11.1 Strategic Pillars</w:t>
      </w:r>
    </w:p>
    <w:p>
      <w:pPr>
        <w:spacing w:after="60" w:before="60"/>
        <w:jc w:val="left"/>
      </w:pPr>
      <w:r>
        <w:rPr>
          <w:rFonts w:ascii="Calibri" w:cs="Calibri" w:eastAsia="Calibri" w:hAnsi="Calibri"/>
          <w:b w:val="false"/>
          <w:bCs w:val="false"/>
          <w:i w:val="false"/>
          <w:iCs w:val="false"/>
          <w:color w:val="1A1A1A"/>
          <w:sz w:val="22"/>
          <w:szCs w:val="22"/>
        </w:rPr>
        <w:t xml:space="preserve">Management has identified five strategic pillars that anchor the FY2026–FY2030 growth plan. The plan is sequenced to defend and extend the Company's specialty positioning while building durable scale advantages in operations, brand, and capital deployment.</w:t>
      </w:r>
    </w:p>
    <w:p>
      <w:pPr>
        <w:pStyle w:val="Heading3"/>
        <w:spacing w:after="80" w:before="160"/>
      </w:pPr>
      <w:r>
        <w:rPr>
          <w:rFonts w:ascii="Calibri" w:cs="Calibri" w:eastAsia="Calibri" w:hAnsi="Calibri"/>
          <w:b/>
          <w:bCs/>
          <w:color w:val="1A1A1A"/>
          <w:sz w:val="24"/>
          <w:szCs w:val="24"/>
        </w:rPr>
        <w:t xml:space="preserve">Pillar 1: Geographic Expansion of the Owned Café Network</w:t>
      </w:r>
    </w:p>
    <w:p>
      <w:pPr>
        <w:spacing w:after="60" w:before="60"/>
        <w:jc w:val="left"/>
      </w:pPr>
      <w:r>
        <w:rPr>
          <w:rFonts w:ascii="Calibri" w:cs="Calibri" w:eastAsia="Calibri" w:hAnsi="Calibri"/>
          <w:b w:val="false"/>
          <w:bCs w:val="false"/>
          <w:i w:val="false"/>
          <w:iCs w:val="false"/>
          <w:color w:val="1A1A1A"/>
          <w:sz w:val="22"/>
          <w:szCs w:val="22"/>
        </w:rPr>
        <w:t xml:space="preserve">Meridian plans to grow from 31 cafés today to approximately 90 by FY2029. Expansion will prioritise: (i) deepening density in Bengaluru and Mumbai, where same-store sales remain in mid-single-digits; (ii) entering Delhi NCR and Chennai by Q3 FY2027; and (iii) opportunistic openings in Kochi, Goa, and Chandigarh. The Company will maintain a strict gating discipline: no city is entered without a hub-and-spoke supply solution in place.</w:t>
      </w:r>
    </w:p>
    <w:p>
      <w:pPr>
        <w:pStyle w:val="Heading3"/>
        <w:spacing w:after="80" w:before="160"/>
      </w:pPr>
      <w:r>
        <w:rPr>
          <w:rFonts w:ascii="Calibri" w:cs="Calibri" w:eastAsia="Calibri" w:hAnsi="Calibri"/>
          <w:b/>
          <w:bCs/>
          <w:color w:val="1A1A1A"/>
          <w:sz w:val="24"/>
          <w:szCs w:val="24"/>
        </w:rPr>
        <w:t xml:space="preserve">Pillar 2: D2C as a National Growth Engine</w:t>
      </w:r>
    </w:p>
    <w:p>
      <w:pPr>
        <w:spacing w:after="60" w:before="60"/>
        <w:jc w:val="left"/>
      </w:pPr>
      <w:r>
        <w:rPr>
          <w:rFonts w:ascii="Calibri" w:cs="Calibri" w:eastAsia="Calibri" w:hAnsi="Calibri"/>
          <w:b w:val="false"/>
          <w:bCs w:val="false"/>
          <w:i w:val="false"/>
          <w:iCs w:val="false"/>
          <w:color w:val="1A1A1A"/>
          <w:sz w:val="22"/>
          <w:szCs w:val="22"/>
        </w:rPr>
        <w:t xml:space="preserve">D2C is the highest-margin channel and the most capital-efficient. Investment will go to: (i) brand marketing focused on the at-home brewing occasion; (ii) loyalty and subscription product extensions including a brewing equipment + coffee bundle and a tasting kit aimed at gifting; and (iii) selective category expansion into cold brew concentrate and ready-to-drink formats. The Company aims to reach 51,000 active subscribers by FY2028, with subscription contributing 65% of D2C revenue.</w:t>
      </w:r>
    </w:p>
    <w:p>
      <w:pPr>
        <w:pStyle w:val="Heading3"/>
        <w:spacing w:after="80" w:before="160"/>
      </w:pPr>
      <w:r>
        <w:rPr>
          <w:rFonts w:ascii="Calibri" w:cs="Calibri" w:eastAsia="Calibri" w:hAnsi="Calibri"/>
          <w:b/>
          <w:bCs/>
          <w:color w:val="1A1A1A"/>
          <w:sz w:val="24"/>
          <w:szCs w:val="24"/>
        </w:rPr>
        <w:t xml:space="preserve">Pillar 3: Wholesale &amp; Institutional B2B</w:t>
      </w:r>
    </w:p>
    <w:p>
      <w:pPr>
        <w:spacing w:after="60" w:before="60"/>
        <w:jc w:val="left"/>
      </w:pPr>
      <w:r>
        <w:rPr>
          <w:rFonts w:ascii="Calibri" w:cs="Calibri" w:eastAsia="Calibri" w:hAnsi="Calibri"/>
          <w:b w:val="false"/>
          <w:bCs w:val="false"/>
          <w:i w:val="false"/>
          <w:iCs w:val="false"/>
          <w:color w:val="1A1A1A"/>
          <w:sz w:val="22"/>
          <w:szCs w:val="22"/>
        </w:rPr>
        <w:t xml:space="preserve">The wholesale book remains under-monetised. Management plans to add 35–40 anchor accounts over the projection period, prioritising premium hotel chains and emerging QSR brands. A dedicated B2B sales team of six (currently three) will be recruited in FY2026, and a private-label capability will be productised to address larger institutional accounts.</w:t>
      </w:r>
    </w:p>
    <w:p>
      <w:pPr>
        <w:pStyle w:val="Heading3"/>
        <w:spacing w:after="80" w:before="160"/>
      </w:pPr>
      <w:r>
        <w:rPr>
          <w:rFonts w:ascii="Calibri" w:cs="Calibri" w:eastAsia="Calibri" w:hAnsi="Calibri"/>
          <w:b/>
          <w:bCs/>
          <w:color w:val="1A1A1A"/>
          <w:sz w:val="24"/>
          <w:szCs w:val="24"/>
        </w:rPr>
        <w:t xml:space="preserve">Pillar 4: Roastery Capacity &amp; Vertical Depth</w:t>
      </w:r>
    </w:p>
    <w:p>
      <w:pPr>
        <w:spacing w:after="60" w:before="60"/>
        <w:jc w:val="left"/>
      </w:pPr>
      <w:r>
        <w:rPr>
          <w:rFonts w:ascii="Calibri" w:cs="Calibri" w:eastAsia="Calibri" w:hAnsi="Calibri"/>
          <w:b w:val="false"/>
          <w:bCs w:val="false"/>
          <w:i w:val="false"/>
          <w:iCs w:val="false"/>
          <w:color w:val="1A1A1A"/>
          <w:sz w:val="22"/>
          <w:szCs w:val="22"/>
        </w:rPr>
        <w:t xml:space="preserve">Phase II of the Whitefield roastery, planned for commissioning in Q3 FY2027, will roughly double output capacity. The expansion includes a dedicated cold-brew and concentrate line, a small ready-to-drink filling capability, and an upgraded green coffee storage facility. Beyond capacity, this phase deepens the Company's vertical control over emerging product categories.</w:t>
      </w:r>
    </w:p>
    <w:p>
      <w:pPr>
        <w:pStyle w:val="Heading3"/>
        <w:spacing w:after="80" w:before="160"/>
      </w:pPr>
      <w:r>
        <w:rPr>
          <w:rFonts w:ascii="Calibri" w:cs="Calibri" w:eastAsia="Calibri" w:hAnsi="Calibri"/>
          <w:b/>
          <w:bCs/>
          <w:color w:val="1A1A1A"/>
          <w:sz w:val="24"/>
          <w:szCs w:val="24"/>
        </w:rPr>
        <w:t xml:space="preserve">Pillar 5: Selective M&amp;A</w:t>
      </w:r>
    </w:p>
    <w:p>
      <w:pPr>
        <w:spacing w:after="60" w:before="60"/>
        <w:jc w:val="left"/>
      </w:pPr>
      <w:r>
        <w:rPr>
          <w:rFonts w:ascii="Calibri" w:cs="Calibri" w:eastAsia="Calibri" w:hAnsi="Calibri"/>
          <w:b w:val="false"/>
          <w:bCs w:val="false"/>
          <w:i w:val="false"/>
          <w:iCs w:val="false"/>
          <w:color w:val="1A1A1A"/>
          <w:sz w:val="22"/>
          <w:szCs w:val="22"/>
        </w:rPr>
        <w:t xml:space="preserve">Management has identified a curated set of 8–10 potential bolt-on targets, including regional micro-roasters with strong brand affinity but limited capital, and complementary D2C brands in adjacent specialty beverage categories. Bolt-ons will be evaluated on strict accretion, cultural fit, and integration capacity criteria. Up to INR 15 crore has been earmarked for one or two such transactions during the projection period.</w:t>
      </w:r>
    </w:p>
    <w:p>
      <w:pPr>
        <w:pStyle w:val="Heading3"/>
        <w:spacing w:after="80" w:before="160"/>
      </w:pPr>
      <w:r>
        <w:rPr>
          <w:rFonts w:ascii="Calibri" w:cs="Calibri" w:eastAsia="Calibri" w:hAnsi="Calibri"/>
          <w:b/>
          <w:bCs/>
          <w:color w:val="1A1A1A"/>
          <w:sz w:val="24"/>
          <w:szCs w:val="24"/>
        </w:rPr>
        <w:t xml:space="preserve">11.2 Why Now</w:t>
      </w:r>
    </w:p>
    <w:p>
      <w:pPr>
        <w:pStyle w:val="ListParagraph"/>
        <w:numPr>
          <w:ilvl w:val="0"/>
          <w:numId w:val="2"/>
        </w:numPr>
        <w:spacing w:after="40" w:before="40"/>
      </w:pPr>
      <w:r>
        <w:rPr>
          <w:rFonts w:ascii="Calibri" w:cs="Calibri" w:eastAsia="Calibri" w:hAnsi="Calibri"/>
          <w:color w:val="1A1A1A"/>
          <w:sz w:val="22"/>
          <w:szCs w:val="22"/>
        </w:rPr>
        <w:t xml:space="preserve">The Indian specialty coffee market is in the early innings of an inflection comparable to Indonesia or Vietnam in their respective S-curves. First-mover specialty brands with national scale are positioned to capture disproportionate share.</w:t>
      </w:r>
    </w:p>
    <w:p>
      <w:pPr>
        <w:pStyle w:val="ListParagraph"/>
        <w:numPr>
          <w:ilvl w:val="0"/>
          <w:numId w:val="2"/>
        </w:numPr>
        <w:spacing w:after="40" w:before="40"/>
      </w:pPr>
      <w:r>
        <w:rPr>
          <w:rFonts w:ascii="Calibri" w:cs="Calibri" w:eastAsia="Calibri" w:hAnsi="Calibri"/>
          <w:color w:val="1A1A1A"/>
          <w:sz w:val="22"/>
          <w:szCs w:val="22"/>
        </w:rPr>
        <w:t xml:space="preserve">Real-estate availability for café formats has eased post-pandemic, enabling expansion at favourable terms in landlord-driven negotiations.</w:t>
      </w:r>
    </w:p>
    <w:p>
      <w:pPr>
        <w:pStyle w:val="ListParagraph"/>
        <w:numPr>
          <w:ilvl w:val="0"/>
          <w:numId w:val="2"/>
        </w:numPr>
        <w:spacing w:after="40" w:before="40"/>
      </w:pPr>
      <w:r>
        <w:rPr>
          <w:rFonts w:ascii="Calibri" w:cs="Calibri" w:eastAsia="Calibri" w:hAnsi="Calibri"/>
          <w:color w:val="1A1A1A"/>
          <w:sz w:val="22"/>
          <w:szCs w:val="22"/>
        </w:rPr>
        <w:t xml:space="preserve">D2C unit economics in India have improved meaningfully over the last 24 months as logistics costs have stabilised and acquisition channels have matured.</w:t>
      </w:r>
    </w:p>
    <w:p>
      <w:pPr>
        <w:pStyle w:val="ListParagraph"/>
        <w:numPr>
          <w:ilvl w:val="0"/>
          <w:numId w:val="2"/>
        </w:numPr>
        <w:spacing w:after="40" w:before="40"/>
      </w:pPr>
      <w:r>
        <w:rPr>
          <w:rFonts w:ascii="Calibri" w:cs="Calibri" w:eastAsia="Calibri" w:hAnsi="Calibri"/>
          <w:color w:val="1A1A1A"/>
          <w:sz w:val="22"/>
          <w:szCs w:val="22"/>
        </w:rPr>
        <w:t xml:space="preserve">Capital availability for premium consumer brands remains strong, with multiple large rounds completed in adjacent categories during 2024 and 2025.</w:t>
      </w:r>
    </w:p>
    <w:p>
      <w:pPr>
        <w:pStyle w:val="ListParagraph"/>
        <w:numPr>
          <w:ilvl w:val="0"/>
          <w:numId w:val="2"/>
        </w:numPr>
        <w:spacing w:after="40" w:before="40"/>
      </w:pPr>
      <w:r>
        <w:rPr>
          <w:rFonts w:ascii="Calibri" w:cs="Calibri" w:eastAsia="Calibri" w:hAnsi="Calibri"/>
          <w:color w:val="1A1A1A"/>
          <w:sz w:val="22"/>
          <w:szCs w:val="22"/>
        </w:rPr>
        <w:t xml:space="preserve">Meridian's brand awareness, unit economics, and channel mix make it the most operationally mature specialty coffee asset of comparable scale in India.</w:t>
      </w:r>
    </w:p>
    <w:p>
      <w:pPr>
        <w:pStyle w:val="Heading1"/>
        <w:pageBreakBefore/>
        <w:pBdr>
          <w:bottom w:val="single" w:color="C9A227" w:sz="8" w:space="4"/>
        </w:pBdr>
        <w:spacing w:after="180" w:before="240"/>
      </w:pPr>
      <w:r>
        <w:rPr>
          <w:rFonts w:ascii="Calibri" w:cs="Calibri" w:eastAsia="Calibri" w:hAnsi="Calibri"/>
          <w:b/>
          <w:bCs/>
          <w:color w:val="0B2545"/>
          <w:sz w:val="36"/>
          <w:szCs w:val="36"/>
        </w:rPr>
        <w:t xml:space="preserve">12. Key Risks &amp; Mitigants</w:t>
      </w:r>
    </w:p>
    <w:p>
      <w:pPr>
        <w:spacing w:after="60" w:before="60"/>
        <w:jc w:val="left"/>
      </w:pPr>
      <w:r>
        <w:rPr>
          <w:rFonts w:ascii="Calibri" w:cs="Calibri" w:eastAsia="Calibri" w:hAnsi="Calibri"/>
          <w:b w:val="false"/>
          <w:bCs w:val="false"/>
          <w:i/>
          <w:iCs/>
          <w:color w:val="555555"/>
          <w:sz w:val="22"/>
          <w:szCs w:val="22"/>
        </w:rPr>
        <w:t xml:space="preserve">Management has identified the following principal risks to the business, together with the mitigants currently in place. This list is not exhaustive and prospective investors are expected to undertake their own diligence.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tblHeader/>
        </w:trPr>
        <w:tc>
          <w:tcPr>
            <w:tcW w:type="dxa" w:w="15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Risk</w:t>
            </w:r>
          </w:p>
        </w:tc>
        <w:tc>
          <w:tcPr>
            <w:tcW w:type="dxa" w:w="37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Description</w:t>
            </w:r>
          </w:p>
        </w:tc>
        <w:tc>
          <w:tcPr>
            <w:tcW w:type="dxa" w:w="416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Mitigant</w:t>
            </w:r>
          </w:p>
        </w:tc>
      </w:tr>
      <w:tr>
        <w:tc>
          <w:tcPr>
            <w:tcW w:type="dxa" w:w="15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Green coffee price volatility</w:t>
            </w:r>
          </w:p>
        </w:tc>
        <w:tc>
          <w:tcPr>
            <w:tcW w:type="dxa" w:w="3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Arabica futures have shown significant volatility, with the C-market price fluctuating between USD 1.40 and USD 4.20/lb during 2020–2025. Indian estate prices follow a lag.</w:t>
            </w:r>
          </w:p>
        </w:tc>
        <w:tc>
          <w:tcPr>
            <w:tcW w:type="dxa" w:w="41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78% of green volume on multi-year contracted pricing; 90–110 day inventory buffer; modest hedging on USD exposure; pricing elasticity demonstrated through three successful menu price increases.</w:t>
            </w:r>
          </w:p>
        </w:tc>
      </w:tr>
      <w:tr>
        <w:tc>
          <w:tcPr>
            <w:tcW w:type="dxa" w:w="15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Real-estate cost pressure</w:t>
            </w:r>
          </w:p>
        </w:tc>
        <w:tc>
          <w:tcPr>
            <w:tcW w:type="dxa" w:w="3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Metro café-format rents have escalated 12–15% per annum in select Bengaluru and Mumbai sub-markets, compressing store-level economics for new openings.</w:t>
            </w:r>
          </w:p>
        </w:tc>
        <w:tc>
          <w:tcPr>
            <w:tcW w:type="dxa" w:w="41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Disciplined gating with target rent-to-revenue ratios; landlord partnerships including revenue-share arrangements at four locations; flexible compact-format playbook for high-rent micro-markets.</w:t>
            </w:r>
          </w:p>
        </w:tc>
      </w:tr>
      <w:tr>
        <w:tc>
          <w:tcPr>
            <w:tcW w:type="dxa" w:w="15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Talent attrition (baristas)</w:t>
            </w:r>
          </w:p>
        </w:tc>
        <w:tc>
          <w:tcPr>
            <w:tcW w:type="dxa" w:w="3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Industry-wide barista attrition runs at 38–45% annually. High training cost per FTE creates real economic exposure.</w:t>
            </w:r>
          </w:p>
        </w:tc>
        <w:tc>
          <w:tcPr>
            <w:tcW w:type="dxa" w:w="41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In-house 90-day certification program; structured career progression; performance-linked retention bonuses; current café attrition of 28.4% materially below benchmark.</w:t>
            </w:r>
          </w:p>
        </w:tc>
      </w:tr>
      <w:tr>
        <w:tc>
          <w:tcPr>
            <w:tcW w:type="dxa" w:w="15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Competitive intensity</w:t>
            </w:r>
          </w:p>
        </w:tc>
        <w:tc>
          <w:tcPr>
            <w:tcW w:type="dxa" w:w="3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Well-funded peers (Blue Tokai, Third Wave) are aggressively expanding, including on D2C and out-of-home formats. International chains continue scaling Tier-1 footprints.</w:t>
            </w:r>
          </w:p>
        </w:tc>
        <w:tc>
          <w:tcPr>
            <w:tcW w:type="dxa" w:w="41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Defensible specialty positioning, vertically integrated supply, 42% unprompted brand awareness; continued differentiation through coffee-led merchandising rather than food-led format.</w:t>
            </w:r>
          </w:p>
        </w:tc>
      </w:tr>
      <w:tr>
        <w:tc>
          <w:tcPr>
            <w:tcW w:type="dxa" w:w="15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Channel concentration</w:t>
            </w:r>
          </w:p>
        </w:tc>
        <w:tc>
          <w:tcPr>
            <w:tcW w:type="dxa" w:w="3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Retail cafés contribute 64% of FY2025 revenue. A protracted weakness in metro café traffic would meaningfully impact the Company.</w:t>
            </w:r>
          </w:p>
        </w:tc>
        <w:tc>
          <w:tcPr>
            <w:tcW w:type="dxa" w:w="41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Diversified D2C and wholesale channels growing faster than retail; subscription product creates resilient recurring revenue; cross-channel customer base.</w:t>
            </w:r>
          </w:p>
        </w:tc>
      </w:tr>
      <w:tr>
        <w:tc>
          <w:tcPr>
            <w:tcW w:type="dxa" w:w="15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Regulatory &amp; FSSAI compliance</w:t>
            </w:r>
          </w:p>
        </w:tc>
        <w:tc>
          <w:tcPr>
            <w:tcW w:type="dxa" w:w="3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Food safety, packaging, and labelling regulations evolve frequently. Non-compliance can trigger product recalls or operational disruptions.</w:t>
            </w:r>
          </w:p>
        </w:tc>
        <w:tc>
          <w:tcPr>
            <w:tcW w:type="dxa" w:w="41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In-house QA and food safety team of 5; quarterly audits across all facilities; ISO 22000 certification at the central roastery.</w:t>
            </w:r>
          </w:p>
        </w:tc>
      </w:tr>
      <w:tr>
        <w:tc>
          <w:tcPr>
            <w:tcW w:type="dxa" w:w="15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Foreign exchange (USD imports)</w:t>
            </w:r>
          </w:p>
        </w:tc>
        <w:tc>
          <w:tcPr>
            <w:tcW w:type="dxa" w:w="3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Approximately 33% of green volume is imported from Ethiopia and Colombia in USD. INR depreciation directly impacts COGS.</w:t>
            </w:r>
          </w:p>
        </w:tc>
        <w:tc>
          <w:tcPr>
            <w:tcW w:type="dxa" w:w="41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Forward cover for USD exposures above USD 50,000/quarter; pricing power to pass through cost increases; counter-cyclical hedge of domestic-origin volume share.</w:t>
            </w:r>
          </w:p>
        </w:tc>
      </w:tr>
      <w:tr>
        <w:tc>
          <w:tcPr>
            <w:tcW w:type="dxa" w:w="15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Working capital intensity</w:t>
            </w:r>
          </w:p>
        </w:tc>
        <w:tc>
          <w:tcPr>
            <w:tcW w:type="dxa" w:w="3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Long inventory cycle (108 days) creates capital lock-up; growth in green inventory required to support roastery expansion.</w:t>
            </w:r>
          </w:p>
        </w:tc>
        <w:tc>
          <w:tcPr>
            <w:tcW w:type="dxa" w:w="41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Working capital line with HDFC Bank (INR 24 crore facility, INR 9 crore drawn at FY25); supplier payment terms extended to 51 days; cash conversion cycle stable at 73 days for two consecutive years.</w:t>
            </w:r>
          </w:p>
        </w:tc>
      </w:tr>
      <w:tr>
        <w:tc>
          <w:tcPr>
            <w:tcW w:type="dxa" w:w="15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Founder concentration &amp; key-person risk</w:t>
            </w:r>
          </w:p>
        </w:tc>
        <w:tc>
          <w:tcPr>
            <w:tcW w:type="dxa" w:w="3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Founders together hold 58.2% of equity and remain operationally embedded across critical functions.</w:t>
            </w:r>
          </w:p>
        </w:tc>
        <w:tc>
          <w:tcPr>
            <w:tcW w:type="dxa" w:w="41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Eight-person senior leadership team with average 2.6 years of tenure; structured ESOP; founders open to formal transition agreements as part of any transaction.</w:t>
            </w:r>
          </w:p>
        </w:tc>
      </w:tr>
    </w:tbl>
    <w:p>
      <w:pPr>
        <w:pStyle w:val="Heading1"/>
        <w:pageBreakBefore/>
        <w:pBdr>
          <w:bottom w:val="single" w:color="C9A227" w:sz="8" w:space="4"/>
        </w:pBdr>
        <w:spacing w:after="180" w:before="240"/>
      </w:pPr>
      <w:r>
        <w:rPr>
          <w:rFonts w:ascii="Calibri" w:cs="Calibri" w:eastAsia="Calibri" w:hAnsi="Calibri"/>
          <w:b/>
          <w:bCs/>
          <w:color w:val="0B2545"/>
          <w:sz w:val="36"/>
          <w:szCs w:val="36"/>
        </w:rPr>
        <w:t xml:space="preserve">13. Appendices</w:t>
      </w:r>
    </w:p>
    <w:p>
      <w:pPr>
        <w:pStyle w:val="Heading2"/>
        <w:spacing w:after="120" w:before="200"/>
      </w:pPr>
      <w:r>
        <w:rPr>
          <w:rFonts w:ascii="Calibri" w:cs="Calibri" w:eastAsia="Calibri" w:hAnsi="Calibri"/>
          <w:b/>
          <w:bCs/>
          <w:color w:val="0B2545"/>
          <w:sz w:val="28"/>
          <w:szCs w:val="28"/>
        </w:rPr>
        <w:t xml:space="preserve">Appendix A: Detailed Historical Financial Statements</w:t>
      </w:r>
    </w:p>
    <w:p>
      <w:pPr>
        <w:pStyle w:val="Heading3"/>
        <w:spacing w:after="80" w:before="160"/>
      </w:pPr>
      <w:r>
        <w:rPr>
          <w:rFonts w:ascii="Calibri" w:cs="Calibri" w:eastAsia="Calibri" w:hAnsi="Calibri"/>
          <w:b/>
          <w:bCs/>
          <w:color w:val="1A1A1A"/>
          <w:sz w:val="24"/>
          <w:szCs w:val="24"/>
        </w:rPr>
        <w:t xml:space="preserve">A.1 Five-Year Summary P&amp;L (INR 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72"/>
        <w:gridCol w:w="1272"/>
        <w:gridCol w:w="1272"/>
        <w:gridCol w:w="1272"/>
        <w:gridCol w:w="1272"/>
      </w:tblGrid>
      <w:tr>
        <w:trPr>
          <w:tblHeader/>
        </w:trPr>
        <w:tc>
          <w:tcPr>
            <w:tcW w:type="dxa" w:w="30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Line Item</w:t>
            </w:r>
          </w:p>
        </w:tc>
        <w:tc>
          <w:tcPr>
            <w:tcW w:type="dxa" w:w="1272"/>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FY2021A</w:t>
            </w:r>
          </w:p>
        </w:tc>
        <w:tc>
          <w:tcPr>
            <w:tcW w:type="dxa" w:w="1272"/>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FY2022A</w:t>
            </w:r>
          </w:p>
        </w:tc>
        <w:tc>
          <w:tcPr>
            <w:tcW w:type="dxa" w:w="1272"/>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FY2023A</w:t>
            </w:r>
          </w:p>
        </w:tc>
        <w:tc>
          <w:tcPr>
            <w:tcW w:type="dxa" w:w="1272"/>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FY2024A</w:t>
            </w:r>
          </w:p>
        </w:tc>
        <w:tc>
          <w:tcPr>
            <w:tcW w:type="dxa" w:w="1272"/>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FY2025A</w:t>
            </w:r>
          </w:p>
        </w:tc>
      </w:tr>
      <w:tr>
        <w:tc>
          <w:tcPr>
            <w:tcW w:type="dxa" w:w="3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Revenue</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41.2</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62.8</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94.7</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138.4</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187.6</w:t>
            </w:r>
          </w:p>
        </w:tc>
      </w:tr>
      <w:tr>
        <w:tc>
          <w:tcPr>
            <w:tcW w:type="dxa" w:w="3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COGS</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(18.1)</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(25.8)</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(36.7)</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(51.7)</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(66.6)</w:t>
            </w:r>
          </w:p>
        </w:tc>
      </w:tr>
      <w:tr>
        <w:tc>
          <w:tcPr>
            <w:tcW w:type="dxa" w:w="3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Gross profit</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23.1</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37.0</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58.0</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86.7</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121.0</w:t>
            </w:r>
          </w:p>
        </w:tc>
      </w:tr>
      <w:tr>
        <w:tc>
          <w:tcPr>
            <w:tcW w:type="dxa" w:w="3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Personnel</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(8.4)</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(13.2)</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(20.1)</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(28.7)</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(37.5)</w:t>
            </w:r>
          </w:p>
        </w:tc>
      </w:tr>
      <w:tr>
        <w:tc>
          <w:tcPr>
            <w:tcW w:type="dxa" w:w="3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Rent</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(4.6)</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(6.8)</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(9.4)</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(13.1)</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(17.6)</w:t>
            </w:r>
          </w:p>
        </w:tc>
      </w:tr>
      <w:tr>
        <w:tc>
          <w:tcPr>
            <w:tcW w:type="dxa" w:w="3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Marketing</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(3.6)</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(5.4)</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(8.1)</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(11.3)</w:t>
            </w:r>
          </w:p>
        </w:tc>
      </w:tr>
      <w:tr>
        <w:tc>
          <w:tcPr>
            <w:tcW w:type="dxa" w:w="3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Other opex</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(5.2)</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(6.7)</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(11.0)</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(15.4)</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(22.0)</w:t>
            </w:r>
          </w:p>
        </w:tc>
      </w:tr>
      <w:tr>
        <w:tc>
          <w:tcPr>
            <w:tcW w:type="dxa" w:w="3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EBITDA</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6.7</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12.1</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21.4</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32.6</w:t>
            </w:r>
          </w:p>
        </w:tc>
      </w:tr>
      <w:tr>
        <w:tc>
          <w:tcPr>
            <w:tcW w:type="dxa" w:w="3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D&amp;A</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(2.7)</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(3.8)</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(5.2)</w:t>
            </w:r>
          </w:p>
        </w:tc>
      </w:tr>
      <w:tr>
        <w:tc>
          <w:tcPr>
            <w:tcW w:type="dxa" w:w="3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EBIT</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4.8</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9.4</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17.6</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27.4</w:t>
            </w:r>
          </w:p>
        </w:tc>
      </w:tr>
      <w:tr>
        <w:tc>
          <w:tcPr>
            <w:tcW w:type="dxa" w:w="3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Finance costs</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(0.7)</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w:t>
            </w:r>
          </w:p>
        </w:tc>
      </w:tr>
      <w:tr>
        <w:tc>
          <w:tcPr>
            <w:tcW w:type="dxa" w:w="3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Other income</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0.1</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0.2</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0.3</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0.4</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0.5</w:t>
            </w:r>
          </w:p>
        </w:tc>
      </w:tr>
      <w:tr>
        <w:tc>
          <w:tcPr>
            <w:tcW w:type="dxa" w:w="30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PBT</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0.8</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3.8</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8.1</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15.9</w:t>
            </w:r>
          </w:p>
        </w:tc>
        <w:tc>
          <w:tcPr>
            <w:tcW w:type="dxa" w:w="127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25.3</w:t>
            </w:r>
          </w:p>
        </w:tc>
      </w:tr>
      <w:tr>
        <w:tc>
          <w:tcPr>
            <w:tcW w:type="dxa" w:w="3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Tax</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(0.4)</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(1.7)</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(2.7)</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(4.7)</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(6.6)</w:t>
            </w:r>
          </w:p>
        </w:tc>
      </w:tr>
      <w:tr>
        <w:tc>
          <w:tcPr>
            <w:tcW w:type="dxa" w:w="30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PAT</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0.4</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2.1</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5.4</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11.2</w:t>
            </w:r>
          </w:p>
        </w:tc>
        <w:tc>
          <w:tcPr>
            <w:tcW w:type="dxa" w:w="127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18.7</w:t>
            </w:r>
          </w:p>
        </w:tc>
      </w:tr>
    </w:tbl>
    <w:p>
      <w:pPr>
        <w:pStyle w:val="Heading3"/>
        <w:spacing w:after="80" w:before="160"/>
      </w:pPr>
      <w:r>
        <w:rPr>
          <w:rFonts w:ascii="Calibri" w:cs="Calibri" w:eastAsia="Calibri" w:hAnsi="Calibri"/>
          <w:b/>
          <w:bCs/>
          <w:color w:val="1A1A1A"/>
          <w:sz w:val="24"/>
          <w:szCs w:val="24"/>
        </w:rPr>
        <w:t xml:space="preserve">A.2 Quarterly Revenue (INR cr) — FY2024 &amp; FY2025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1300"/>
        <w:gridCol w:w="1300"/>
        <w:gridCol w:w="1300"/>
        <w:gridCol w:w="860"/>
      </w:tblGrid>
      <w:tr>
        <w:trPr>
          <w:tblHeader/>
        </w:trPr>
        <w:tc>
          <w:tcPr>
            <w:tcW w:type="dxa" w:w="33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Quarter</w:t>
            </w:r>
          </w:p>
        </w:tc>
        <w:tc>
          <w:tcPr>
            <w:tcW w:type="dxa" w:w="13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Q1</w:t>
            </w:r>
          </w:p>
        </w:tc>
        <w:tc>
          <w:tcPr>
            <w:tcW w:type="dxa" w:w="13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Q2</w:t>
            </w:r>
          </w:p>
        </w:tc>
        <w:tc>
          <w:tcPr>
            <w:tcW w:type="dxa" w:w="13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Q3</w:t>
            </w:r>
          </w:p>
        </w:tc>
        <w:tc>
          <w:tcPr>
            <w:tcW w:type="dxa" w:w="13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Q4</w:t>
            </w:r>
          </w:p>
        </w:tc>
        <w:tc>
          <w:tcPr>
            <w:tcW w:type="dxa" w:w="86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Full Year</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FY2024 — Retail Cafés</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19.4</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21.1</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23.8</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25.5</w:t>
            </w:r>
          </w:p>
        </w:tc>
        <w:tc>
          <w:tcPr>
            <w:tcW w:type="dxa" w:w="8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89.8</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FY2024 — D2C</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6.4</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7.2</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8.6</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9.7</w:t>
            </w:r>
          </w:p>
        </w:tc>
        <w:tc>
          <w:tcPr>
            <w:tcW w:type="dxa" w:w="8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31.9</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FY2024 — Wholesale</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3.4</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3.8</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4.4</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5.1</w:t>
            </w:r>
          </w:p>
        </w:tc>
        <w:tc>
          <w:tcPr>
            <w:tcW w:type="dxa" w:w="8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16.7</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1A1A1A"/>
                <w:sz w:val="20"/>
                <w:szCs w:val="20"/>
              </w:rPr>
              <w:t xml:space="preserve">FY2024 Total</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29.2</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32.1</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36.8</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40.3</w:t>
            </w:r>
          </w:p>
        </w:tc>
        <w:tc>
          <w:tcPr>
            <w:tcW w:type="dxa" w:w="8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1A1A1A"/>
                <w:sz w:val="20"/>
                <w:szCs w:val="20"/>
              </w:rPr>
              <w:t xml:space="preserve">138.4</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FY2025 — Retail Cafés</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26.4</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28.7</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31.2</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33.7</w:t>
            </w:r>
          </w:p>
        </w:tc>
        <w:tc>
          <w:tcPr>
            <w:tcW w:type="dxa" w:w="8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120.0</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FY2025 — D2C</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8.2</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9.4</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10.5</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11.3</w:t>
            </w:r>
          </w:p>
        </w:tc>
        <w:tc>
          <w:tcPr>
            <w:tcW w:type="dxa" w:w="8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39.4</w:t>
            </w:r>
          </w:p>
        </w:tc>
      </w:tr>
      <w:tr>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FY2025 — Wholesale</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5.7</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6.5</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7.4</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8.6</w:t>
            </w:r>
          </w:p>
        </w:tc>
        <w:tc>
          <w:tcPr>
            <w:tcW w:type="dxa" w:w="8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28.2</w:t>
            </w:r>
          </w:p>
        </w:tc>
      </w:tr>
      <w:tr>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FY2025 Total</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40.3</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44.6</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49.1</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53.6</w:t>
            </w:r>
          </w:p>
        </w:tc>
        <w:tc>
          <w:tcPr>
            <w:tcW w:type="dxa" w:w="8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187.6</w:t>
            </w:r>
          </w:p>
        </w:tc>
      </w:tr>
    </w:tbl>
    <w:p>
      <w:pPr>
        <w:pStyle w:val="Heading2"/>
        <w:spacing w:after="120" w:before="200"/>
      </w:pPr>
      <w:r>
        <w:rPr>
          <w:rFonts w:ascii="Calibri" w:cs="Calibri" w:eastAsia="Calibri" w:hAnsi="Calibri"/>
          <w:b/>
          <w:bCs/>
          <w:color w:val="0B2545"/>
          <w:sz w:val="28"/>
          <w:szCs w:val="28"/>
        </w:rPr>
        <w:t xml:space="preserve">Appendix B: Café-Level Detail</w:t>
      </w:r>
    </w:p>
    <w:p>
      <w:pPr>
        <w:pStyle w:val="Heading3"/>
        <w:spacing w:after="80" w:before="160"/>
      </w:pPr>
      <w:r>
        <w:rPr>
          <w:rFonts w:ascii="Calibri" w:cs="Calibri" w:eastAsia="Calibri" w:hAnsi="Calibri"/>
          <w:b/>
          <w:bCs/>
          <w:color w:val="1A1A1A"/>
          <w:sz w:val="24"/>
          <w:szCs w:val="24"/>
        </w:rPr>
        <w:t xml:space="preserve">B.1 Café Vintage Cohort Performance (Avg Annual Revenue, INR 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132"/>
        <w:gridCol w:w="1132"/>
        <w:gridCol w:w="1132"/>
        <w:gridCol w:w="1132"/>
        <w:gridCol w:w="1132"/>
      </w:tblGrid>
      <w:tr>
        <w:trPr>
          <w:tblHeader/>
        </w:trPr>
        <w:tc>
          <w:tcPr>
            <w:tcW w:type="dxa" w:w="24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Cohort (Year Opened)</w:t>
            </w:r>
          </w:p>
        </w:tc>
        <w:tc>
          <w:tcPr>
            <w:tcW w:type="dxa" w:w="13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Cafés in Cohort</w:t>
            </w:r>
          </w:p>
        </w:tc>
        <w:tc>
          <w:tcPr>
            <w:tcW w:type="dxa" w:w="1132"/>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Year 1</w:t>
            </w:r>
          </w:p>
        </w:tc>
        <w:tc>
          <w:tcPr>
            <w:tcW w:type="dxa" w:w="1132"/>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Year 2</w:t>
            </w:r>
          </w:p>
        </w:tc>
        <w:tc>
          <w:tcPr>
            <w:tcW w:type="dxa" w:w="1132"/>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Year 3</w:t>
            </w:r>
          </w:p>
        </w:tc>
        <w:tc>
          <w:tcPr>
            <w:tcW w:type="dxa" w:w="1132"/>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Year 4</w:t>
            </w:r>
          </w:p>
        </w:tc>
        <w:tc>
          <w:tcPr>
            <w:tcW w:type="dxa" w:w="1132"/>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Year 5+</w:t>
            </w:r>
          </w:p>
        </w:tc>
      </w:tr>
      <w:tr>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FY2017 &amp; earlier</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w:t>
            </w:r>
          </w:p>
        </w:tc>
        <w:tc>
          <w:tcPr>
            <w:tcW w:type="dxa" w:w="11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1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1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1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4.6</w:t>
            </w:r>
          </w:p>
        </w:tc>
        <w:tc>
          <w:tcPr>
            <w:tcW w:type="dxa" w:w="11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5.1</w:t>
            </w:r>
          </w:p>
        </w:tc>
      </w:tr>
      <w:tr>
        <w:tc>
          <w:tcPr>
            <w:tcW w:type="dxa" w:w="2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FY2018</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w:t>
            </w:r>
          </w:p>
        </w:tc>
        <w:tc>
          <w:tcPr>
            <w:tcW w:type="dxa" w:w="113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w:t>
            </w:r>
          </w:p>
        </w:tc>
        <w:tc>
          <w:tcPr>
            <w:tcW w:type="dxa" w:w="113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w:t>
            </w:r>
          </w:p>
        </w:tc>
        <w:tc>
          <w:tcPr>
            <w:tcW w:type="dxa" w:w="113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3.8</w:t>
            </w:r>
          </w:p>
        </w:tc>
        <w:tc>
          <w:tcPr>
            <w:tcW w:type="dxa" w:w="113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4.2</w:t>
            </w:r>
          </w:p>
        </w:tc>
        <w:tc>
          <w:tcPr>
            <w:tcW w:type="dxa" w:w="113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4.6</w:t>
            </w:r>
          </w:p>
        </w:tc>
      </w:tr>
      <w:tr>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FY2019</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w:t>
            </w:r>
          </w:p>
        </w:tc>
        <w:tc>
          <w:tcPr>
            <w:tcW w:type="dxa" w:w="11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w:t>
            </w:r>
          </w:p>
        </w:tc>
        <w:tc>
          <w:tcPr>
            <w:tcW w:type="dxa" w:w="11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3.4</w:t>
            </w:r>
          </w:p>
        </w:tc>
        <w:tc>
          <w:tcPr>
            <w:tcW w:type="dxa" w:w="11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4.0</w:t>
            </w:r>
          </w:p>
        </w:tc>
        <w:tc>
          <w:tcPr>
            <w:tcW w:type="dxa" w:w="11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4.4</w:t>
            </w:r>
          </w:p>
        </w:tc>
        <w:tc>
          <w:tcPr>
            <w:tcW w:type="dxa" w:w="11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4.7</w:t>
            </w:r>
          </w:p>
        </w:tc>
      </w:tr>
      <w:tr>
        <w:tc>
          <w:tcPr>
            <w:tcW w:type="dxa" w:w="2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FY2020</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w:t>
            </w:r>
          </w:p>
        </w:tc>
        <w:tc>
          <w:tcPr>
            <w:tcW w:type="dxa" w:w="113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2.7</w:t>
            </w:r>
          </w:p>
        </w:tc>
        <w:tc>
          <w:tcPr>
            <w:tcW w:type="dxa" w:w="113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3.5</w:t>
            </w:r>
          </w:p>
        </w:tc>
        <w:tc>
          <w:tcPr>
            <w:tcW w:type="dxa" w:w="113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4.1</w:t>
            </w:r>
          </w:p>
        </w:tc>
        <w:tc>
          <w:tcPr>
            <w:tcW w:type="dxa" w:w="113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4.5</w:t>
            </w:r>
          </w:p>
        </w:tc>
        <w:tc>
          <w:tcPr>
            <w:tcW w:type="dxa" w:w="113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4.8</w:t>
            </w:r>
          </w:p>
        </w:tc>
      </w:tr>
      <w:tr>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FY2021</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w:t>
            </w:r>
          </w:p>
        </w:tc>
        <w:tc>
          <w:tcPr>
            <w:tcW w:type="dxa" w:w="11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w:t>
            </w:r>
          </w:p>
        </w:tc>
        <w:tc>
          <w:tcPr>
            <w:tcW w:type="dxa" w:w="11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3.6</w:t>
            </w:r>
          </w:p>
        </w:tc>
        <w:tc>
          <w:tcPr>
            <w:tcW w:type="dxa" w:w="11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4.2</w:t>
            </w:r>
          </w:p>
        </w:tc>
        <w:tc>
          <w:tcPr>
            <w:tcW w:type="dxa" w:w="11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4.6</w:t>
            </w:r>
          </w:p>
        </w:tc>
        <w:tc>
          <w:tcPr>
            <w:tcW w:type="dxa" w:w="11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r>
      <w:tr>
        <w:tc>
          <w:tcPr>
            <w:tcW w:type="dxa" w:w="2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FY2022</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w:t>
            </w:r>
          </w:p>
        </w:tc>
        <w:tc>
          <w:tcPr>
            <w:tcW w:type="dxa" w:w="113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2.9</w:t>
            </w:r>
          </w:p>
        </w:tc>
        <w:tc>
          <w:tcPr>
            <w:tcW w:type="dxa" w:w="113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3.8</w:t>
            </w:r>
          </w:p>
        </w:tc>
        <w:tc>
          <w:tcPr>
            <w:tcW w:type="dxa" w:w="113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4.4</w:t>
            </w:r>
          </w:p>
        </w:tc>
        <w:tc>
          <w:tcPr>
            <w:tcW w:type="dxa" w:w="113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13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r>
      <w:tr>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FY2023</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w:t>
            </w:r>
          </w:p>
        </w:tc>
        <w:tc>
          <w:tcPr>
            <w:tcW w:type="dxa" w:w="11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w:t>
            </w:r>
          </w:p>
        </w:tc>
        <w:tc>
          <w:tcPr>
            <w:tcW w:type="dxa" w:w="11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4.0</w:t>
            </w:r>
          </w:p>
        </w:tc>
        <w:tc>
          <w:tcPr>
            <w:tcW w:type="dxa" w:w="11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1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1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r>
      <w:tr>
        <w:tc>
          <w:tcPr>
            <w:tcW w:type="dxa" w:w="2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FY2024</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w:t>
            </w:r>
          </w:p>
        </w:tc>
        <w:tc>
          <w:tcPr>
            <w:tcW w:type="dxa" w:w="113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3.3</w:t>
            </w:r>
          </w:p>
        </w:tc>
        <w:tc>
          <w:tcPr>
            <w:tcW w:type="dxa" w:w="113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13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13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13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r>
      <w:tr>
        <w:tc>
          <w:tcPr>
            <w:tcW w:type="dxa" w:w="2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FY2025</w:t>
            </w:r>
          </w:p>
        </w:tc>
        <w:tc>
          <w:tcPr>
            <w:tcW w:type="dxa" w:w="1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w:t>
            </w:r>
          </w:p>
        </w:tc>
        <w:tc>
          <w:tcPr>
            <w:tcW w:type="dxa" w:w="11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1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1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1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132"/>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r>
      <w:tr>
        <w:tc>
          <w:tcPr>
            <w:tcW w:type="dxa" w:w="2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Portfolio average</w:t>
            </w:r>
          </w:p>
        </w:tc>
        <w:tc>
          <w:tcPr>
            <w:tcW w:type="dxa" w:w="1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31</w:t>
            </w:r>
          </w:p>
        </w:tc>
        <w:tc>
          <w:tcPr>
            <w:tcW w:type="dxa" w:w="113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3.0</w:t>
            </w:r>
          </w:p>
        </w:tc>
        <w:tc>
          <w:tcPr>
            <w:tcW w:type="dxa" w:w="113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3.6</w:t>
            </w:r>
          </w:p>
        </w:tc>
        <w:tc>
          <w:tcPr>
            <w:tcW w:type="dxa" w:w="113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4.1</w:t>
            </w:r>
          </w:p>
        </w:tc>
        <w:tc>
          <w:tcPr>
            <w:tcW w:type="dxa" w:w="113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4.5</w:t>
            </w:r>
          </w:p>
        </w:tc>
        <w:tc>
          <w:tcPr>
            <w:tcW w:type="dxa" w:w="1132"/>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4.8</w:t>
            </w:r>
          </w:p>
        </w:tc>
      </w:tr>
    </w:tbl>
    <w:p>
      <w:pPr>
        <w:pStyle w:val="Heading3"/>
        <w:spacing w:after="80" w:before="160"/>
      </w:pPr>
      <w:r>
        <w:rPr>
          <w:rFonts w:ascii="Calibri" w:cs="Calibri" w:eastAsia="Calibri" w:hAnsi="Calibri"/>
          <w:b/>
          <w:bCs/>
          <w:color w:val="1A1A1A"/>
          <w:sz w:val="24"/>
          <w:szCs w:val="24"/>
        </w:rPr>
        <w:t xml:space="preserve">B.2 Café Capex Schedule (INR 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700"/>
        <w:gridCol w:w="1700"/>
        <w:gridCol w:w="1560"/>
      </w:tblGrid>
      <w:tr>
        <w:trPr>
          <w:tblHeader/>
        </w:trPr>
        <w:tc>
          <w:tcPr>
            <w:tcW w:type="dxa" w:w="44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Component</w:t>
            </w:r>
          </w:p>
        </w:tc>
        <w:tc>
          <w:tcPr>
            <w:tcW w:type="dxa" w:w="17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Compact</w:t>
            </w:r>
          </w:p>
        </w:tc>
        <w:tc>
          <w:tcPr>
            <w:tcW w:type="dxa" w:w="17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Flagship</w:t>
            </w:r>
          </w:p>
        </w:tc>
        <w:tc>
          <w:tcPr>
            <w:tcW w:type="dxa" w:w="156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Average</w:t>
            </w:r>
          </w:p>
        </w:tc>
      </w:tr>
      <w:tr>
        <w:tc>
          <w:tcPr>
            <w:tcW w:type="dxa" w:w="4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Civil &amp; interior fit-out</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62</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104</w:t>
            </w:r>
          </w:p>
        </w:tc>
        <w:tc>
          <w:tcPr>
            <w:tcW w:type="dxa" w:w="15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84</w:t>
            </w:r>
          </w:p>
        </w:tc>
      </w:tr>
      <w:tr>
        <w:tc>
          <w:tcPr>
            <w:tcW w:type="dxa" w:w="4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Equipment (espresso, brew bar, kitchen)</w:t>
            </w:r>
          </w:p>
        </w:tc>
        <w:tc>
          <w:tcPr>
            <w:tcW w:type="dxa" w:w="1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w:t>
            </w:r>
          </w:p>
        </w:tc>
        <w:tc>
          <w:tcPr>
            <w:tcW w:type="dxa" w:w="1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44</w:t>
            </w:r>
          </w:p>
        </w:tc>
        <w:tc>
          <w:tcPr>
            <w:tcW w:type="dxa" w:w="15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37</w:t>
            </w:r>
          </w:p>
        </w:tc>
      </w:tr>
      <w:tr>
        <w:tc>
          <w:tcPr>
            <w:tcW w:type="dxa" w:w="4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Furniture &amp; lighting</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w:t>
            </w:r>
          </w:p>
        </w:tc>
        <w:tc>
          <w:tcPr>
            <w:tcW w:type="dxa" w:w="15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w:t>
            </w:r>
          </w:p>
        </w:tc>
      </w:tr>
      <w:tr>
        <w:tc>
          <w:tcPr>
            <w:tcW w:type="dxa" w:w="4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Pre-opening &amp; training</w:t>
            </w:r>
          </w:p>
        </w:tc>
        <w:tc>
          <w:tcPr>
            <w:tcW w:type="dxa" w:w="1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w:t>
            </w:r>
          </w:p>
        </w:tc>
        <w:tc>
          <w:tcPr>
            <w:tcW w:type="dxa" w:w="1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w:t>
            </w:r>
          </w:p>
        </w:tc>
        <w:tc>
          <w:tcPr>
            <w:tcW w:type="dxa" w:w="15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w:t>
            </w:r>
          </w:p>
        </w:tc>
      </w:tr>
      <w:tr>
        <w:tc>
          <w:tcPr>
            <w:tcW w:type="dxa" w:w="4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Branding &amp; signage</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w:t>
            </w:r>
          </w:p>
        </w:tc>
        <w:tc>
          <w:tcPr>
            <w:tcW w:type="dxa" w:w="1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w:t>
            </w:r>
          </w:p>
        </w:tc>
        <w:tc>
          <w:tcPr>
            <w:tcW w:type="dxa" w:w="15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w:t>
            </w:r>
          </w:p>
        </w:tc>
      </w:tr>
      <w:tr>
        <w:tc>
          <w:tcPr>
            <w:tcW w:type="dxa" w:w="4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Contingency</w:t>
            </w:r>
          </w:p>
        </w:tc>
        <w:tc>
          <w:tcPr>
            <w:tcW w:type="dxa" w:w="1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w:t>
            </w:r>
          </w:p>
        </w:tc>
        <w:tc>
          <w:tcPr>
            <w:tcW w:type="dxa" w:w="1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w:t>
            </w:r>
          </w:p>
        </w:tc>
        <w:tc>
          <w:tcPr>
            <w:tcW w:type="dxa" w:w="15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w:t>
            </w:r>
          </w:p>
        </w:tc>
      </w:tr>
      <w:tr>
        <w:tc>
          <w:tcPr>
            <w:tcW w:type="dxa" w:w="4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Total Build-Out (INR L)</w:t>
            </w:r>
          </w:p>
        </w:tc>
        <w:tc>
          <w:tcPr>
            <w:tcW w:type="dxa" w:w="1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112</w:t>
            </w:r>
          </w:p>
        </w:tc>
        <w:tc>
          <w:tcPr>
            <w:tcW w:type="dxa" w:w="1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186</w:t>
            </w:r>
          </w:p>
        </w:tc>
        <w:tc>
          <w:tcPr>
            <w:tcW w:type="dxa" w:w="15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162</w:t>
            </w:r>
          </w:p>
        </w:tc>
      </w:tr>
    </w:tbl>
    <w:p>
      <w:r>
        <w:br w:type="page"/>
      </w:r>
    </w:p>
    <w:p>
      <w:pPr>
        <w:pStyle w:val="Heading2"/>
        <w:spacing w:after="120" w:before="200"/>
      </w:pPr>
      <w:r>
        <w:rPr>
          <w:rFonts w:ascii="Calibri" w:cs="Calibri" w:eastAsia="Calibri" w:hAnsi="Calibri"/>
          <w:b/>
          <w:bCs/>
          <w:color w:val="0B2545"/>
          <w:sz w:val="28"/>
          <w:szCs w:val="28"/>
        </w:rPr>
        <w:t xml:space="preserve">Appendix C: D2C &amp; Subscription Cohort Analysis</w:t>
      </w:r>
    </w:p>
    <w:p>
      <w:pPr>
        <w:pStyle w:val="Heading3"/>
        <w:spacing w:after="80" w:before="160"/>
      </w:pPr>
      <w:r>
        <w:rPr>
          <w:rFonts w:ascii="Calibri" w:cs="Calibri" w:eastAsia="Calibri" w:hAnsi="Calibri"/>
          <w:b/>
          <w:bCs/>
          <w:color w:val="1A1A1A"/>
          <w:sz w:val="24"/>
          <w:szCs w:val="24"/>
        </w:rPr>
        <w:t xml:space="preserve">C.1 Subscription Cohort Retention (% Active After N Months)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1080"/>
        <w:gridCol w:w="1080"/>
        <w:gridCol w:w="1080"/>
        <w:gridCol w:w="1080"/>
        <w:gridCol w:w="1080"/>
        <w:gridCol w:w="1080"/>
        <w:gridCol w:w="1080"/>
      </w:tblGrid>
      <w:tr>
        <w:trPr>
          <w:tblHeader/>
        </w:trPr>
        <w:tc>
          <w:tcPr>
            <w:tcW w:type="dxa" w:w="22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Cohort</w:t>
            </w:r>
          </w:p>
        </w:tc>
        <w:tc>
          <w:tcPr>
            <w:tcW w:type="dxa" w:w="108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M0</w:t>
            </w:r>
          </w:p>
        </w:tc>
        <w:tc>
          <w:tcPr>
            <w:tcW w:type="dxa" w:w="108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M3</w:t>
            </w:r>
          </w:p>
        </w:tc>
        <w:tc>
          <w:tcPr>
            <w:tcW w:type="dxa" w:w="108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M6</w:t>
            </w:r>
          </w:p>
        </w:tc>
        <w:tc>
          <w:tcPr>
            <w:tcW w:type="dxa" w:w="108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M9</w:t>
            </w:r>
          </w:p>
        </w:tc>
        <w:tc>
          <w:tcPr>
            <w:tcW w:type="dxa" w:w="108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M12</w:t>
            </w:r>
          </w:p>
        </w:tc>
        <w:tc>
          <w:tcPr>
            <w:tcW w:type="dxa" w:w="108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M18</w:t>
            </w:r>
          </w:p>
        </w:tc>
        <w:tc>
          <w:tcPr>
            <w:tcW w:type="dxa" w:w="108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M24</w:t>
            </w:r>
          </w:p>
        </w:tc>
      </w:tr>
      <w:tr>
        <w:tc>
          <w:tcPr>
            <w:tcW w:type="dxa" w:w="2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FY2023 H1</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100%</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78%</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62%</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53%</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47%</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39%</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33%</w:t>
            </w:r>
          </w:p>
        </w:tc>
      </w:tr>
      <w:tr>
        <w:tc>
          <w:tcPr>
            <w:tcW w:type="dxa" w:w="2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FY2023 H2</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100%</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81%</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67%</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58%</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52%</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44%</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38%</w:t>
            </w:r>
          </w:p>
        </w:tc>
      </w:tr>
      <w:tr>
        <w:tc>
          <w:tcPr>
            <w:tcW w:type="dxa" w:w="2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FY2024 H1</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100%</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83%</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71%</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62%</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57%</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49%</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r>
      <w:tr>
        <w:tc>
          <w:tcPr>
            <w:tcW w:type="dxa" w:w="2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FY2024 H2</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100%</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86%</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74%</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66%</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61%</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r>
      <w:tr>
        <w:tc>
          <w:tcPr>
            <w:tcW w:type="dxa" w:w="22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FY2025 H1</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100%</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88%</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77%</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70%</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r>
      <w:tr>
        <w:tc>
          <w:tcPr>
            <w:tcW w:type="dxa" w:w="22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FY2025 H2</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100%</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90%</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79%</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r>
    </w:tbl>
    <w:p>
      <w:pPr>
        <w:pStyle w:val="Heading3"/>
        <w:spacing w:after="80" w:before="160"/>
      </w:pPr>
      <w:r>
        <w:rPr>
          <w:rFonts w:ascii="Calibri" w:cs="Calibri" w:eastAsia="Calibri" w:hAnsi="Calibri"/>
          <w:b/>
          <w:bCs/>
          <w:color w:val="1A1A1A"/>
          <w:sz w:val="24"/>
          <w:szCs w:val="24"/>
        </w:rPr>
        <w:t xml:space="preserve">C.2 D2C Customer Acquisition Cost &amp; LTV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400"/>
        <w:gridCol w:w="1400"/>
      </w:tblGrid>
      <w:tr>
        <w:trPr>
          <w:tblHeader/>
        </w:trPr>
        <w:tc>
          <w:tcPr>
            <w:tcW w:type="dxa" w:w="376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Metric</w:t>
            </w:r>
          </w:p>
        </w:tc>
        <w:tc>
          <w:tcPr>
            <w:tcW w:type="dxa" w:w="14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FY22</w:t>
            </w:r>
          </w:p>
        </w:tc>
        <w:tc>
          <w:tcPr>
            <w:tcW w:type="dxa" w:w="14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FY23</w:t>
            </w:r>
          </w:p>
        </w:tc>
        <w:tc>
          <w:tcPr>
            <w:tcW w:type="dxa" w:w="14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FY24</w:t>
            </w:r>
          </w:p>
        </w:tc>
        <w:tc>
          <w:tcPr>
            <w:tcW w:type="dxa" w:w="14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FY25</w:t>
            </w:r>
          </w:p>
        </w:tc>
      </w:tr>
      <w:tr>
        <w:tc>
          <w:tcPr>
            <w:tcW w:type="dxa" w:w="37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Blended CAC (INR)</w:t>
            </w:r>
          </w:p>
        </w:tc>
        <w:tc>
          <w:tcPr>
            <w:tcW w:type="dxa" w:w="1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1,840</w:t>
            </w:r>
          </w:p>
        </w:tc>
        <w:tc>
          <w:tcPr>
            <w:tcW w:type="dxa" w:w="1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1,710</w:t>
            </w:r>
          </w:p>
        </w:tc>
        <w:tc>
          <w:tcPr>
            <w:tcW w:type="dxa" w:w="1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1,580</w:t>
            </w:r>
          </w:p>
        </w:tc>
        <w:tc>
          <w:tcPr>
            <w:tcW w:type="dxa" w:w="1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1,440</w:t>
            </w:r>
          </w:p>
        </w:tc>
      </w:tr>
      <w:tr>
        <w:tc>
          <w:tcPr>
            <w:tcW w:type="dxa" w:w="37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Avg subscription tenure (months)</w:t>
            </w:r>
          </w:p>
        </w:tc>
        <w:tc>
          <w:tcPr>
            <w:tcW w:type="dxa" w:w="1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8.4</w:t>
            </w:r>
          </w:p>
        </w:tc>
        <w:tc>
          <w:tcPr>
            <w:tcW w:type="dxa" w:w="1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11.6</w:t>
            </w:r>
          </w:p>
        </w:tc>
        <w:tc>
          <w:tcPr>
            <w:tcW w:type="dxa" w:w="1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14.8</w:t>
            </w:r>
          </w:p>
        </w:tc>
        <w:tc>
          <w:tcPr>
            <w:tcW w:type="dxa" w:w="1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17.2</w:t>
            </w:r>
          </w:p>
        </w:tc>
      </w:tr>
      <w:tr>
        <w:tc>
          <w:tcPr>
            <w:tcW w:type="dxa" w:w="37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Subscription ARPU (INR/month)</w:t>
            </w:r>
          </w:p>
        </w:tc>
        <w:tc>
          <w:tcPr>
            <w:tcW w:type="dxa" w:w="1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1,128</w:t>
            </w:r>
          </w:p>
        </w:tc>
        <w:tc>
          <w:tcPr>
            <w:tcW w:type="dxa" w:w="1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1,194</w:t>
            </w:r>
          </w:p>
        </w:tc>
        <w:tc>
          <w:tcPr>
            <w:tcW w:type="dxa" w:w="1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1,247</w:t>
            </w:r>
          </w:p>
        </w:tc>
        <w:tc>
          <w:tcPr>
            <w:tcW w:type="dxa" w:w="1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1,290</w:t>
            </w:r>
          </w:p>
        </w:tc>
      </w:tr>
      <w:tr>
        <w:tc>
          <w:tcPr>
            <w:tcW w:type="dxa" w:w="37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Subscription contribution margin %</w:t>
            </w:r>
          </w:p>
        </w:tc>
        <w:tc>
          <w:tcPr>
            <w:tcW w:type="dxa" w:w="1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32%</w:t>
            </w:r>
          </w:p>
        </w:tc>
        <w:tc>
          <w:tcPr>
            <w:tcW w:type="dxa" w:w="1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38%</w:t>
            </w:r>
          </w:p>
        </w:tc>
        <w:tc>
          <w:tcPr>
            <w:tcW w:type="dxa" w:w="1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42%</w:t>
            </w:r>
          </w:p>
        </w:tc>
        <w:tc>
          <w:tcPr>
            <w:tcW w:type="dxa" w:w="1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45%</w:t>
            </w:r>
          </w:p>
        </w:tc>
      </w:tr>
      <w:tr>
        <w:tc>
          <w:tcPr>
            <w:tcW w:type="dxa" w:w="37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LTV (contribution-margin weighted, INR)</w:t>
            </w:r>
          </w:p>
        </w:tc>
        <w:tc>
          <w:tcPr>
            <w:tcW w:type="dxa" w:w="1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3,030</w:t>
            </w:r>
          </w:p>
        </w:tc>
        <w:tc>
          <w:tcPr>
            <w:tcW w:type="dxa" w:w="1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5,260</w:t>
            </w:r>
          </w:p>
        </w:tc>
        <w:tc>
          <w:tcPr>
            <w:tcW w:type="dxa" w:w="1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7,750</w:t>
            </w:r>
          </w:p>
        </w:tc>
        <w:tc>
          <w:tcPr>
            <w:tcW w:type="dxa" w:w="14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9,985</w:t>
            </w:r>
          </w:p>
        </w:tc>
      </w:tr>
      <w:tr>
        <w:tc>
          <w:tcPr>
            <w:tcW w:type="dxa" w:w="37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LTV / CAC ratio</w:t>
            </w:r>
          </w:p>
        </w:tc>
        <w:tc>
          <w:tcPr>
            <w:tcW w:type="dxa" w:w="1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1.6x</w:t>
            </w:r>
          </w:p>
        </w:tc>
        <w:tc>
          <w:tcPr>
            <w:tcW w:type="dxa" w:w="1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3.1x</w:t>
            </w:r>
          </w:p>
        </w:tc>
        <w:tc>
          <w:tcPr>
            <w:tcW w:type="dxa" w:w="1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4.9x</w:t>
            </w:r>
          </w:p>
        </w:tc>
        <w:tc>
          <w:tcPr>
            <w:tcW w:type="dxa" w:w="14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6.9x</w:t>
            </w:r>
          </w:p>
        </w:tc>
      </w:tr>
    </w:tbl>
    <w:p>
      <w:pPr>
        <w:pStyle w:val="Heading2"/>
        <w:spacing w:after="120" w:before="200"/>
      </w:pPr>
      <w:r>
        <w:rPr>
          <w:rFonts w:ascii="Calibri" w:cs="Calibri" w:eastAsia="Calibri" w:hAnsi="Calibri"/>
          <w:b/>
          <w:bCs/>
          <w:color w:val="0B2545"/>
          <w:sz w:val="28"/>
          <w:szCs w:val="28"/>
        </w:rPr>
        <w:t xml:space="preserve">Appendix D: Top 10 Wholesale Accounts (FY25)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1900"/>
        <w:gridCol w:w="1500"/>
        <w:gridCol w:w="1860"/>
      </w:tblGrid>
      <w:tr>
        <w:trPr>
          <w:tblHeader/>
        </w:trPr>
        <w:tc>
          <w:tcPr>
            <w:tcW w:type="dxa" w:w="8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Rank</w:t>
            </w:r>
          </w:p>
        </w:tc>
        <w:tc>
          <w:tcPr>
            <w:tcW w:type="dxa" w:w="33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Account Type</w:t>
            </w:r>
          </w:p>
        </w:tc>
        <w:tc>
          <w:tcPr>
            <w:tcW w:type="dxa" w:w="19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Annual Revenue (INR L)</w:t>
            </w:r>
          </w:p>
        </w:tc>
        <w:tc>
          <w:tcPr>
            <w:tcW w:type="dxa" w:w="15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Tenure (yrs)</w:t>
            </w:r>
          </w:p>
        </w:tc>
        <w:tc>
          <w:tcPr>
            <w:tcW w:type="dxa" w:w="186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Contract End</w:t>
            </w:r>
          </w:p>
        </w:tc>
      </w:tr>
      <w:tr>
        <w:tc>
          <w:tcPr>
            <w:tcW w:type="dxa" w:w="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1</w:t>
            </w:r>
          </w:p>
        </w:tc>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Premium hotel group A (multi-property)</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184</w:t>
            </w:r>
          </w:p>
        </w:tc>
        <w:tc>
          <w:tcPr>
            <w:tcW w:type="dxa" w:w="15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3.2</w:t>
            </w:r>
          </w:p>
        </w:tc>
        <w:tc>
          <w:tcPr>
            <w:tcW w:type="dxa" w:w="18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Mar 2027</w:t>
            </w:r>
          </w:p>
        </w:tc>
      </w:tr>
      <w:tr>
        <w:tc>
          <w:tcPr>
            <w:tcW w:type="dxa" w:w="8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2</w:t>
            </w:r>
          </w:p>
        </w:tc>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Tech GCC campus (Bengaluru)</w:t>
            </w:r>
          </w:p>
        </w:tc>
        <w:tc>
          <w:tcPr>
            <w:tcW w:type="dxa" w:w="19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168</w:t>
            </w:r>
          </w:p>
        </w:tc>
        <w:tc>
          <w:tcPr>
            <w:tcW w:type="dxa" w:w="15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2.1</w:t>
            </w:r>
          </w:p>
        </w:tc>
        <w:tc>
          <w:tcPr>
            <w:tcW w:type="dxa" w:w="18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Jul 2026</w:t>
            </w:r>
          </w:p>
        </w:tc>
      </w:tr>
      <w:tr>
        <w:tc>
          <w:tcPr>
            <w:tcW w:type="dxa" w:w="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3</w:t>
            </w:r>
          </w:p>
        </w:tc>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Boutique hotel chain B</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142</w:t>
            </w:r>
          </w:p>
        </w:tc>
        <w:tc>
          <w:tcPr>
            <w:tcW w:type="dxa" w:w="15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2.8</w:t>
            </w:r>
          </w:p>
        </w:tc>
        <w:tc>
          <w:tcPr>
            <w:tcW w:type="dxa" w:w="18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Sep 2026</w:t>
            </w:r>
          </w:p>
        </w:tc>
      </w:tr>
      <w:tr>
        <w:tc>
          <w:tcPr>
            <w:tcW w:type="dxa" w:w="8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4</w:t>
            </w:r>
          </w:p>
        </w:tc>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QSR bakery chain</w:t>
            </w:r>
          </w:p>
        </w:tc>
        <w:tc>
          <w:tcPr>
            <w:tcW w:type="dxa" w:w="19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118</w:t>
            </w:r>
          </w:p>
        </w:tc>
        <w:tc>
          <w:tcPr>
            <w:tcW w:type="dxa" w:w="15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w:t>
            </w:r>
          </w:p>
        </w:tc>
        <w:tc>
          <w:tcPr>
            <w:tcW w:type="dxa" w:w="18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Apr 2027</w:t>
            </w:r>
          </w:p>
        </w:tc>
      </w:tr>
      <w:tr>
        <w:tc>
          <w:tcPr>
            <w:tcW w:type="dxa" w:w="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5</w:t>
            </w:r>
          </w:p>
        </w:tc>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Tech GCC campus (Pune)</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96</w:t>
            </w:r>
          </w:p>
        </w:tc>
        <w:tc>
          <w:tcPr>
            <w:tcW w:type="dxa" w:w="15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w:t>
            </w:r>
          </w:p>
        </w:tc>
        <w:tc>
          <w:tcPr>
            <w:tcW w:type="dxa" w:w="18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Nov 2026</w:t>
            </w:r>
          </w:p>
        </w:tc>
      </w:tr>
      <w:tr>
        <w:tc>
          <w:tcPr>
            <w:tcW w:type="dxa" w:w="8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6</w:t>
            </w:r>
          </w:p>
        </w:tc>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Resort &amp; wellness operator</w:t>
            </w:r>
          </w:p>
        </w:tc>
        <w:tc>
          <w:tcPr>
            <w:tcW w:type="dxa" w:w="19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84</w:t>
            </w:r>
          </w:p>
        </w:tc>
        <w:tc>
          <w:tcPr>
            <w:tcW w:type="dxa" w:w="15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w:t>
            </w:r>
          </w:p>
        </w:tc>
        <w:tc>
          <w:tcPr>
            <w:tcW w:type="dxa" w:w="18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Dec 2026</w:t>
            </w:r>
          </w:p>
        </w:tc>
      </w:tr>
      <w:tr>
        <w:tc>
          <w:tcPr>
            <w:tcW w:type="dxa" w:w="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7</w:t>
            </w:r>
          </w:p>
        </w:tc>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Premium hotel group C</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74</w:t>
            </w:r>
          </w:p>
        </w:tc>
        <w:tc>
          <w:tcPr>
            <w:tcW w:type="dxa" w:w="15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w:t>
            </w:r>
          </w:p>
        </w:tc>
        <w:tc>
          <w:tcPr>
            <w:tcW w:type="dxa" w:w="18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Feb 2027</w:t>
            </w:r>
          </w:p>
        </w:tc>
      </w:tr>
      <w:tr>
        <w:tc>
          <w:tcPr>
            <w:tcW w:type="dxa" w:w="8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8</w:t>
            </w:r>
          </w:p>
        </w:tc>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Bank corporate office</w:t>
            </w:r>
          </w:p>
        </w:tc>
        <w:tc>
          <w:tcPr>
            <w:tcW w:type="dxa" w:w="19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62</w:t>
            </w:r>
          </w:p>
        </w:tc>
        <w:tc>
          <w:tcPr>
            <w:tcW w:type="dxa" w:w="15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0.9</w:t>
            </w:r>
          </w:p>
        </w:tc>
        <w:tc>
          <w:tcPr>
            <w:tcW w:type="dxa" w:w="18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May 2027</w:t>
            </w:r>
          </w:p>
        </w:tc>
      </w:tr>
      <w:tr>
        <w:tc>
          <w:tcPr>
            <w:tcW w:type="dxa" w:w="8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9</w:t>
            </w:r>
          </w:p>
        </w:tc>
        <w:tc>
          <w:tcPr>
            <w:tcW w:type="dxa" w:w="33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Co-working operator</w:t>
            </w:r>
          </w:p>
        </w:tc>
        <w:tc>
          <w:tcPr>
            <w:tcW w:type="dxa" w:w="19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58</w:t>
            </w:r>
          </w:p>
        </w:tc>
        <w:tc>
          <w:tcPr>
            <w:tcW w:type="dxa" w:w="15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w:t>
            </w:r>
          </w:p>
        </w:tc>
        <w:tc>
          <w:tcPr>
            <w:tcW w:type="dxa" w:w="18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Aug 2026</w:t>
            </w:r>
          </w:p>
        </w:tc>
      </w:tr>
      <w:tr>
        <w:tc>
          <w:tcPr>
            <w:tcW w:type="dxa" w:w="8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10</w:t>
            </w:r>
          </w:p>
        </w:tc>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Specialty restaurant chain</w:t>
            </w:r>
          </w:p>
        </w:tc>
        <w:tc>
          <w:tcPr>
            <w:tcW w:type="dxa" w:w="19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52</w:t>
            </w:r>
          </w:p>
        </w:tc>
        <w:tc>
          <w:tcPr>
            <w:tcW w:type="dxa" w:w="15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w:t>
            </w:r>
          </w:p>
        </w:tc>
        <w:tc>
          <w:tcPr>
            <w:tcW w:type="dxa" w:w="18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Oct 2026</w:t>
            </w:r>
          </w:p>
        </w:tc>
      </w:tr>
      <w:tr>
        <w:tc>
          <w:tcPr>
            <w:tcW w:type="dxa" w:w="8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Top 10 Total</w:t>
            </w:r>
          </w:p>
        </w:tc>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w:t>
            </w:r>
          </w:p>
        </w:tc>
        <w:tc>
          <w:tcPr>
            <w:tcW w:type="dxa" w:w="19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1,038</w:t>
            </w:r>
          </w:p>
        </w:tc>
        <w:tc>
          <w:tcPr>
            <w:tcW w:type="dxa" w:w="15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w:t>
            </w:r>
          </w:p>
        </w:tc>
        <w:tc>
          <w:tcPr>
            <w:tcW w:type="dxa" w:w="18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w:t>
            </w:r>
          </w:p>
        </w:tc>
      </w:tr>
      <w:tr>
        <w:tc>
          <w:tcPr>
            <w:tcW w:type="dxa" w:w="8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Top 10 % of Wholesale</w:t>
            </w:r>
          </w:p>
        </w:tc>
        <w:tc>
          <w:tcPr>
            <w:tcW w:type="dxa" w:w="33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9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37.7%</w:t>
            </w:r>
          </w:p>
        </w:tc>
        <w:tc>
          <w:tcPr>
            <w:tcW w:type="dxa" w:w="15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c>
          <w:tcPr>
            <w:tcW w:type="dxa" w:w="18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w:t>
            </w:r>
          </w:p>
        </w:tc>
      </w:tr>
    </w:tbl>
    <w:p>
      <w:r>
        <w:br w:type="page"/>
      </w:r>
    </w:p>
    <w:p>
      <w:pPr>
        <w:pStyle w:val="Heading2"/>
        <w:spacing w:after="120" w:before="200"/>
      </w:pPr>
      <w:r>
        <w:rPr>
          <w:rFonts w:ascii="Calibri" w:cs="Calibri" w:eastAsia="Calibri" w:hAnsi="Calibri"/>
          <w:b/>
          <w:bCs/>
          <w:color w:val="0B2545"/>
          <w:sz w:val="28"/>
          <w:szCs w:val="28"/>
        </w:rPr>
        <w:t xml:space="preserve">Appendix E: Working Capital Schedule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760"/>
        <w:gridCol w:w="1080"/>
        <w:gridCol w:w="1080"/>
        <w:gridCol w:w="1080"/>
        <w:gridCol w:w="1080"/>
        <w:gridCol w:w="1080"/>
      </w:tblGrid>
      <w:tr>
        <w:trPr>
          <w:tblHeader/>
        </w:trPr>
        <w:tc>
          <w:tcPr>
            <w:tcW w:type="dxa" w:w="376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INR cr</w:t>
            </w:r>
          </w:p>
        </w:tc>
        <w:tc>
          <w:tcPr>
            <w:tcW w:type="dxa" w:w="108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FY21</w:t>
            </w:r>
          </w:p>
        </w:tc>
        <w:tc>
          <w:tcPr>
            <w:tcW w:type="dxa" w:w="108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FY22</w:t>
            </w:r>
          </w:p>
        </w:tc>
        <w:tc>
          <w:tcPr>
            <w:tcW w:type="dxa" w:w="108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FY23</w:t>
            </w:r>
          </w:p>
        </w:tc>
        <w:tc>
          <w:tcPr>
            <w:tcW w:type="dxa" w:w="108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FY24</w:t>
            </w:r>
          </w:p>
        </w:tc>
        <w:tc>
          <w:tcPr>
            <w:tcW w:type="dxa" w:w="108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FY25</w:t>
            </w:r>
          </w:p>
        </w:tc>
      </w:tr>
      <w:tr>
        <w:tc>
          <w:tcPr>
            <w:tcW w:type="dxa" w:w="37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Inventory</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4.8</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7.1</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10.4</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15.2</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19.8</w:t>
            </w:r>
          </w:p>
        </w:tc>
      </w:tr>
      <w:tr>
        <w:tc>
          <w:tcPr>
            <w:tcW w:type="dxa" w:w="37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  Green coffee</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2.9</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4.2</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6.1</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8.7</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11.3</w:t>
            </w:r>
          </w:p>
        </w:tc>
      </w:tr>
      <w:tr>
        <w:tc>
          <w:tcPr>
            <w:tcW w:type="dxa" w:w="37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  Roasted finished goods</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0.8</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1.7</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w:t>
            </w:r>
          </w:p>
        </w:tc>
      </w:tr>
      <w:tr>
        <w:tc>
          <w:tcPr>
            <w:tcW w:type="dxa" w:w="37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  Food &amp; packaging</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0.6</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0.9</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w:t>
            </w:r>
          </w:p>
        </w:tc>
      </w:tr>
      <w:tr>
        <w:tc>
          <w:tcPr>
            <w:tcW w:type="dxa" w:w="37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  Café consumables &amp; MRO</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0.5</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0.8</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2.2</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3.0</w:t>
            </w:r>
          </w:p>
        </w:tc>
      </w:tr>
      <w:tr>
        <w:tc>
          <w:tcPr>
            <w:tcW w:type="dxa" w:w="37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Trade receivables</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3.7</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5.4</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8.1</w:t>
            </w:r>
          </w:p>
        </w:tc>
      </w:tr>
      <w:tr>
        <w:tc>
          <w:tcPr>
            <w:tcW w:type="dxa" w:w="376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Trade payables</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(3.1)</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(4.6)</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(6.8)</w:t>
            </w:r>
          </w:p>
        </w:tc>
        <w:tc>
          <w:tcPr>
            <w:tcW w:type="dxa" w:w="108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(9.4)</w:t>
            </w:r>
          </w:p>
        </w:tc>
      </w:tr>
      <w:tr>
        <w:tc>
          <w:tcPr>
            <w:tcW w:type="dxa" w:w="37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Other working capital items</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0.0</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(0.2)</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(0.4)</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(0.8)</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(0.2)</w:t>
            </w:r>
          </w:p>
        </w:tc>
      </w:tr>
      <w:tr>
        <w:tc>
          <w:tcPr>
            <w:tcW w:type="dxa" w:w="37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Net Working Capital</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4.8</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6.4</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9.1</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13.0</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18.3</w:t>
            </w:r>
          </w:p>
        </w:tc>
      </w:tr>
      <w:tr>
        <w:tc>
          <w:tcPr>
            <w:tcW w:type="dxa" w:w="376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NWC as % of Revenue</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11.7%</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10.2%</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9.6%</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9.4%</w:t>
            </w:r>
          </w:p>
        </w:tc>
        <w:tc>
          <w:tcPr>
            <w:tcW w:type="dxa" w:w="108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9.8%</w:t>
            </w:r>
          </w:p>
        </w:tc>
      </w:tr>
    </w:tbl>
    <w:p>
      <w:pPr>
        <w:pStyle w:val="Heading2"/>
        <w:spacing w:after="120" w:before="200"/>
      </w:pPr>
      <w:r>
        <w:rPr>
          <w:rFonts w:ascii="Calibri" w:cs="Calibri" w:eastAsia="Calibri" w:hAnsi="Calibri"/>
          <w:b/>
          <w:bCs/>
          <w:color w:val="0B2545"/>
          <w:sz w:val="28"/>
          <w:szCs w:val="28"/>
        </w:rPr>
        <w:t xml:space="preserve">Appendix F: Capital Expenditure Schedule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2700"/>
        <w:gridCol w:w="945"/>
        <w:gridCol w:w="945"/>
        <w:gridCol w:w="945"/>
        <w:gridCol w:w="945"/>
        <w:gridCol w:w="945"/>
        <w:gridCol w:w="945"/>
        <w:gridCol w:w="945"/>
        <w:gridCol w:w="945"/>
      </w:tblGrid>
      <w:tr>
        <w:trPr>
          <w:tblHeader/>
        </w:trPr>
        <w:tc>
          <w:tcPr>
            <w:tcW w:type="dxa" w:w="2700"/>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INR cr</w:t>
            </w:r>
          </w:p>
        </w:tc>
        <w:tc>
          <w:tcPr>
            <w:tcW w:type="dxa" w:w="945"/>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FY21A</w:t>
            </w:r>
          </w:p>
        </w:tc>
        <w:tc>
          <w:tcPr>
            <w:tcW w:type="dxa" w:w="945"/>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FY22A</w:t>
            </w:r>
          </w:p>
        </w:tc>
        <w:tc>
          <w:tcPr>
            <w:tcW w:type="dxa" w:w="945"/>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FY23A</w:t>
            </w:r>
          </w:p>
        </w:tc>
        <w:tc>
          <w:tcPr>
            <w:tcW w:type="dxa" w:w="945"/>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FY24A</w:t>
            </w:r>
          </w:p>
        </w:tc>
        <w:tc>
          <w:tcPr>
            <w:tcW w:type="dxa" w:w="945"/>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FY25A</w:t>
            </w:r>
          </w:p>
        </w:tc>
        <w:tc>
          <w:tcPr>
            <w:tcW w:type="dxa" w:w="945"/>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FY26P</w:t>
            </w:r>
          </w:p>
        </w:tc>
        <w:tc>
          <w:tcPr>
            <w:tcW w:type="dxa" w:w="945"/>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FY27P</w:t>
            </w:r>
          </w:p>
        </w:tc>
        <w:tc>
          <w:tcPr>
            <w:tcW w:type="dxa" w:w="945"/>
            <w:tcBorders>
              <w:top w:val="single" w:color="C0C0C0" w:sz="4"/>
              <w:left w:val="single" w:color="C0C0C0" w:sz="4"/>
              <w:bottom w:val="single" w:color="C0C0C0" w:sz="4"/>
              <w:right w:val="single" w:color="C0C0C0" w:sz="4"/>
            </w:tcBorders>
            <w:shd w:fill="0B2545"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FY28P</w:t>
            </w:r>
          </w:p>
        </w:tc>
      </w:tr>
      <w:tr>
        <w:tc>
          <w:tcPr>
            <w:tcW w:type="dxa" w:w="2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Café build-outs (new)</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4.2</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6.4</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7.8</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8.4</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19.2</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22.4</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27.2</w:t>
            </w:r>
          </w:p>
        </w:tc>
      </w:tr>
      <w:tr>
        <w:tc>
          <w:tcPr>
            <w:tcW w:type="dxa" w:w="2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Café refresh &amp; maintenance</w:t>
            </w:r>
          </w:p>
        </w:tc>
        <w:tc>
          <w:tcPr>
            <w:tcW w:type="dxa" w:w="94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0.4</w:t>
            </w:r>
          </w:p>
        </w:tc>
        <w:tc>
          <w:tcPr>
            <w:tcW w:type="dxa" w:w="94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0.6</w:t>
            </w:r>
          </w:p>
        </w:tc>
        <w:tc>
          <w:tcPr>
            <w:tcW w:type="dxa" w:w="94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0.8</w:t>
            </w:r>
          </w:p>
        </w:tc>
        <w:tc>
          <w:tcPr>
            <w:tcW w:type="dxa" w:w="94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w:t>
            </w:r>
          </w:p>
        </w:tc>
        <w:tc>
          <w:tcPr>
            <w:tcW w:type="dxa" w:w="94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1.6</w:t>
            </w:r>
          </w:p>
        </w:tc>
        <w:tc>
          <w:tcPr>
            <w:tcW w:type="dxa" w:w="94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w:t>
            </w:r>
          </w:p>
        </w:tc>
        <w:tc>
          <w:tcPr>
            <w:tcW w:type="dxa" w:w="94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3.2</w:t>
            </w:r>
          </w:p>
        </w:tc>
        <w:tc>
          <w:tcPr>
            <w:tcW w:type="dxa" w:w="94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4.1</w:t>
            </w:r>
          </w:p>
        </w:tc>
      </w:tr>
      <w:tr>
        <w:tc>
          <w:tcPr>
            <w:tcW w:type="dxa" w:w="2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Roastery — main facility</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0.4</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0.8</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9.4</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12.8</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4.0</w:t>
            </w:r>
          </w:p>
        </w:tc>
      </w:tr>
      <w:tr>
        <w:tc>
          <w:tcPr>
            <w:tcW w:type="dxa" w:w="2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Roastery — micro &amp; regional</w:t>
            </w:r>
          </w:p>
        </w:tc>
        <w:tc>
          <w:tcPr>
            <w:tcW w:type="dxa" w:w="94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0.4</w:t>
            </w:r>
          </w:p>
        </w:tc>
        <w:tc>
          <w:tcPr>
            <w:tcW w:type="dxa" w:w="94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0.6</w:t>
            </w:r>
          </w:p>
        </w:tc>
        <w:tc>
          <w:tcPr>
            <w:tcW w:type="dxa" w:w="94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0.6</w:t>
            </w:r>
          </w:p>
        </w:tc>
        <w:tc>
          <w:tcPr>
            <w:tcW w:type="dxa" w:w="94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1.2</w:t>
            </w:r>
          </w:p>
        </w:tc>
        <w:tc>
          <w:tcPr>
            <w:tcW w:type="dxa" w:w="94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w:t>
            </w:r>
          </w:p>
        </w:tc>
        <w:tc>
          <w:tcPr>
            <w:tcW w:type="dxa" w:w="94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2.0</w:t>
            </w:r>
          </w:p>
        </w:tc>
        <w:tc>
          <w:tcPr>
            <w:tcW w:type="dxa" w:w="94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w:t>
            </w:r>
          </w:p>
        </w:tc>
        <w:tc>
          <w:tcPr>
            <w:tcW w:type="dxa" w:w="94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2.4</w:t>
            </w:r>
          </w:p>
        </w:tc>
      </w:tr>
      <w:tr>
        <w:tc>
          <w:tcPr>
            <w:tcW w:type="dxa" w:w="2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Technology &amp; systems</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0.2</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0.4</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0.6</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0.8</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2.6</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3.2</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1.8</w:t>
            </w:r>
          </w:p>
        </w:tc>
      </w:tr>
      <w:tr>
        <w:tc>
          <w:tcPr>
            <w:tcW w:type="dxa" w:w="2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Warehouse &amp; D2C fulfilment</w:t>
            </w:r>
          </w:p>
        </w:tc>
        <w:tc>
          <w:tcPr>
            <w:tcW w:type="dxa" w:w="94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0.2</w:t>
            </w:r>
          </w:p>
        </w:tc>
        <w:tc>
          <w:tcPr>
            <w:tcW w:type="dxa" w:w="94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0.2</w:t>
            </w:r>
          </w:p>
        </w:tc>
        <w:tc>
          <w:tcPr>
            <w:tcW w:type="dxa" w:w="94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0.4</w:t>
            </w:r>
          </w:p>
        </w:tc>
        <w:tc>
          <w:tcPr>
            <w:tcW w:type="dxa" w:w="94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0.6</w:t>
            </w:r>
          </w:p>
        </w:tc>
        <w:tc>
          <w:tcPr>
            <w:tcW w:type="dxa" w:w="94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0.8</w:t>
            </w:r>
          </w:p>
        </w:tc>
        <w:tc>
          <w:tcPr>
            <w:tcW w:type="dxa" w:w="94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w:t>
            </w:r>
          </w:p>
        </w:tc>
        <w:tc>
          <w:tcPr>
            <w:tcW w:type="dxa" w:w="94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w:t>
            </w:r>
          </w:p>
        </w:tc>
        <w:tc>
          <w:tcPr>
            <w:tcW w:type="dxa" w:w="94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2.2</w:t>
            </w:r>
          </w:p>
        </w:tc>
      </w:tr>
      <w:tr>
        <w:tc>
          <w:tcPr>
            <w:tcW w:type="dxa" w:w="2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Other (vehicles, office, etc.)</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0.2</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0.2</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0.4</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0.6</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0.7</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0.8</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1.3</w:t>
            </w:r>
          </w:p>
        </w:tc>
      </w:tr>
      <w:tr>
        <w:tc>
          <w:tcPr>
            <w:tcW w:type="dxa" w:w="2700"/>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left"/>
            </w:pPr>
            <w:r>
              <w:rPr>
                <w:rFonts w:ascii="Calibri" w:cs="Calibri" w:eastAsia="Calibri" w:hAnsi="Calibri"/>
                <w:b/>
                <w:bCs/>
                <w:i w:val="false"/>
                <w:iCs w:val="false"/>
                <w:color w:val="0B2545"/>
                <w:sz w:val="20"/>
                <w:szCs w:val="20"/>
              </w:rPr>
              <w:t xml:space="preserve">Total Capex</w:t>
            </w:r>
          </w:p>
        </w:tc>
        <w:tc>
          <w:tcPr>
            <w:tcW w:type="dxa" w:w="94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4.4</w:t>
            </w:r>
          </w:p>
        </w:tc>
        <w:tc>
          <w:tcPr>
            <w:tcW w:type="dxa" w:w="94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7.0</w:t>
            </w:r>
          </w:p>
        </w:tc>
        <w:tc>
          <w:tcPr>
            <w:tcW w:type="dxa" w:w="94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11.2</w:t>
            </w:r>
          </w:p>
        </w:tc>
        <w:tc>
          <w:tcPr>
            <w:tcW w:type="dxa" w:w="94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14.2</w:t>
            </w:r>
          </w:p>
        </w:tc>
        <w:tc>
          <w:tcPr>
            <w:tcW w:type="dxa" w:w="94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17.5</w:t>
            </w:r>
          </w:p>
        </w:tc>
        <w:tc>
          <w:tcPr>
            <w:tcW w:type="dxa" w:w="94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37.4</w:t>
            </w:r>
          </w:p>
        </w:tc>
        <w:tc>
          <w:tcPr>
            <w:tcW w:type="dxa" w:w="94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45.8</w:t>
            </w:r>
          </w:p>
        </w:tc>
        <w:tc>
          <w:tcPr>
            <w:tcW w:type="dxa" w:w="945"/>
            <w:tcBorders>
              <w:top w:val="single" w:color="C0C0C0" w:sz="4"/>
              <w:left w:val="single" w:color="C0C0C0" w:sz="4"/>
              <w:bottom w:val="single" w:color="C0C0C0" w:sz="4"/>
              <w:right w:val="single" w:color="C0C0C0" w:sz="4"/>
            </w:tcBorders>
            <w:shd w:fill="F7F4ED" w:val="clear"/>
            <w:tcMar>
              <w:top w:type="dxa" w:w="80"/>
              <w:left w:type="dxa" w:w="120"/>
              <w:bottom w:type="dxa" w:w="80"/>
              <w:right w:type="dxa" w:w="120"/>
            </w:tcMar>
          </w:tcPr>
          <w:p>
            <w:pPr>
              <w:jc w:val="right"/>
            </w:pPr>
            <w:r>
              <w:rPr>
                <w:rFonts w:ascii="Calibri" w:cs="Calibri" w:eastAsia="Calibri" w:hAnsi="Calibri"/>
                <w:b/>
                <w:bCs/>
                <w:i w:val="false"/>
                <w:iCs w:val="false"/>
                <w:color w:val="0B2545"/>
                <w:sz w:val="20"/>
                <w:szCs w:val="20"/>
              </w:rPr>
              <w:t xml:space="preserve">43.0</w:t>
            </w:r>
          </w:p>
        </w:tc>
      </w:tr>
      <w:tr>
        <w:tc>
          <w:tcPr>
            <w:tcW w:type="dxa" w:w="2700"/>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A1A1A"/>
                <w:sz w:val="20"/>
                <w:szCs w:val="20"/>
              </w:rPr>
              <w:t xml:space="preserve">Capex as % of Revenue</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10.7%</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11.1%</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11.8%</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10.3%</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9.3%</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15.1%</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14.4%</w:t>
            </w:r>
          </w:p>
        </w:tc>
        <w:tc>
          <w:tcPr>
            <w:tcW w:type="dxa" w:w="945"/>
            <w:tcBorders>
              <w:top w:val="single" w:color="C0C0C0" w:sz="4"/>
              <w:left w:val="single" w:color="C0C0C0" w:sz="4"/>
              <w:bottom w:val="single" w:color="C0C0C0" w:sz="4"/>
              <w:right w:val="single" w:color="C0C0C0" w:sz="4"/>
            </w:tcBorders>
            <w:tcMar>
              <w:top w:type="dxa" w:w="80"/>
              <w:left w:type="dxa" w:w="120"/>
              <w:bottom w:type="dxa" w:w="80"/>
              <w:right w:type="dxa" w:w="120"/>
            </w:tcMar>
          </w:tcPr>
          <w:p>
            <w:pPr>
              <w:jc w:val="right"/>
            </w:pPr>
            <w:r>
              <w:rPr>
                <w:rFonts w:ascii="Calibri" w:cs="Calibri" w:eastAsia="Calibri" w:hAnsi="Calibri"/>
                <w:b w:val="false"/>
                <w:bCs w:val="false"/>
                <w:i w:val="false"/>
                <w:iCs w:val="false"/>
                <w:color w:val="1A1A1A"/>
                <w:sz w:val="20"/>
                <w:szCs w:val="20"/>
              </w:rPr>
              <w:t xml:space="preserve">10.7%</w:t>
            </w:r>
          </w:p>
        </w:tc>
      </w:tr>
    </w:tbl>
    <w:p>
      <w:pPr>
        <w:pStyle w:val="Heading2"/>
        <w:spacing w:after="120" w:before="200"/>
      </w:pPr>
      <w:r>
        <w:rPr>
          <w:rFonts w:ascii="Calibri" w:cs="Calibri" w:eastAsia="Calibri" w:hAnsi="Calibri"/>
          <w:b/>
          <w:bCs/>
          <w:color w:val="0B2545"/>
          <w:sz w:val="28"/>
          <w:szCs w:val="28"/>
        </w:rPr>
        <w:t xml:space="preserve">Appendix G: Indian GAAP / Ind AS Notes</w:t>
      </w:r>
    </w:p>
    <w:p>
      <w:pPr>
        <w:spacing w:after="60" w:before="60"/>
        <w:jc w:val="left"/>
      </w:pPr>
      <w:r>
        <w:rPr>
          <w:rFonts w:ascii="Calibri" w:cs="Calibri" w:eastAsia="Calibri" w:hAnsi="Calibri"/>
          <w:b w:val="false"/>
          <w:bCs w:val="false"/>
          <w:i w:val="false"/>
          <w:iCs w:val="false"/>
          <w:color w:val="1A1A1A"/>
          <w:sz w:val="22"/>
          <w:szCs w:val="22"/>
        </w:rPr>
        <w:t xml:space="preserve">Financial statements have been prepared in accordance with Ind AS as applicable to the Company. Material accounting policies relevant to the historical period include:</w:t>
      </w:r>
    </w:p>
    <w:p>
      <w:pPr>
        <w:pStyle w:val="ListParagraph"/>
        <w:numPr>
          <w:ilvl w:val="0"/>
          <w:numId w:val="2"/>
        </w:numPr>
        <w:spacing w:after="40" w:before="40"/>
      </w:pPr>
      <w:r>
        <w:rPr>
          <w:rFonts w:ascii="Calibri" w:cs="Calibri" w:eastAsia="Calibri" w:hAnsi="Calibri"/>
          <w:color w:val="1A1A1A"/>
          <w:sz w:val="22"/>
          <w:szCs w:val="22"/>
        </w:rPr>
        <w:t xml:space="preserve">Revenue recognition under Ind AS 115: Café revenue recognised at point of sale; D2C revenue at point of dispatch; subscription revenue recognised on a straight-line basis over the subscription period; wholesale revenue on delivery.</w:t>
      </w:r>
    </w:p>
    <w:p>
      <w:pPr>
        <w:pStyle w:val="ListParagraph"/>
        <w:numPr>
          <w:ilvl w:val="0"/>
          <w:numId w:val="2"/>
        </w:numPr>
        <w:spacing w:after="40" w:before="40"/>
      </w:pPr>
      <w:r>
        <w:rPr>
          <w:rFonts w:ascii="Calibri" w:cs="Calibri" w:eastAsia="Calibri" w:hAnsi="Calibri"/>
          <w:color w:val="1A1A1A"/>
          <w:sz w:val="22"/>
          <w:szCs w:val="22"/>
        </w:rPr>
        <w:t xml:space="preserve">Leases under Ind AS 116: All café and roastery leases are capitalised. Right-of-use assets and lease liabilities are presented separately on the balance sheet. Refer to A.1 for impact.</w:t>
      </w:r>
    </w:p>
    <w:p>
      <w:pPr>
        <w:pStyle w:val="ListParagraph"/>
        <w:numPr>
          <w:ilvl w:val="0"/>
          <w:numId w:val="2"/>
        </w:numPr>
        <w:spacing w:after="40" w:before="40"/>
      </w:pPr>
      <w:r>
        <w:rPr>
          <w:rFonts w:ascii="Calibri" w:cs="Calibri" w:eastAsia="Calibri" w:hAnsi="Calibri"/>
          <w:color w:val="1A1A1A"/>
          <w:sz w:val="22"/>
          <w:szCs w:val="22"/>
        </w:rPr>
        <w:t xml:space="preserve">Inventory valuation: Weighted average cost basis, with periodic NRV testing. Green coffee inventory revalued quarterly against benchmark prices.</w:t>
      </w:r>
    </w:p>
    <w:p>
      <w:pPr>
        <w:pStyle w:val="ListParagraph"/>
        <w:numPr>
          <w:ilvl w:val="0"/>
          <w:numId w:val="2"/>
        </w:numPr>
        <w:spacing w:after="40" w:before="40"/>
      </w:pPr>
      <w:r>
        <w:rPr>
          <w:rFonts w:ascii="Calibri" w:cs="Calibri" w:eastAsia="Calibri" w:hAnsi="Calibri"/>
          <w:color w:val="1A1A1A"/>
          <w:sz w:val="22"/>
          <w:szCs w:val="22"/>
        </w:rPr>
        <w:t xml:space="preserve">Employee benefits: Gratuity and leave encashment provisions actuarially determined. ESOP fair value charged to P&amp;L over the vesting period.</w:t>
      </w:r>
    </w:p>
    <w:p>
      <w:pPr>
        <w:pStyle w:val="Heading3"/>
        <w:spacing w:after="80" w:before="160"/>
      </w:pPr>
      <w:r>
        <w:rPr>
          <w:rFonts w:ascii="Calibri" w:cs="Calibri" w:eastAsia="Calibri" w:hAnsi="Calibri"/>
          <w:b/>
          <w:bCs/>
          <w:color w:val="1A1A1A"/>
          <w:sz w:val="24"/>
          <w:szCs w:val="24"/>
        </w:rPr>
        <w:t xml:space="preserve">Closing Note</w:t>
      </w:r>
    </w:p>
    <w:p>
      <w:pPr>
        <w:spacing w:after="60" w:before="60"/>
        <w:jc w:val="left"/>
      </w:pPr>
      <w:r>
        <w:rPr>
          <w:rFonts w:ascii="Calibri" w:cs="Calibri" w:eastAsia="Calibri" w:hAnsi="Calibri"/>
          <w:b w:val="false"/>
          <w:bCs w:val="false"/>
          <w:i/>
          <w:iCs/>
          <w:color w:val="1A1A1A"/>
          <w:sz w:val="22"/>
          <w:szCs w:val="22"/>
        </w:rPr>
        <w:t xml:space="preserve">This Confidential Investment Memorandum has been prepared in good faith based on information available as of February 1, 2026. Any updates, clarifications, or supplementary materials will be made available to qualifying counterparties through the secure data room established for Project Aurora.</w:t>
      </w:r>
    </w:p>
    <w:p>
      <w:pPr>
        <w:spacing w:after="60" w:before="60"/>
        <w:jc w:val="left"/>
      </w:pPr>
      <w:r>
        <w:rPr>
          <w:rFonts w:ascii="Calibri" w:cs="Calibri" w:eastAsia="Calibri" w:hAnsi="Calibri"/>
          <w:b w:val="false"/>
          <w:bCs w:val="false"/>
          <w:i/>
          <w:iCs/>
          <w:color w:val="555555"/>
          <w:sz w:val="22"/>
          <w:szCs w:val="22"/>
        </w:rPr>
        <w:t xml:space="preserve">Recipients are reminded that this Memorandum is being shared on a strictly confidential basis pursuant to the Non-Disclosure Agreement executed in connection with this process.</w:t>
      </w:r>
    </w:p>
    <w:p>
      <w:r>
        <w:rPr>
          <w:rFonts w:ascii="Calibri" w:cs="Calibri" w:eastAsia="Calibri" w:hAnsi="Calibri"/>
          <w:sz w:val="18"/>
          <w:szCs w:val="18"/>
        </w:rPr>
        <w:t xml:space="preserve"> </w:t>
      </w:r>
    </w:p>
    <w:p>
      <w:pPr>
        <w:spacing w:after="60" w:before="60"/>
        <w:jc w:val="center"/>
      </w:pPr>
      <w:r>
        <w:rPr>
          <w:rFonts w:ascii="Calibri" w:cs="Calibri" w:eastAsia="Calibri" w:hAnsi="Calibri"/>
          <w:b w:val="false"/>
          <w:bCs w:val="false"/>
          <w:i/>
          <w:iCs/>
          <w:color w:val="555555"/>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0C0" w:sz="4" w:space="4"/>
      </w:pBdr>
      <w:tabs>
        <w:tab w:val="right" w:pos="9360"/>
      </w:tabs>
    </w:pPr>
    <w:r>
      <w:rPr>
        <w:rFonts w:ascii="Calibri" w:cs="Calibri" w:eastAsia="Calibri" w:hAnsi="Calibri"/>
        <w:color w:val="555555"/>
        <w:sz w:val="16"/>
        <w:szCs w:val="16"/>
      </w:rPr>
      <w:t xml:space="preserve">Project Aurora  |  Confidential Investment Memorandum  |  February 2026</w:t>
    </w:r>
    <w:r>
      <w:rPr>
        <w:rFonts w:ascii="Calibri" w:cs="Calibri" w:eastAsia="Calibri" w:hAnsi="Calibri"/>
        <w:color w:val="555555"/>
        <w:sz w:val="16"/>
        <w:szCs w:val="16"/>
      </w:rPr>
      <w:t xml:space="preserve">	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4"/>
      </w:pBdr>
      <w:jc w:val="right"/>
    </w:pPr>
    <w:r>
      <w:rPr>
        <w:rFonts w:ascii="Calibri" w:cs="Calibri" w:eastAsia="Calibri" w:hAnsi="Calibri"/>
        <w:b/>
        <w:bCs/>
        <w:color w:val="0B2545"/>
        <w:sz w:val="16"/>
        <w:szCs w:val="16"/>
      </w:rPr>
      <w:t xml:space="preserve">STRICTLY PRIVATE &amp; CONFIDENTIAL</w:t>
    </w:r>
    <w:r>
      <w:rPr>
        <w:rFonts w:ascii="Calibri" w:cs="Calibri" w:eastAsia="Calibri" w:hAnsi="Calibri"/>
        <w:color w:val="555555"/>
        <w:sz w:val="16"/>
        <w:szCs w:val="16"/>
      </w:rPr>
      <w:t xml:space="preserve">    |    </w:t>
    </w:r>
    <w:r>
      <w:rPr>
        <w:rFonts w:ascii="Calibri" w:cs="Calibri" w:eastAsia="Calibri" w:hAnsi="Calibri"/>
        <w:i/>
        <w:iCs/>
        <w:color w:val="555555"/>
        <w:sz w:val="16"/>
        <w:szCs w:val="16"/>
      </w:rPr>
      <w:t xml:space="preserve">Meridian Coffee Roasters Pvt.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Calibri" w:cs="Calibri" w:eastAsia="Calibri" w:hAnsi="Calibri"/>
      <w:b/>
      <w:bCs/>
      <w:color w:val="0B2545"/>
      <w:sz w:val="36"/>
      <w:szCs w:val="36"/>
    </w:rPr>
  </w:style>
  <w:style w:type="paragraph" w:styleId="Heading2">
    <w:name w:val="Heading 2"/>
    <w:basedOn w:val="Normal"/>
    <w:next w:val="Normal"/>
    <w:qFormat/>
    <w:pPr>
      <w:spacing w:after="120" w:before="200"/>
      <w:outlineLvl w:val="1"/>
    </w:pPr>
    <w:rPr>
      <w:rFonts w:ascii="Calibri" w:cs="Calibri" w:eastAsia="Calibri" w:hAnsi="Calibri"/>
      <w:b/>
      <w:bCs/>
      <w:color w:val="0B2545"/>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Aurora — Confidential Investment Memorandum</dc:title>
  <dc:creator>Kautilya Private Equity</dc:creator>
  <dc:description>CIM for Meridian Coffee Roasters Pvt. Ltd.</dc:description>
  <cp:lastModifiedBy>Un-named</cp:lastModifiedBy>
  <cp:revision>1</cp:revision>
  <dcterms:created xsi:type="dcterms:W3CDTF">2026-04-29T11:34:57.773Z</dcterms:created>
  <dcterms:modified xsi:type="dcterms:W3CDTF">2026-04-29T11:34:57.777Z</dcterms:modified>
</cp:coreProperties>
</file>

<file path=docProps/custom.xml><?xml version="1.0" encoding="utf-8"?>
<Properties xmlns="http://schemas.openxmlformats.org/officeDocument/2006/custom-properties" xmlns:vt="http://schemas.openxmlformats.org/officeDocument/2006/docPropsVTypes"/>
</file>