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Coding and Narrative Quality</w:t>
      </w:r>
    </w:p>
    <w:p>
      <w:r>
        <w:rPr>
          <w:i/>
        </w:rPr>
        <w:t>Pharmacovigilance training deliverable | Synthetic/de-identified practice data</w:t>
      </w:r>
    </w:p>
    <w:p>
      <w:pPr>
        <w:pStyle w:val="Heading1"/>
      </w:pPr>
      <w:r>
        <w:t>1. Scope and method</w:t>
      </w:r>
    </w:p>
    <w:p>
      <w:r>
        <w:t>This deliverable normalizes the product and event wording available in the supplied case extract, maps reported events to plain-language candidate coding terms, and creates chronological narratives using only supplied facts. It does not infer dose, route, indication, calendar dates, treatment, or causality.</w:t>
      </w:r>
    </w:p>
    <w:p>
      <w:r>
        <w:t>Coding note: Candidate terms are shown as text only. Verify final coding against the licensed/current MedDRA version and the applicable organizational coding convention. No MedDRA codes are asserted.</w:t>
      </w:r>
    </w:p>
    <w:p>
      <w:pPr>
        <w:pStyle w:val="Heading1"/>
      </w:pPr>
      <w:r>
        <w:t>2. Normalized coding table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Case</w:t>
            </w:r>
          </w:p>
        </w:tc>
        <w:tc>
          <w:tcPr>
            <w:tcW w:type="dxa" w:w="1728"/>
          </w:tcPr>
          <w:p>
            <w:r>
              <w:t>Product normalization</w:t>
            </w:r>
          </w:p>
        </w:tc>
        <w:tc>
          <w:tcPr>
            <w:tcW w:type="dxa" w:w="1728"/>
          </w:tcPr>
          <w:p>
            <w:r>
              <w:t>Reported event → candidate term</w:t>
            </w:r>
          </w:p>
        </w:tc>
        <w:tc>
          <w:tcPr>
            <w:tcW w:type="dxa" w:w="1728"/>
          </w:tcPr>
          <w:p>
            <w:r>
              <w:t>Onset / outcome</w:t>
            </w:r>
          </w:p>
        </w:tc>
        <w:tc>
          <w:tcPr>
            <w:tcW w:type="dxa" w:w="1728"/>
          </w:tcPr>
          <w:p>
            <w:r>
              <w:t>Quality notes</w:t>
            </w:r>
          </w:p>
        </w:tc>
      </w:tr>
      <w:tr>
        <w:tc>
          <w:tcPr>
            <w:tcW w:type="dxa" w:w="1728"/>
          </w:tcPr>
          <w:p>
            <w:r>
              <w:t>PV-101</w:t>
            </w:r>
          </w:p>
        </w:tc>
        <w:tc>
          <w:tcPr>
            <w:tcW w:type="dxa" w:w="1728"/>
          </w:tcPr>
          <w:p>
            <w:r>
              <w:t>Velunex; ingredient unknown</w:t>
            </w:r>
          </w:p>
        </w:tc>
        <w:tc>
          <w:tcPr>
            <w:tcW w:type="dxa" w:w="1728"/>
          </w:tcPr>
          <w:p>
            <w:r>
              <w:t>Nausea → Nausea</w:t>
            </w:r>
          </w:p>
        </w:tc>
        <w:tc>
          <w:tcPr>
            <w:tcW w:type="dxa" w:w="1728"/>
          </w:tcPr>
          <w:p>
            <w:r>
              <w:t>3 hours after use; Recovered</w:t>
            </w:r>
          </w:p>
        </w:tc>
        <w:tc>
          <w:tcPr>
            <w:tcW w:type="dxa" w:w="1728"/>
          </w:tcPr>
          <w:p>
            <w:r>
              <w:t>Source says not serious; dose/route/indication not reported</w:t>
            </w:r>
          </w:p>
        </w:tc>
      </w:tr>
      <w:tr>
        <w:tc>
          <w:tcPr>
            <w:tcW w:type="dxa" w:w="1728"/>
          </w:tcPr>
          <w:p>
            <w:r>
              <w:t>PV-102</w:t>
            </w:r>
          </w:p>
        </w:tc>
        <w:tc>
          <w:tcPr>
            <w:tcW w:type="dxa" w:w="1728"/>
          </w:tcPr>
          <w:p>
            <w:r>
              <w:t>Velunex; ingredient unknown</w:t>
            </w:r>
          </w:p>
        </w:tc>
        <w:tc>
          <w:tcPr>
            <w:tcW w:type="dxa" w:w="1728"/>
          </w:tcPr>
          <w:p>
            <w:r>
              <w:t>Loss of consciousness → Loss of consciousness</w:t>
            </w:r>
          </w:p>
        </w:tc>
        <w:tc>
          <w:tcPr>
            <w:tcW w:type="dxa" w:w="1728"/>
          </w:tcPr>
          <w:p>
            <w:r>
              <w:t>2 days after use; Recovering</w:t>
            </w:r>
          </w:p>
        </w:tc>
        <w:tc>
          <w:tcPr>
            <w:tcW w:type="dxa" w:w="1728"/>
          </w:tcPr>
          <w:p>
            <w:r>
              <w:t>Emergency hospital admission recorded; dose/route/indication not reported</w:t>
            </w:r>
          </w:p>
        </w:tc>
      </w:tr>
      <w:tr>
        <w:tc>
          <w:tcPr>
            <w:tcW w:type="dxa" w:w="1728"/>
          </w:tcPr>
          <w:p>
            <w:r>
              <w:t>PV-103</w:t>
            </w:r>
          </w:p>
        </w:tc>
        <w:tc>
          <w:tcPr>
            <w:tcW w:type="dxa" w:w="1728"/>
          </w:tcPr>
          <w:p>
            <w:r>
              <w:t>Velunex; ingredient unknown</w:t>
            </w:r>
          </w:p>
        </w:tc>
        <w:tc>
          <w:tcPr>
            <w:tcW w:type="dxa" w:w="1728"/>
          </w:tcPr>
          <w:p>
            <w:r>
              <w:t>Mild rash → Rash</w:t>
            </w:r>
          </w:p>
        </w:tc>
        <w:tc>
          <w:tcPr>
            <w:tcW w:type="dxa" w:w="1728"/>
          </w:tcPr>
          <w:p>
            <w:r>
              <w:t>4 days after use; Recovered</w:t>
            </w:r>
          </w:p>
        </w:tc>
        <w:tc>
          <w:tcPr>
            <w:tcW w:type="dxa" w:w="1728"/>
          </w:tcPr>
          <w:p>
            <w:r>
              <w:t>Source says not serious; dose/route/indication not reported</w:t>
            </w:r>
          </w:p>
        </w:tc>
      </w:tr>
      <w:tr>
        <w:tc>
          <w:tcPr>
            <w:tcW w:type="dxa" w:w="1728"/>
          </w:tcPr>
          <w:p>
            <w:r>
              <w:t>PV-104</w:t>
            </w:r>
          </w:p>
        </w:tc>
        <w:tc>
          <w:tcPr>
            <w:tcW w:type="dxa" w:w="1728"/>
          </w:tcPr>
          <w:p>
            <w:r>
              <w:t>Velunex; ingredient unknown</w:t>
            </w:r>
          </w:p>
        </w:tc>
        <w:tc>
          <w:tcPr>
            <w:tcW w:type="dxa" w:w="1728"/>
          </w:tcPr>
          <w:p>
            <w:r>
              <w:t>Appendicitis → Appendicitis</w:t>
            </w:r>
          </w:p>
        </w:tc>
        <w:tc>
          <w:tcPr>
            <w:tcW w:type="dxa" w:w="1728"/>
          </w:tcPr>
          <w:p>
            <w:r>
              <w:t>3 weeks after use; Recovered</w:t>
            </w:r>
          </w:p>
        </w:tc>
        <w:tc>
          <w:tcPr>
            <w:tcW w:type="dxa" w:w="1728"/>
          </w:tcPr>
          <w:p>
            <w:r>
              <w:t>Hospitalisation recorded; dose/route/indication not reported</w:t>
            </w:r>
          </w:p>
        </w:tc>
      </w:tr>
    </w:tbl>
    <w:p>
      <w:pPr>
        <w:pStyle w:val="Heading1"/>
      </w:pPr>
      <w:r>
        <w:t>3. Chronological narratives</w:t>
      </w:r>
    </w:p>
    <w:p>
      <w:pPr>
        <w:pStyle w:val="Heading2"/>
      </w:pPr>
      <w:r>
        <w:t>PV-101</w:t>
      </w:r>
    </w:p>
    <w:p>
      <w:r>
        <w:t>A 34-year-old female patient from India was reported to have used Velunex. The dose, route, indication, and treatment dates were not supplied. Nausea was reported approximately 3 hours after use. The reported outcome was recovered, and the source classified the case as not serious. Concomitant information was recorded as none reported. Exact dates, treatment, relevant medical history, and reporter details were not supplied. Causality cannot be determined from the available information.</w:t>
      </w:r>
    </w:p>
    <w:p>
      <w:pPr>
        <w:pStyle w:val="Heading2"/>
      </w:pPr>
      <w:r>
        <w:t>PV-102</w:t>
      </w:r>
    </w:p>
    <w:p>
      <w:r>
        <w:t>A 61-year-old male patient from India was reported to have used Velunex. The dose, route, indication, and treatment dates were not supplied. Loss of consciousness was reported approximately 2 days after use. Emergency hospital admission was recorded in the source. The outcome was recorded as recovering. Concomitant medicines were recorded as unknown. Admission/discharge dates, clinical findings, treatment, medical history, and reporter details were not supplied. Causality cannot be determined from the available information.</w:t>
      </w:r>
    </w:p>
    <w:p>
      <w:pPr>
        <w:pStyle w:val="Heading2"/>
      </w:pPr>
      <w:r>
        <w:t>PV-103</w:t>
      </w:r>
    </w:p>
    <w:p>
      <w:r>
        <w:t>A 27-year-old female patient from the United Kingdom was reported to have used Velunex. The dose, route, indication, and treatment dates were not supplied. A mild rash was reported approximately 4 days after use. The reported outcome was recovered, and the source classified the case as not serious. No rechallenge was reported. Rash description, treatment, exact dates, allergy/medical history, concomitant medicines, and reporter details were not supplied. Causality cannot be determined from the available information.</w:t>
      </w:r>
    </w:p>
    <w:p>
      <w:pPr>
        <w:pStyle w:val="Heading2"/>
      </w:pPr>
      <w:r>
        <w:t>PV-104</w:t>
      </w:r>
    </w:p>
    <w:p>
      <w:r>
        <w:t>A patient from India, with age not supplied and sex recorded as unknown, was reported to have used Velunex. The dose, route, indication, and treatment dates were not supplied. Appendicitis was reported approximately 3 weeks after use. Hospitalisation was recorded in the source, and the outcome was recorded as recovered. Medical history was noted as incomplete. Exact event/hospitalisation dates, clinical evidence, treatment, concomitant medicines, reporter details, alternative causes, and the reporter’s causality assessment were not supplied. The temporal sequence does not establish that Velunex caused appendicitis.</w:t>
      </w:r>
    </w:p>
    <w:p>
      <w:pPr>
        <w:pStyle w:val="Heading1"/>
      </w:pPr>
      <w:r>
        <w:t>4. Data-quality and follow-up priorities</w:t>
      </w:r>
    </w:p>
    <w:p>
      <w:pPr>
        <w:pStyle w:val="ListBullet"/>
      </w:pPr>
      <w:r>
        <w:t>Obtain reporter name, contact details, and qualification; reporter country alone does not identify the reporter.</w:t>
      </w:r>
    </w:p>
    <w:p>
      <w:pPr>
        <w:pStyle w:val="ListBullet"/>
      </w:pPr>
      <w:r>
        <w:t>Clarify patient identifiers where appropriate; PV-104 also lacks age and has sex recorded as unknown.</w:t>
      </w:r>
    </w:p>
    <w:p>
      <w:pPr>
        <w:pStyle w:val="ListBullet"/>
      </w:pPr>
      <w:r>
        <w:t>Confirm Velunex active ingredient, strength, dose, route, indication, and therapy start/stop dates.</w:t>
      </w:r>
    </w:p>
    <w:p>
      <w:pPr>
        <w:pStyle w:val="ListBullet"/>
      </w:pPr>
      <w:r>
        <w:t>Obtain exact event dates/times, treatment, relevant history, and outcome details.</w:t>
      </w:r>
    </w:p>
    <w:p>
      <w:pPr>
        <w:pStyle w:val="ListBullet"/>
      </w:pPr>
      <w:r>
        <w:t>For PV-102 and PV-104, verify hospitalization details and seriousness criteria from the source.</w:t>
      </w:r>
    </w:p>
    <w:p>
      <w:pPr>
        <w:pStyle w:val="ListBullet"/>
      </w:pPr>
      <w:r>
        <w:t>Keep “none reported” (PV-101) distinct from “unknown” (PV-102); PV-103 has no rechallenge reported.</w:t>
      </w:r>
    </w:p>
    <w:p>
      <w:pPr>
        <w:pStyle w:val="ListBullet"/>
      </w:pPr>
      <w:r>
        <w:t>Do not infer causality from timing alone, especially for appendicitis in PV-104.</w:t>
      </w:r>
    </w:p>
    <w:p>
      <w:pPr>
        <w:pStyle w:val="Heading1"/>
      </w:pPr>
      <w:r>
        <w:t>5. Limitations</w:t>
      </w:r>
    </w:p>
    <w:p>
      <w:r>
        <w:t>The supplied extract lacks key product and clinical details. No missing facts were invented. These narratives are training examples, not medical advice, validated regulatory submissions, or proof of causality.</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3F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