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b="0" l="0" r="0" t="0"/>
            <wp:wrapNone/>
            <wp:docPr id="15070752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It’s a tool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Tableau,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w:drawing>
          <wp:inline distB="0" distT="0" distL="0" distR="0">
            <wp:extent cx="5731510" cy="2878455"/>
            <wp:effectExtent b="0" l="0" r="0" t="0"/>
            <wp:docPr id="15070752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Observations: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Technology Category Leads in Profit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Technology category is generating the highest profit among all categories.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Seasonal Sales Trend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Sales peak in November, while February sees the lowest sales, indicating a possible seasonal trend.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Consumer Segment Dominates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Consumer segment contributes to the highest percentage of sales, accounting for 50.56%.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Revenue-Generating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Chairs from the Furniture category generate the highest revenue, totaling 1.66M.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2: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Publish Story on Tableau Public and Paste Public link below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https://public.tableau.com/views/SalesStory_17247663658720/Story1?:language=en-US&amp;:sid=&amp;:redirect=auth&amp;:display_count=n&amp;:origin=viz_share_link</w:t>
        </w:r>
      </w:hyperlink>
      <w:r w:rsidDel="00000000" w:rsidR="00000000" w:rsidRPr="00000000">
        <w:rPr>
          <w:rtl w:val="0"/>
        </w:rPr>
        <w:t xml:space="preserve"> </w:t>
      </w:r>
    </w:p>
    <w:p>
      <w:pPr>
        <w:pStyle w:val="Heading1"/>
      </w:pPr>
      <w:r>
        <w:t>Tableau Story — EV Market Intelligence</w:t>
      </w:r>
    </w:p>
    <w:p>
      <w:r>
        <w:t>Story point 1: Market context — dataset coverage, time period, and available EV categories.</w:t>
      </w:r>
    </w:p>
    <w:p>
      <w:r>
        <w:t>Story point 2: Sales and category trends — annual sales and category contributions based on verified measures.</w:t>
      </w:r>
    </w:p>
    <w:p>
      <w:r>
        <w:t>Story point 3: Competitive landscape — manufacturer ranking and market share where a valid denominator exists.</w:t>
      </w:r>
    </w:p>
    <w:p>
      <w:r>
        <w:t>Story point 4: Battery technology — chemistry mix, capacity, and driving range comparisons.</w:t>
      </w:r>
    </w:p>
    <w:p>
      <w:r>
        <w:t>Story point 5: Geography and customer experience — manufacturing country and ratings, with missingness disclosed.</w:t>
      </w:r>
    </w:p>
    <w:p>
      <w:r>
        <w:t>Story point 6: Decision implications — summarize evidence, caveats, and questions for further analysis.</w:t>
      </w:r>
    </w:p>
    <w:p>
      <w:r>
        <w:t>Activity 2 — Tableau Public story link: not yet available. Add the real URL only after publishing the completed story.</w:t>
      </w:r>
    </w:p>
    <w:p>
      <w:r>
        <w:t>Student: Ansh Shrivastava</w:t>
      </w:r>
    </w:p>
    <w:p>
      <w:r>
        <w:t>Project: Global Electric Vehicle Market Intelligence Dashboard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