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B3261E"/>
          <w:spacing w:val="20"/>
          <w:sz w:val="22"/>
          <w:szCs w:val="22"/>
        </w:rPr>
        <w:t xml:space="preserve">DOCUMENT 03</w:t>
      </w:r>
    </w:p>
    <w:p>
      <w:pPr>
        <w:spacing w:after="200"/>
      </w:pPr>
      <w:r>
        <w:rPr>
          <w:b/>
          <w:bCs/>
          <w:color w:val="1F3B57"/>
          <w:sz w:val="52"/>
          <w:szCs w:val="52"/>
        </w:rPr>
        <w:t xml:space="preserve">Security &amp; Access Document</w:t>
      </w:r>
    </w:p>
    <w:p>
      <w:pPr>
        <w:spacing w:after="1600"/>
      </w:pPr>
      <w:r>
        <w:rPr>
          <w:i/>
          <w:iCs/>
          <w:color w:val="5F6368"/>
          <w:sz w:val="26"/>
          <w:szCs w:val="26"/>
        </w:rPr>
        <w:t xml:space="preserve">Roles, permissions, identity, data protection and compliance for the Unified Blood Donation &amp; Coordination Platform</w:t>
      </w:r>
    </w:p>
    <w:p>
      <w:pPr>
        <w:pBdr>
          <w:bottom w:val="single" w:color="B3261E" w:sz="12" w:space="4"/>
        </w:pBdr>
        <w:spacing w:after="200"/>
      </w:pPr>
    </w:p>
    <w:p>
      <w:pPr>
        <w:spacing w:after="60"/>
      </w:pPr>
      <w:r>
        <w:rPr>
          <w:color w:val="5F6368"/>
          <w:sz w:val="20"/>
          <w:szCs w:val="20"/>
        </w:rPr>
        <w:t xml:space="preserve">Project: Unified Blood Donation &amp; Coordination Platform</w:t>
      </w:r>
    </w:p>
    <w:p>
      <w:pPr>
        <w:spacing w:after="60"/>
      </w:pPr>
      <w:r>
        <w:rPr>
          <w:color w:val="5F6368"/>
          <w:sz w:val="20"/>
          <w:szCs w:val="20"/>
        </w:rPr>
        <w:t xml:space="preserve">Version: 1.0  |  Status: Draft for Review</w:t>
      </w:r>
    </w:p>
    <w:p>
      <w:pPr>
        <w:spacing w:after="60"/>
      </w:pPr>
      <w:r>
        <w:rPr>
          <w:color w:val="5F6368"/>
          <w:sz w:val="20"/>
          <w:szCs w:val="20"/>
        </w:rPr>
        <w:t xml:space="preserve">Date: 22 September 2026</w:t>
      </w:r>
    </w:p>
    <w:p>
      <w:r>
        <w:br w:type="page"/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1. Why This Matters Here</w:t>
      </w:r>
    </w:p>
    <w:p>
      <w:pPr>
        <w:spacing w:after="160"/>
      </w:pPr>
      <w:r>
        <w:rPr>
          <w:sz w:val="21"/>
          <w:szCs w:val="21"/>
        </w:rPr>
        <w:t xml:space="preserve">The platform handles health-adjacent personal data (blood group, donation history, location, and — via Aadhaar/ABHA — verified identity) across six different user roles, several of whom are unaffiliated individual donors rather than institutional staff. Security and access design has to balance two competing needs: fast, low-friction action in genuine emergencies, and strict control over who can see or change sensitive donor and patient data.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2. Roles &amp; Permissions Matrix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2400"/>
        <w:gridCol w:w="2100"/>
      </w:tblGrid>
      <w:tr>
        <w:trPr>
          <w:tblHeader/>
        </w:trPr>
        <w:tc>
          <w:tcPr>
            <w:tcW w:type="dxa" w:w="1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view</w:t>
            </w:r>
          </w:p>
        </w:tc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create/edit</w:t>
            </w:r>
          </w:p>
        </w:tc>
        <w:tc>
          <w:tcPr>
            <w:tcW w:type="dxa" w:w="2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Cannot do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Patient / Requester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Own requests and their status; public aggregate stock dashboard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Create a blood request; cancel own request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See other users' personal/contact data; edit inventory or donor records</w:t>
            </w:r>
          </w:p>
        </w:tc>
      </w:tr>
      <w:tr>
        <w:tc>
          <w:tcPr>
            <w:tcW w:type="dxa" w:w="1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Donor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Own profile, donation history, matched requests routed to them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Update own availability/profile; accept/decline a match</w:t>
            </w:r>
          </w:p>
        </w:tc>
        <w:tc>
          <w:tcPr>
            <w:tcW w:type="dxa" w:w="2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See other donors' contact details; see hospital/bank internal data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Hospital staff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Requests raised by their hospital; nearby bank stock summaries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Create/manage requests on behalf of patients; mark units as issued/transfused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Edit blood-bank inventory directly; access donor personal data beyond what's needed to contact a matched donor</w:t>
            </w:r>
          </w:p>
        </w:tc>
      </w:tr>
      <w:tr>
        <w:tc>
          <w:tcPr>
            <w:tcW w:type="dxa" w:w="1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Blood bank staff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Own bank's full inventory and unit-level records; incoming requests/escalations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Update stock, expiry, unit status; respond to escalations</w:t>
            </w:r>
          </w:p>
        </w:tc>
        <w:tc>
          <w:tcPr>
            <w:tcW w:type="dxa" w:w="2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Edit other banks' inventory; access donor data outside active requests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NGO / camp organiser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Demand heatmap; own camp schedules, volunteers and participation stats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Create/manage camps; register volunteers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Access individual patient requests or blood-bank internal stock detail</w:t>
            </w:r>
          </w:p>
        </w:tc>
      </w:tr>
      <w:tr>
        <w:tc>
          <w:tcPr>
            <w:tcW w:type="dxa" w:w="1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System-wide analytics, verification queue, audit logs, escalation rules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Approve/reject verifications; configure escalation SLAs; manage role assignments</w:t>
            </w:r>
          </w:p>
        </w:tc>
        <w:tc>
          <w:tcPr>
            <w:tcW w:type="dxa" w:w="2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Bypass audit logging; access raw Aadhaar/ABHA data beyond the verification result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Principle applied throughout: least privilege plus purpose limitation — each role sees only the data needed to complete its jobs-to-be-done, defined in the Product Requirements Document.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3. Authentication &amp;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Phone/OTP as the baseline login — </w:t>
      </w:r>
      <w:r>
        <w:rPr>
          <w:sz w:val="21"/>
          <w:szCs w:val="21"/>
        </w:rPr>
        <w:t xml:space="preserve">matches how existing Indian blood-donor apps already onboard users, keeping friction low for donors on any device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Aadhaar/ABHA e-KYC for verified donor and patient identity — </w:t>
      </w:r>
      <w:r>
        <w:rPr>
          <w:sz w:val="21"/>
          <w:szCs w:val="21"/>
        </w:rPr>
        <w:t xml:space="preserve">used to confirm eligibility (age, prior donation gaps) and prevent duplicate donor records, following the Estonia/Nordics and Singapore benchmark of linking to an existing national digital identity rather than building a parallel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Institutional accounts (hospital, blood bank, NGO) — </w:t>
      </w:r>
      <w:r>
        <w:rPr>
          <w:sz w:val="21"/>
          <w:szCs w:val="21"/>
        </w:rPr>
        <w:t xml:space="preserve">created through a verified onboarding process (licence/registration document check) rather than self-service sign-up, with admin approval before the account is activated.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Session &amp; token handling — </w:t>
      </w:r>
      <w:r>
        <w:rPr>
          <w:sz w:val="21"/>
          <w:szCs w:val="21"/>
        </w:rPr>
        <w:t xml:space="preserve">short-lived access tokens with refresh tokens; forced re-authentication for sensitive actions (e.g., a blood bank editing unit-level records).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Multi-factor step-up — </w:t>
      </w:r>
      <w:r>
        <w:rPr>
          <w:sz w:val="21"/>
          <w:szCs w:val="21"/>
        </w:rPr>
        <w:t xml:space="preserve">required for admin accounts and for any bulk data export.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4. Data Protection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4.1 Classification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class</w:t>
            </w:r>
          </w:p>
        </w:tc>
        <w:tc>
          <w:tcPr>
            <w:tcW w:type="dxa" w:w="3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3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Highly sensitive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Aadhaar/ABHA identifiers, raw e-KYC responses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Never stored in plaintext; tokenised/hashed, access restricted to the identity-verification service only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Sensitive</w:t>
            </w:r>
          </w:p>
        </w:tc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Blood group, donation history, health-eligibility answers, precise location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Encrypted at rest and in transit; visible only to the roles defined in the permissions matrix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Internal operational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Inventory counts, request status, escalation logs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Encrypted in transit; access scoped by role and organisation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Public</w:t>
            </w:r>
          </w:p>
        </w:tc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Aggregate/anonymised stock levels, city-level demand heatmap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Safe to expose on the public transparency dashboard with no individual-level data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4.2 Encryption &amp;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TLS 1.2+ for all data in transit; AES-256 for data at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Aadhaar/ABHA numbers are never stored directly — only a verification outcome and a tokenised reference are retained, consistent with UIDAI data-handling norms.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India-region data residency for all personal and health-adjacent data, supporting DPDP Act data-localisation expectations.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4.3 Consent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Explicit consent captured at registration for: identity verification, location use for matching, and notification contact — each toggle-able independently where feasible.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Consent and purpose are recorded per data use, in line with the DPDP Act's purpose-limitation principle.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Donors can withdraw consent and request account/data deletion; deletion requests are honoured except where a legal retention obligation applies (e.g., completed transfusion records tied to patient safety).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5. Regulatory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Digital Personal Data Protection (DPDP) Act, 2023 — </w:t>
      </w:r>
      <w:r>
        <w:rPr>
          <w:sz w:val="21"/>
          <w:szCs w:val="21"/>
        </w:rPr>
        <w:t xml:space="preserve">governs consent, purpose limitation, data-principal rights (access/correction/erasure) and breach notification for all personal data collected.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Health-data handling norms — </w:t>
      </w:r>
      <w:r>
        <w:rPr>
          <w:sz w:val="21"/>
          <w:szCs w:val="21"/>
        </w:rPr>
        <w:t xml:space="preserve">blood-group and donation-eligibility data are treated as sensitive personal data with stricter access controls than general profile data, even though the platform is not itself a clinical record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UIDAI Aadhaar data-handling requirements — </w:t>
      </w:r>
      <w:r>
        <w:rPr>
          <w:sz w:val="21"/>
          <w:szCs w:val="21"/>
        </w:rPr>
        <w:t xml:space="preserve">govern how e-KYC integration is implemented (tokenisation, no raw Aadhaar-number storage, authorised AUA/KUA integration path).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NHM / e-RaktKosh interoperability expectations — </w:t>
      </w:r>
      <w:r>
        <w:rPr>
          <w:sz w:val="21"/>
          <w:szCs w:val="21"/>
        </w:rPr>
        <w:t xml:space="preserve">any future data-sharing agreement with the government system (Phase 3 roadmap) will require a formal data-sharing MoU defining what fields are exchanged and under what access controls.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6. Audit Logging &amp;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create/update/delete on Request, Match, BloodUnit, Inventory and User-role-assignment records is written to an immutable audit log (actor, action, before/after state, timestamp).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 actions (verification approvals, escalation-rule changes, role changes) are logged with mandatory justification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Automated anomaly monitoring flags unusual patterns: a single account raising many requests in a short window, a donor account matched far outside its stated location, or repeated failed e-KYC attempts.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7. Incident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Defined severity tiers: data-exposure incidents (e.g., unauthorised access to donor contact data) are treated as the highest severity given the personal-safety context of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Breach notification workflow aligned to DPDP Act timelines, including notifying affected data principals and the Data Protection Board where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documented rollback/kill-switch path for the Matching and Escalation services, so a faulty release can be pulled without disrupting the platform's emergency-response function.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5"/>
        <w:szCs w:val="15"/>
      </w:rPr>
      <w:t xml:space="preserve">Page </w:t>
    </w:r>
    <w:r>
      <w:rPr>
        <w:color w:val="5F63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5"/>
        <w:szCs w:val="15"/>
      </w:rPr>
      <w:t xml:space="preserve"> of </w:t>
    </w:r>
    <w:r>
      <w:rPr>
        <w:color w:val="5F63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5"/>
        <w:szCs w:val="15"/>
      </w:rPr>
      <w:t xml:space="preserve">03 — Security &amp; Access  |  Unified Blood Donation &amp; Coordination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2026-09-22T11:31:59.558Z</dcterms:created>
  <dcterms:modified xsi:type="dcterms:W3CDTF">2026-09-22T11:31:59.558Z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