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692.0" w:type="dxa"/>
      </w:tblPr>
      <w:tblGrid>
        <w:gridCol w:w="4513"/>
        <w:gridCol w:w="4513"/>
      </w:tblGrid>
      <w:tr>
        <w:trPr>
          <w:trHeight w:hRule="exact" w:val="2284"/>
        </w:trPr>
        <w:tc>
          <w:tcPr>
            <w:tcW w:type="dxa" w:w="5260"/>
            <w:tcBorders>
              <w:end w:sz="16.0" w:val="single" w:color="#FFFFFF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832" w:after="0"/>
              <w:ind w:left="28" w:right="0" w:hanging="4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32"/>
              </w:rPr>
              <w:t xml:space="preserve">MATERIAL SAFETY DATA SHEET </w:t>
            </w:r>
            <w:r>
              <w:rPr>
                <w:rFonts w:ascii="Arial" w:hAnsi="Arial" w:eastAsia="Arial"/>
                <w:b/>
                <w:i w:val="0"/>
                <w:color w:val="000000"/>
                <w:sz w:val="32"/>
              </w:rPr>
              <w:t xml:space="preserve">(MSDS) </w:t>
            </w:r>
          </w:p>
        </w:tc>
        <w:tc>
          <w:tcPr>
            <w:tcW w:type="dxa" w:w="5588"/>
            <w:tcBorders>
              <w:start w:sz="16.0" w:val="single" w:color="#FFFFFF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84"/>
        </w:trPr>
        <w:tc>
          <w:tcPr>
            <w:tcW w:type="dxa" w:w="5260"/>
            <w:tcBorders>
              <w:top w:sz="12.0" w:val="single" w:color="#000000"/>
              <w:end w:sz="16.0" w:val="single" w:color="#FFFFFF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6" w:after="0"/>
              <w:ind w:left="28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PRODUCT NAME - ACETIC ACID </w:t>
            </w: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CAS No.: 64-19-7 </w:t>
            </w:r>
          </w:p>
        </w:tc>
        <w:tc>
          <w:tcPr>
            <w:tcW w:type="dxa" w:w="5588"/>
            <w:tcBorders>
              <w:start w:sz="16.0" w:val="single" w:color="#FFFFFF"/>
              <w:top w:sz="12.0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8"/>
        </w:trPr>
        <w:tc>
          <w:tcPr>
            <w:tcW w:type="dxa" w:w="5260"/>
            <w:tcBorders>
              <w:top w:sz="11.200000000000045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88"/>
            <w:tcBorders>
              <w:top w:sz="11.200000000000045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8"/>
        </w:trPr>
        <w:tc>
          <w:tcPr>
            <w:tcW w:type="dxa" w:w="5260"/>
            <w:tcBorders>
              <w:top w:sz="6.0" w:val="single" w:color="#000000"/>
              <w:end w:sz="16.0" w:val="single" w:color="#FFFFFF"/>
              <w:bottom w:sz="16.0" w:val="single" w:color="#0F2D5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88"/>
            <w:tcBorders>
              <w:start w:sz="16.0" w:val="single" w:color="#FFFFFF"/>
              <w:top w:sz="6.0" w:val="single" w:color="#000000"/>
              <w:bottom w:sz="16.0" w:val="single" w:color="#0F2D5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206"/>
        </w:trPr>
        <w:tc>
          <w:tcPr>
            <w:tcW w:type="dxa" w:w="5260"/>
            <w:tcBorders>
              <w:top w:sz="16.0" w:val="single" w:color="#0F2D57"/>
              <w:end w:sz="16.0" w:val="single" w:color="#FFFFFF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50"/>
              <w:ind w:left="38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SECTION 1: Identification of the substance/mixture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7.99999999999997" w:type="dxa"/>
            </w:tblPr>
            <w:tblGrid>
              <w:gridCol w:w="1753"/>
              <w:gridCol w:w="1753"/>
              <w:gridCol w:w="1753"/>
            </w:tblGrid>
            <w:tr>
              <w:trPr>
                <w:trHeight w:hRule="exact" w:val="276"/>
              </w:trPr>
              <w:tc>
                <w:tcPr>
                  <w:tcW w:type="dxa" w:w="7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52" w:after="0"/>
                    <w:ind w:left="0" w:right="76" w:firstLine="0"/>
                    <w:jc w:val="righ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000000"/>
                      <w:sz w:val="20"/>
                    </w:rPr>
                    <w:t xml:space="preserve">1.1 </w:t>
                  </w:r>
                </w:p>
              </w:tc>
              <w:tc>
                <w:tcPr>
                  <w:tcW w:type="dxa" w:w="2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6" w:after="0"/>
                    <w:ind w:left="11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000000"/>
                      <w:sz w:val="20"/>
                    </w:rPr>
                    <w:t>Product identifiers</w:t>
                  </w:r>
                </w:p>
              </w:tc>
              <w:tc>
                <w:tcPr>
                  <w:tcW w:type="dxa" w:w="1938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8" w:after="0"/>
                    <w:ind w:left="260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 xml:space="preserve">: </w:t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8"/>
                    </w:rPr>
                    <w:t>Half FRAS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1753"/>
                  <w:vMerge/>
                  <w:tcBorders/>
                </w:tcPr>
                <w:p/>
              </w:tc>
              <w:tc>
                <w:tcPr>
                  <w:tcW w:type="dxa" w:w="2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108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 xml:space="preserve">Product name </w:t>
                  </w:r>
                </w:p>
              </w:tc>
              <w:tc>
                <w:tcPr>
                  <w:tcW w:type="dxa" w:w="1753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40" w:lineRule="auto" w:before="2" w:after="188"/>
              <w:ind w:left="0" w:right="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8"/>
              </w:rPr>
              <w:t>with antib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8.0" w:type="dxa"/>
            </w:tblPr>
            <w:tblGrid>
              <w:gridCol w:w="2630"/>
              <w:gridCol w:w="2630"/>
            </w:tblGrid>
            <w:tr>
              <w:trPr>
                <w:trHeight w:hRule="exact" w:val="1516"/>
              </w:trPr>
              <w:tc>
                <w:tcPr>
                  <w:tcW w:type="dxa" w:w="2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0" w:after="0"/>
                    <w:ind w:left="508" w:right="288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 xml:space="preserve">Product Number </w:t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 xml:space="preserve">Catalogue No. 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4" w:after="0"/>
                    <w:ind w:left="508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 xml:space="preserve">Brand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22" w:after="0"/>
                    <w:ind w:left="508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 xml:space="preserve">UFI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508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 xml:space="preserve">REACH No. </w:t>
                  </w:r>
                </w:p>
              </w:tc>
              <w:tc>
                <w:tcPr>
                  <w:tcW w:type="dxa" w:w="2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0" w:after="0"/>
                    <w:ind w:left="432" w:right="432" w:firstLine="0"/>
                    <w:jc w:val="center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 xml:space="preserve">: 1.00025 </w:t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 xml:space="preserve">: 100025 </w:t>
                  </w:r>
                  <w:r>
                    <w:br/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 xml:space="preserve">: Millipore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22" w:after="0"/>
                    <w:ind w:left="462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>: 5DU2-V6J1-D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460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>: This product 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8" w:lineRule="auto" w:before="2" w:after="304"/>
              <w:ind w:left="0" w:right="314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section 3.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7.99999999999997" w:type="dxa"/>
            </w:tblPr>
            <w:tblGrid>
              <w:gridCol w:w="1753"/>
              <w:gridCol w:w="1753"/>
              <w:gridCol w:w="1753"/>
            </w:tblGrid>
            <w:tr>
              <w:trPr>
                <w:trHeight w:hRule="exact" w:val="356"/>
              </w:trPr>
              <w:tc>
                <w:tcPr>
                  <w:tcW w:type="dxa" w:w="7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0" w:right="76" w:firstLine="0"/>
                    <w:jc w:val="righ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000000"/>
                      <w:sz w:val="20"/>
                    </w:rPr>
                    <w:t xml:space="preserve">1.2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28" w:after="0"/>
                    <w:ind w:left="0" w:right="76" w:firstLine="0"/>
                    <w:jc w:val="righ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000000"/>
                      <w:sz w:val="20"/>
                    </w:rPr>
                    <w:t xml:space="preserve">1.3 </w:t>
                  </w:r>
                </w:p>
              </w:tc>
              <w:tc>
                <w:tcPr>
                  <w:tcW w:type="dxa" w:w="488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11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000000"/>
                      <w:sz w:val="20"/>
                    </w:rPr>
                    <w:t>Relevant identified uses of the substa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1753"/>
                  <w:vMerge/>
                  <w:tcBorders/>
                </w:tcPr>
                <w:p/>
              </w:tc>
              <w:tc>
                <w:tcPr>
                  <w:tcW w:type="dxa" w:w="2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8" w:after="0"/>
                    <w:ind w:left="108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 xml:space="preserve">Identified uses </w:t>
                  </w:r>
                </w:p>
              </w:tc>
              <w:tc>
                <w:tcPr>
                  <w:tcW w:type="dxa" w:w="240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8" w:after="0"/>
                    <w:ind w:left="220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>: Reagent for a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1753"/>
                  <w:vMerge/>
                  <w:tcBorders/>
                </w:tcPr>
                <w:p/>
              </w:tc>
              <w:tc>
                <w:tcPr>
                  <w:tcW w:type="dxa" w:w="2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12" w:after="0"/>
                    <w:ind w:left="108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 xml:space="preserve">Uses advised against </w:t>
                  </w:r>
                </w:p>
              </w:tc>
              <w:tc>
                <w:tcPr>
                  <w:tcW w:type="dxa" w:w="240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12" w:after="0"/>
                    <w:ind w:left="220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>: This product i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1753"/>
                  <w:vMerge/>
                  <w:tcBorders/>
                </w:tcPr>
                <w:p/>
              </w:tc>
              <w:tc>
                <w:tcPr>
                  <w:tcW w:type="dxa" w:w="488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4" w:after="0"/>
                    <w:ind w:left="0" w:right="0" w:firstLine="0"/>
                    <w:jc w:val="center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000000"/>
                      <w:sz w:val="20"/>
                    </w:rPr>
                    <w:t>Details of the supplier of the safety data s</w:t>
                  </w:r>
                </w:p>
              </w:tc>
            </w:tr>
            <w:tr>
              <w:trPr>
                <w:trHeight w:hRule="exact" w:val="318"/>
              </w:trPr>
              <w:tc>
                <w:tcPr>
                  <w:tcW w:type="dxa" w:w="1753"/>
                  <w:vMerge/>
                  <w:tcBorders/>
                </w:tcPr>
                <w:p/>
              </w:tc>
              <w:tc>
                <w:tcPr>
                  <w:tcW w:type="dxa" w:w="2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108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 xml:space="preserve">Company </w:t>
                  </w:r>
                </w:p>
              </w:tc>
              <w:tc>
                <w:tcPr>
                  <w:tcW w:type="dxa" w:w="240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220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>: Sigma-Aldrich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1753"/>
                  <w:vMerge/>
                  <w:tcBorders/>
                </w:tcPr>
                <w:p/>
              </w:tc>
              <w:tc>
                <w:tcPr>
                  <w:tcW w:type="dxa" w:w="488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526" w:firstLine="0"/>
                    <w:jc w:val="righ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>Industrial Are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" w:after="184"/>
              <w:ind w:left="387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Plot No 12,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12 Bommasan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560100 BANG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INDIA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7.99999999999997" w:type="dxa"/>
            </w:tblPr>
            <w:tblGrid>
              <w:gridCol w:w="1753"/>
              <w:gridCol w:w="1753"/>
              <w:gridCol w:w="1753"/>
            </w:tblGrid>
            <w:tr>
              <w:trPr>
                <w:trHeight w:hRule="exact" w:val="482"/>
              </w:trPr>
              <w:tc>
                <w:tcPr>
                  <w:tcW w:type="dxa" w:w="7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0" w:right="76" w:firstLine="0"/>
                    <w:jc w:val="righ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000000"/>
                      <w:sz w:val="20"/>
                    </w:rPr>
                    <w:t xml:space="preserve">1.4 </w:t>
                  </w:r>
                </w:p>
              </w:tc>
              <w:tc>
                <w:tcPr>
                  <w:tcW w:type="dxa" w:w="2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11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000000"/>
                      <w:sz w:val="20"/>
                    </w:rPr>
                    <w:t xml:space="preserve">Emergency telephone </w:t>
                  </w:r>
                </w:p>
              </w:tc>
              <w:tc>
                <w:tcPr>
                  <w:tcW w:type="dxa" w:w="17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64" w:after="0"/>
                    <w:ind w:left="0" w:right="0" w:firstLine="0"/>
                    <w:jc w:val="center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>: 000 800 1007</w:t>
                  </w:r>
                </w:p>
              </w:tc>
            </w:tr>
            <w:tr>
              <w:trPr>
                <w:trHeight w:hRule="exact" w:val="464"/>
              </w:trPr>
              <w:tc>
                <w:tcPr>
                  <w:tcW w:type="dxa" w:w="1753"/>
                  <w:vMerge/>
                  <w:tcBorders/>
                </w:tcPr>
                <w:p/>
              </w:tc>
              <w:tc>
                <w:tcPr>
                  <w:tcW w:type="dxa" w:w="2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2" w:after="0"/>
                    <w:ind w:left="108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 xml:space="preserve">Emergency Phone # </w:t>
                  </w:r>
                </w:p>
              </w:tc>
              <w:tc>
                <w:tcPr>
                  <w:tcW w:type="dxa" w:w="1753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588"/>
            <w:tcBorders>
              <w:start w:sz="16.0" w:val="single" w:color="#FFFFFF"/>
              <w:top w:sz="16.0" w:val="single" w:color="#0F2D57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and of the company/undertaking</w:t>
            </w:r>
          </w:p>
          <w:p>
            <w:pPr>
              <w:autoSpaceDN w:val="0"/>
              <w:tabs>
                <w:tab w:pos="1392" w:val="left"/>
              </w:tabs>
              <w:autoSpaceDE w:val="0"/>
              <w:widowControl/>
              <w:spacing w:line="245" w:lineRule="auto" w:before="338" w:after="0"/>
              <w:ind w:left="0" w:right="576" w:firstLine="0"/>
              <w:jc w:val="left"/>
            </w:pP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8"/>
              </w:rPr>
              <w:t xml:space="preserve">ER (Demi FRASER) broth (base)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8"/>
              </w:rPr>
              <w:t xml:space="preserve">with antibiotics acc. ISO 11290 GranuCult® </w:t>
            </w:r>
          </w:p>
          <w:p>
            <w:pPr>
              <w:autoSpaceDN w:val="0"/>
              <w:autoSpaceDE w:val="0"/>
              <w:widowControl/>
              <w:spacing w:line="300" w:lineRule="auto" w:before="1098" w:after="0"/>
              <w:ind w:left="0" w:right="864" w:firstLine="2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99J-HY1J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s a mixture. REACH Registration Number see </w:t>
            </w:r>
          </w:p>
          <w:p>
            <w:pPr>
              <w:autoSpaceDN w:val="0"/>
              <w:autoSpaceDE w:val="0"/>
              <w:widowControl/>
              <w:spacing w:line="281" w:lineRule="auto" w:before="608" w:after="0"/>
              <w:ind w:left="0" w:right="864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nce or mixture and uses advised against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nalysis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s not intended for consumer use. </w:t>
            </w:r>
          </w:p>
          <w:p>
            <w:pPr>
              <w:autoSpaceDN w:val="0"/>
              <w:tabs>
                <w:tab w:pos="40" w:val="left"/>
                <w:tab w:pos="54" w:val="left"/>
              </w:tabs>
              <w:autoSpaceDE w:val="0"/>
              <w:widowControl/>
              <w:spacing w:line="278" w:lineRule="auto" w:before="122" w:after="0"/>
              <w:ind w:left="0" w:right="3168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ta sheet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 Chemical Pvt Limited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 Anekal Taluka </w:t>
            </w:r>
          </w:p>
          <w:p>
            <w:pPr>
              <w:autoSpaceDN w:val="0"/>
              <w:tabs>
                <w:tab w:pos="38" w:val="left"/>
              </w:tabs>
              <w:autoSpaceDE w:val="0"/>
              <w:widowControl/>
              <w:spacing w:line="245" w:lineRule="auto" w:before="246" w:after="0"/>
              <w:ind w:left="4" w:right="3168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dra - Jigani Link Road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ALORE </w:t>
            </w:r>
          </w:p>
          <w:p>
            <w:pPr>
              <w:autoSpaceDN w:val="0"/>
              <w:autoSpaceDE w:val="0"/>
              <w:widowControl/>
              <w:spacing w:line="240" w:lineRule="auto" w:before="1092" w:after="0"/>
              <w:ind w:left="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 141 (CHEMTREC) </w:t>
            </w:r>
          </w:p>
        </w:tc>
      </w:tr>
      <w:tr>
        <w:trPr>
          <w:trHeight w:hRule="exact" w:val="118"/>
        </w:trPr>
        <w:tc>
          <w:tcPr>
            <w:tcW w:type="dxa" w:w="5260"/>
            <w:tcBorders>
              <w:top w:sz="6.0" w:val="single" w:color="#000000"/>
              <w:end w:sz="16.0" w:val="single" w:color="#FFFFFF"/>
              <w:bottom w:sz="16.0" w:val="single" w:color="#0F2D5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88"/>
            <w:tcBorders>
              <w:start w:sz="16.0" w:val="single" w:color="#FFFFFF"/>
              <w:top w:sz="6.0" w:val="single" w:color="#000000"/>
              <w:bottom w:sz="16.0" w:val="single" w:color="#0F2D5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20"/>
        </w:trPr>
        <w:tc>
          <w:tcPr>
            <w:tcW w:type="dxa" w:w="5260"/>
            <w:tcBorders>
              <w:top w:sz="16.0" w:val="single" w:color="#0F2D57"/>
              <w:end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38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SECTION 2: Hazards identification</w:t>
            </w:r>
          </w:p>
          <w:p>
            <w:pPr>
              <w:autoSpaceDN w:val="0"/>
              <w:tabs>
                <w:tab w:pos="998" w:val="left"/>
              </w:tabs>
              <w:autoSpaceDE w:val="0"/>
              <w:widowControl/>
              <w:spacing w:line="240" w:lineRule="auto" w:before="102" w:after="0"/>
              <w:ind w:left="386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2.1 </w:t>
            </w:r>
            <w:r>
              <w:tab/>
            </w: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Classification of the substance or mixture </w:t>
            </w:r>
          </w:p>
          <w:p>
            <w:pPr>
              <w:autoSpaceDN w:val="0"/>
              <w:autoSpaceDE w:val="0"/>
              <w:widowControl/>
              <w:spacing w:line="240" w:lineRule="auto" w:before="122" w:after="0"/>
              <w:ind w:left="99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Not a hazardous substance or mixture acc</w:t>
            </w:r>
          </w:p>
          <w:p>
            <w:pPr>
              <w:autoSpaceDN w:val="0"/>
              <w:tabs>
                <w:tab w:pos="998" w:val="left"/>
              </w:tabs>
              <w:autoSpaceDE w:val="0"/>
              <w:widowControl/>
              <w:spacing w:line="240" w:lineRule="auto" w:before="120" w:after="0"/>
              <w:ind w:left="386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2.2 </w:t>
            </w:r>
            <w:r>
              <w:tab/>
            </w: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Label elements </w:t>
            </w:r>
          </w:p>
          <w:p>
            <w:pPr>
              <w:autoSpaceDN w:val="0"/>
              <w:autoSpaceDE w:val="0"/>
              <w:widowControl/>
              <w:spacing w:line="240" w:lineRule="auto" w:before="124" w:after="0"/>
              <w:ind w:left="99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Not a hazardous substance or mixture acc</w:t>
            </w:r>
          </w:p>
          <w:p>
            <w:pPr>
              <w:autoSpaceDN w:val="0"/>
              <w:autoSpaceDE w:val="0"/>
              <w:widowControl/>
              <w:spacing w:line="178" w:lineRule="exact" w:before="622" w:after="0"/>
              <w:ind w:left="1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1.00025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0" w:right="60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 xml:space="preserve"> operates as </w:t>
            </w:r>
          </w:p>
        </w:tc>
        <w:tc>
          <w:tcPr>
            <w:tcW w:type="dxa" w:w="5588"/>
            <w:tcBorders>
              <w:start w:sz="16.0" w:val="single" w:color="#FFFFFF"/>
              <w:top w:sz="16.0" w:val="single" w:color="#0F2D5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" w:val="left"/>
              </w:tabs>
              <w:autoSpaceDE w:val="0"/>
              <w:widowControl/>
              <w:spacing w:line="300" w:lineRule="auto" w:before="222" w:after="0"/>
              <w:ind w:left="0" w:right="1296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ure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ording to Regulation (EC) No 1272/2008. </w:t>
            </w:r>
          </w:p>
          <w:p>
            <w:pPr>
              <w:autoSpaceDN w:val="0"/>
              <w:autoSpaceDE w:val="0"/>
              <w:widowControl/>
              <w:spacing w:line="240" w:lineRule="auto" w:before="48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ording to Regulation (EC) No 1272/2008. </w:t>
            </w:r>
          </w:p>
          <w:p>
            <w:pPr>
              <w:autoSpaceDN w:val="0"/>
              <w:autoSpaceDE w:val="0"/>
              <w:widowControl/>
              <w:spacing w:line="240" w:lineRule="auto" w:before="610" w:after="130"/>
              <w:ind w:left="0" w:right="50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1  of  12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7.99999999999955" w:type="dxa"/>
            </w:tblPr>
            <w:tblGrid>
              <w:gridCol w:w="2794"/>
              <w:gridCol w:w="2794"/>
            </w:tblGrid>
            <w:tr>
              <w:trPr>
                <w:trHeight w:hRule="exact" w:val="1150"/>
              </w:trPr>
              <w:tc>
                <w:tcPr>
                  <w:tcW w:type="dxa" w:w="1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4" w:after="0"/>
                    <w:ind w:left="354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18"/>
                    </w:rPr>
                    <w:t xml:space="preserve"> in </w:t>
                  </w:r>
                </w:p>
              </w:tc>
              <w:tc>
                <w:tcPr>
                  <w:tcW w:type="dxa" w:w="3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0" w:right="244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5619750</wp:posOffset>
                        </wp:positionH>
                        <wp:positionV relativeFrom="page">
                          <wp:posOffset>8997950</wp:posOffset>
                        </wp:positionV>
                        <wp:extent cx="1388109" cy="666750"/>
                        <wp:wrapNone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88109" cy="6667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520700</wp:posOffset>
            </wp:positionV>
            <wp:extent cx="6286500" cy="75526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552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4"/>
        <w:ind w:left="0" w:right="0"/>
      </w:pPr>
    </w:p>
    <w:p>
      <w:pPr>
        <w:autoSpaceDN w:val="0"/>
        <w:tabs>
          <w:tab w:pos="1690" w:val="left"/>
        </w:tabs>
        <w:autoSpaceDE w:val="0"/>
        <w:widowControl/>
        <w:spacing w:line="245" w:lineRule="auto" w:before="0" w:after="0"/>
        <w:ind w:left="1078" w:right="1296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2.3 </w:t>
      </w:r>
      <w:r>
        <w:tab/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Other hazards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This substance/mixture contains no components considered to be either persistent,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bioaccumulative and toxic (PBT), or very persistent and very bioaccumulative (vPvB) at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levels of 0.1% or higher. </w:t>
      </w:r>
    </w:p>
    <w:p>
      <w:pPr>
        <w:autoSpaceDN w:val="0"/>
        <w:autoSpaceDE w:val="0"/>
        <w:widowControl/>
        <w:spacing w:line="245" w:lineRule="auto" w:before="244" w:after="0"/>
        <w:ind w:left="1710" w:right="86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Ecological information: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The substance/mixture does not contain components considered to have endocrine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disrupting properties according to REACH Article 57(f) or Commission Delegated regulation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(EU) 2017/2100 or Commission Regulation (EU) 2018/605 at levels of 0.1% or higher. </w:t>
      </w:r>
    </w:p>
    <w:p>
      <w:pPr>
        <w:autoSpaceDN w:val="0"/>
        <w:autoSpaceDE w:val="0"/>
        <w:widowControl/>
        <w:spacing w:line="245" w:lineRule="auto" w:before="2" w:after="0"/>
        <w:ind w:left="1710" w:right="86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Toxicological information: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The substance/mixture does not contain components considered to have endocrine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disrupting properties according to REACH Article 57(f) or Commission Delegated regulation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(EU) 2017/2100 or Commission Regulation (EU) 2018/605 at levels of 0.1% or higher. </w:t>
      </w:r>
    </w:p>
    <w:p>
      <w:pPr>
        <w:autoSpaceDN w:val="0"/>
        <w:autoSpaceDE w:val="0"/>
        <w:widowControl/>
        <w:spacing w:line="274" w:lineRule="exact" w:before="598" w:after="52"/>
        <w:ind w:left="1078" w:right="0" w:firstLine="0"/>
        <w:jc w:val="left"/>
      </w:pPr>
      <w:r>
        <w:rPr>
          <w:rFonts w:ascii="Helvetica" w:hAnsi="Helvetica" w:eastAsia="Helvetica"/>
          <w:b/>
          <w:i w:val="0"/>
          <w:color w:val="FFFFFF"/>
          <w:sz w:val="20"/>
        </w:rPr>
        <w:t>SECTION 3: Composition/information on ingredients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13"/>
        <w:gridCol w:w="4513"/>
      </w:tblGrid>
      <w:tr>
        <w:trPr>
          <w:trHeight w:hRule="exact" w:val="352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76" w:firstLine="0"/>
              <w:jc w:val="righ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3.2 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1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Mixtures 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18.0" w:type="dxa"/>
      </w:tblPr>
      <w:tblGrid>
        <w:gridCol w:w="3009"/>
        <w:gridCol w:w="3009"/>
        <w:gridCol w:w="3009"/>
      </w:tblGrid>
      <w:tr>
        <w:trPr>
          <w:trHeight w:hRule="exact" w:val="257"/>
        </w:trPr>
        <w:tc>
          <w:tcPr>
            <w:tcW w:type="dxa" w:w="504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6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Component </w:t>
            </w:r>
          </w:p>
        </w:tc>
        <w:tc>
          <w:tcPr>
            <w:tcW w:type="dxa" w:w="28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6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Classification </w:t>
            </w:r>
          </w:p>
        </w:tc>
        <w:tc>
          <w:tcPr>
            <w:tcW w:type="dxa" w:w="1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Concentration </w:t>
            </w:r>
          </w:p>
        </w:tc>
      </w:tr>
      <w:tr>
        <w:trPr>
          <w:trHeight w:hRule="exact" w:val="379"/>
        </w:trPr>
        <w:tc>
          <w:tcPr>
            <w:tcW w:type="dxa" w:w="9542"/>
            <w:gridSpan w:val="3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66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>Lithium chloride</w:t>
            </w:r>
          </w:p>
        </w:tc>
      </w:tr>
      <w:tr>
        <w:trPr>
          <w:trHeight w:hRule="exact" w:val="1226"/>
        </w:trPr>
        <w:tc>
          <w:tcPr>
            <w:tcW w:type="dxa" w:w="504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98.0000000000001" w:type="dxa"/>
            </w:tblPr>
            <w:tblGrid>
              <w:gridCol w:w="2520"/>
              <w:gridCol w:w="2520"/>
            </w:tblGrid>
            <w:tr>
              <w:trPr>
                <w:trHeight w:hRule="exact" w:val="1200"/>
              </w:trPr>
              <w:tc>
                <w:tcPr>
                  <w:tcW w:type="dxa" w:w="1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308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 xml:space="preserve">CAS-No. 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2" w:after="0"/>
                    <w:ind w:left="308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 xml:space="preserve">EC-No. 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4" w:after="0"/>
                    <w:ind w:left="308" w:right="288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 xml:space="preserve">Registration </w:t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 xml:space="preserve">number </w:t>
                  </w:r>
                </w:p>
              </w:tc>
              <w:tc>
                <w:tcPr>
                  <w:tcW w:type="dxa" w:w="2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" w:after="0"/>
                    <w:ind w:left="368" w:right="1008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 xml:space="preserve">7447-41-8 </w:t>
                  </w:r>
                  <w:r>
                    <w:br/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 xml:space="preserve">231-212-3 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246" w:after="0"/>
                    <w:ind w:left="368" w:right="144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>01-2119560574-35-</w:t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000000"/>
                      <w:sz w:val="20"/>
                    </w:rPr>
                    <w:t>XXXX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6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Acute Tox. 4; Skin Irrit. 2;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Eye Irrit. 2; H302, H315,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H319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68" w:right="144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&gt;= 1 - &lt; 10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%</w:t>
            </w:r>
          </w:p>
        </w:tc>
      </w:tr>
    </w:tbl>
    <w:p>
      <w:pPr>
        <w:autoSpaceDN w:val="0"/>
        <w:autoSpaceDE w:val="0"/>
        <w:widowControl/>
        <w:spacing w:line="238" w:lineRule="auto" w:before="124" w:after="0"/>
        <w:ind w:left="1690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For the full text of the H-Statements mentioned in this Section, see Section 16. </w:t>
      </w:r>
    </w:p>
    <w:p>
      <w:pPr>
        <w:autoSpaceDN w:val="0"/>
        <w:autoSpaceDE w:val="0"/>
        <w:widowControl/>
        <w:spacing w:line="274" w:lineRule="exact" w:before="354" w:after="0"/>
        <w:ind w:left="1078" w:right="0" w:firstLine="0"/>
        <w:jc w:val="left"/>
      </w:pPr>
      <w:r>
        <w:rPr>
          <w:rFonts w:ascii="Helvetica" w:hAnsi="Helvetica" w:eastAsia="Helvetica"/>
          <w:b/>
          <w:i w:val="0"/>
          <w:color w:val="FFFFFF"/>
          <w:sz w:val="20"/>
        </w:rPr>
        <w:t>SECTION 4: First aid measures</w:t>
      </w:r>
    </w:p>
    <w:p>
      <w:pPr>
        <w:autoSpaceDN w:val="0"/>
        <w:tabs>
          <w:tab w:pos="1690" w:val="left"/>
        </w:tabs>
        <w:autoSpaceDE w:val="0"/>
        <w:widowControl/>
        <w:spacing w:line="240" w:lineRule="auto" w:before="100" w:after="0"/>
        <w:ind w:left="1078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4.1 </w:t>
      </w:r>
      <w:r>
        <w:tab/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Description of first-aid measures </w:t>
      </w:r>
    </w:p>
    <w:p>
      <w:pPr>
        <w:autoSpaceDN w:val="0"/>
        <w:autoSpaceDE w:val="0"/>
        <w:widowControl/>
        <w:spacing w:line="245" w:lineRule="auto" w:before="122" w:after="0"/>
        <w:ind w:left="1690" w:right="7488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If inhaled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After inhalation: fresh air. </w:t>
      </w:r>
    </w:p>
    <w:p>
      <w:pPr>
        <w:autoSpaceDN w:val="0"/>
        <w:autoSpaceDE w:val="0"/>
        <w:widowControl/>
        <w:spacing w:line="245" w:lineRule="auto" w:before="120" w:after="0"/>
        <w:ind w:left="1690" w:right="1296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In case of skin contact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In case of skin contact: Take off immediately all contaminated clothing. Rinse skin with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water/ shower. </w:t>
      </w:r>
    </w:p>
    <w:p>
      <w:pPr>
        <w:autoSpaceDN w:val="0"/>
        <w:autoSpaceDE w:val="0"/>
        <w:widowControl/>
        <w:spacing w:line="245" w:lineRule="auto" w:before="122" w:after="0"/>
        <w:ind w:left="1690" w:right="2736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In case of eye contact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After eye contact: rinse out with plenty of water. Remove contact lenses. </w:t>
      </w:r>
    </w:p>
    <w:p>
      <w:pPr>
        <w:autoSpaceDN w:val="0"/>
        <w:autoSpaceDE w:val="0"/>
        <w:widowControl/>
        <w:spacing w:line="245" w:lineRule="auto" w:before="122" w:after="0"/>
        <w:ind w:left="1690" w:right="1008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If swallowed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After swallowing: make victim drink water (two glasses at most). Consult doctor if feeling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unwell. </w:t>
      </w:r>
    </w:p>
    <w:p>
      <w:pPr>
        <w:autoSpaceDN w:val="0"/>
        <w:tabs>
          <w:tab w:pos="1690" w:val="left"/>
        </w:tabs>
        <w:autoSpaceDE w:val="0"/>
        <w:widowControl/>
        <w:spacing w:line="245" w:lineRule="auto" w:before="120" w:after="60"/>
        <w:ind w:left="1078" w:right="864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4.2 </w:t>
      </w:r>
      <w:r>
        <w:tab/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Most important symptoms and effects, both acute and delayed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The most important known symptoms and effects are described in the labelling (see section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2.2) and/or in section 11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256"/>
        <w:gridCol w:w="2256"/>
        <w:gridCol w:w="2256"/>
        <w:gridCol w:w="2256"/>
      </w:tblGrid>
      <w:tr>
        <w:trPr>
          <w:trHeight w:hRule="exact" w:val="892"/>
        </w:trPr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76" w:firstLine="0"/>
              <w:jc w:val="righ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4.3 </w:t>
            </w:r>
          </w:p>
        </w:tc>
        <w:tc>
          <w:tcPr>
            <w:tcW w:type="dxa" w:w="9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10" w:right="1008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Indication of any immediate medical attention and special treatment needed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No data available </w:t>
            </w:r>
          </w:p>
        </w:tc>
      </w:tr>
      <w:tr>
        <w:trPr>
          <w:trHeight w:hRule="exact" w:val="640"/>
        </w:trPr>
        <w:tc>
          <w:tcPr>
            <w:tcW w:type="dxa" w:w="2256"/>
            <w:vMerge/>
            <w:tcBorders/>
          </w:tcPr>
          <w:p/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76" w:after="0"/>
              <w:ind w:left="2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1.00025</w:t>
            </w:r>
          </w:p>
        </w:tc>
        <w:tc>
          <w:tcPr>
            <w:tcW w:type="dxa" w:w="5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4" w:after="0"/>
              <w:ind w:left="0" w:right="42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2  of  12</w:t>
            </w:r>
          </w:p>
        </w:tc>
      </w:tr>
      <w:tr>
        <w:trPr>
          <w:trHeight w:hRule="exact" w:val="1220"/>
        </w:trPr>
        <w:tc>
          <w:tcPr>
            <w:tcW w:type="dxa" w:w="2256"/>
            <w:vMerge/>
            <w:tcBorders/>
          </w:tcPr>
          <w:p/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648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 xml:space="preserve"> operates as </w:t>
            </w:r>
          </w:p>
        </w:tc>
        <w:tc>
          <w:tcPr>
            <w:tcW w:type="dxa" w:w="1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954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 xml:space="preserve"> in </w:t>
            </w:r>
          </w:p>
        </w:tc>
        <w:tc>
          <w:tcPr>
            <w:tcW w:type="dxa" w:w="35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42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5619750</wp:posOffset>
                  </wp:positionH>
                  <wp:positionV relativeFrom="page">
                    <wp:posOffset>8845550</wp:posOffset>
                  </wp:positionV>
                  <wp:extent cx="1388109" cy="66675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109" cy="6667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2256790</wp:posOffset>
            </wp:positionH>
            <wp:positionV relativeFrom="page">
              <wp:posOffset>9671050</wp:posOffset>
            </wp:positionV>
            <wp:extent cx="3048000" cy="77342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73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"/>
        <w:ind w:left="0" w:right="0"/>
      </w:pPr>
    </w:p>
    <w:p>
      <w:pPr>
        <w:autoSpaceDN w:val="0"/>
        <w:autoSpaceDE w:val="0"/>
        <w:widowControl/>
        <w:spacing w:line="274" w:lineRule="exact" w:before="46" w:after="0"/>
        <w:ind w:left="1078" w:right="0" w:firstLine="0"/>
        <w:jc w:val="left"/>
      </w:pPr>
      <w:r>
        <w:rPr>
          <w:rFonts w:ascii="Helvetica" w:hAnsi="Helvetica" w:eastAsia="Helvetica"/>
          <w:b/>
          <w:i w:val="0"/>
          <w:color w:val="FFFFFF"/>
          <w:sz w:val="20"/>
        </w:rPr>
        <w:t>SECTION 5: Firefighting measures</w:t>
      </w:r>
    </w:p>
    <w:p>
      <w:pPr>
        <w:autoSpaceDN w:val="0"/>
        <w:tabs>
          <w:tab w:pos="1690" w:val="left"/>
        </w:tabs>
        <w:autoSpaceDE w:val="0"/>
        <w:widowControl/>
        <w:spacing w:line="240" w:lineRule="auto" w:before="104" w:after="0"/>
        <w:ind w:left="1078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5.1 </w:t>
      </w:r>
      <w:r>
        <w:tab/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Extinguishing media </w:t>
      </w:r>
    </w:p>
    <w:p>
      <w:pPr>
        <w:autoSpaceDN w:val="0"/>
        <w:autoSpaceDE w:val="0"/>
        <w:widowControl/>
        <w:spacing w:line="245" w:lineRule="auto" w:before="120" w:after="0"/>
        <w:ind w:left="1690" w:right="5328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Suitable extinguishing media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Water Foam Carbon dioxide (CO2) Dry powder </w:t>
      </w:r>
    </w:p>
    <w:p>
      <w:pPr>
        <w:autoSpaceDN w:val="0"/>
        <w:autoSpaceDE w:val="0"/>
        <w:widowControl/>
        <w:spacing w:line="245" w:lineRule="auto" w:before="124" w:after="0"/>
        <w:ind w:left="1690" w:right="2448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Unsuitable extinguishing media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For this substance/mixture no limitations of extinguishing agents are given. </w:t>
      </w:r>
    </w:p>
    <w:p>
      <w:pPr>
        <w:autoSpaceDN w:val="0"/>
        <w:tabs>
          <w:tab w:pos="1690" w:val="left"/>
        </w:tabs>
        <w:autoSpaceDE w:val="0"/>
        <w:widowControl/>
        <w:spacing w:line="245" w:lineRule="auto" w:before="120" w:after="0"/>
        <w:ind w:left="1078" w:right="4032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5.2 </w:t>
      </w:r>
      <w:r>
        <w:tab/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Special hazards arising from the substance or mixture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Carbon oxides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Oxides of phosphorus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Hydrogen chloride gas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Potassium oxides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Sodium oxides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Lithium oxides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Mixture with combustible ingredients. </w:t>
      </w:r>
    </w:p>
    <w:p>
      <w:pPr>
        <w:autoSpaceDN w:val="0"/>
        <w:autoSpaceDE w:val="0"/>
        <w:widowControl/>
        <w:spacing w:line="245" w:lineRule="auto" w:before="0" w:after="0"/>
        <w:ind w:left="1690" w:right="144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Fire may cause evolution of: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Hydrogen chloride gas, Oxides of phosphorus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Development of hazardous combustion gases or vapours possible in the event of fire. </w:t>
      </w:r>
    </w:p>
    <w:p>
      <w:pPr>
        <w:autoSpaceDN w:val="0"/>
        <w:tabs>
          <w:tab w:pos="1690" w:val="left"/>
        </w:tabs>
        <w:autoSpaceDE w:val="0"/>
        <w:widowControl/>
        <w:spacing w:line="245" w:lineRule="auto" w:before="120" w:after="64"/>
        <w:ind w:left="1078" w:right="3888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5.3 </w:t>
      </w:r>
      <w:r>
        <w:tab/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Advice for firefighters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In the event of fire, wear self-contained breathing apparatus.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13"/>
        <w:gridCol w:w="4513"/>
      </w:tblGrid>
      <w:tr>
        <w:trPr>
          <w:trHeight w:hRule="exact" w:val="846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76" w:firstLine="0"/>
              <w:jc w:val="righ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5.4 </w:t>
            </w:r>
          </w:p>
        </w:tc>
        <w:tc>
          <w:tcPr>
            <w:tcW w:type="dxa" w:w="9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10" w:right="72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Further information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Suppress (knock down) gases/vapors/mists with a water spray jet. Prevent fire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extinguishing water from contaminating surface water or the ground water system. </w:t>
            </w:r>
          </w:p>
        </w:tc>
      </w:tr>
    </w:tbl>
    <w:p>
      <w:pPr>
        <w:autoSpaceDN w:val="0"/>
        <w:autoSpaceDE w:val="0"/>
        <w:widowControl/>
        <w:spacing w:line="274" w:lineRule="exact" w:before="538" w:after="0"/>
        <w:ind w:left="1078" w:right="0" w:firstLine="0"/>
        <w:jc w:val="left"/>
      </w:pPr>
      <w:r>
        <w:rPr>
          <w:rFonts w:ascii="Helvetica" w:hAnsi="Helvetica" w:eastAsia="Helvetica"/>
          <w:b/>
          <w:i w:val="0"/>
          <w:color w:val="FFFFFF"/>
          <w:sz w:val="20"/>
        </w:rPr>
        <w:t>SECTION 6: Accidental release measures</w:t>
      </w:r>
    </w:p>
    <w:p>
      <w:pPr>
        <w:autoSpaceDN w:val="0"/>
        <w:tabs>
          <w:tab w:pos="1690" w:val="left"/>
        </w:tabs>
        <w:autoSpaceDE w:val="0"/>
        <w:widowControl/>
        <w:spacing w:line="245" w:lineRule="auto" w:before="102" w:after="0"/>
        <w:ind w:left="1078" w:right="144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6.1 </w:t>
      </w:r>
      <w:r>
        <w:tab/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Personal precautions, protective equipment and emergency procedures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Advice for non-emergency personnel: Avoid inhalation of dusts. Evacuate the danger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area, observe emergency procedures, consult an expert. </w:t>
      </w:r>
    </w:p>
    <w:p>
      <w:pPr>
        <w:autoSpaceDN w:val="0"/>
        <w:autoSpaceDE w:val="0"/>
        <w:widowControl/>
        <w:spacing w:line="240" w:lineRule="auto" w:before="0" w:after="62"/>
        <w:ind w:left="1690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For personal protection see section 8.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13"/>
        <w:gridCol w:w="4513"/>
      </w:tblGrid>
      <w:tr>
        <w:trPr>
          <w:trHeight w:hRule="exact" w:val="908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76" w:firstLine="0"/>
              <w:jc w:val="righ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6.2 </w:t>
            </w:r>
          </w:p>
          <w:p>
            <w:pPr>
              <w:autoSpaceDN w:val="0"/>
              <w:autoSpaceDE w:val="0"/>
              <w:widowControl/>
              <w:spacing w:line="240" w:lineRule="auto" w:before="364" w:after="0"/>
              <w:ind w:left="0" w:right="76" w:firstLine="0"/>
              <w:jc w:val="righ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6.3 </w:t>
            </w:r>
          </w:p>
        </w:tc>
        <w:tc>
          <w:tcPr>
            <w:tcW w:type="dxa" w:w="8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10" w:right="4896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Environmental precautions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Do not let product enter drains. </w:t>
            </w:r>
          </w:p>
          <w:p>
            <w:pPr>
              <w:autoSpaceDN w:val="0"/>
              <w:autoSpaceDE w:val="0"/>
              <w:widowControl/>
              <w:spacing w:line="240" w:lineRule="auto" w:before="122" w:after="0"/>
              <w:ind w:left="11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Methods and materials for containment and cleaning up </w:t>
            </w: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1690" w:right="1152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Cover drains. Collect, bind, and pump off spills. Observe possible material restrictions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(see sections 7 and 10). Take up dry. Dispose of properly. Clean up affected area. Avoid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generation of dusts. </w:t>
      </w:r>
    </w:p>
    <w:p>
      <w:pPr>
        <w:autoSpaceDN w:val="0"/>
        <w:tabs>
          <w:tab w:pos="1690" w:val="left"/>
        </w:tabs>
        <w:autoSpaceDE w:val="0"/>
        <w:widowControl/>
        <w:spacing w:line="245" w:lineRule="auto" w:before="120" w:after="0"/>
        <w:ind w:left="1078" w:right="6912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6.4 </w:t>
      </w:r>
      <w:r>
        <w:tab/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Reference to other sections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For disposal see section 13. </w:t>
      </w:r>
    </w:p>
    <w:p>
      <w:pPr>
        <w:autoSpaceDN w:val="0"/>
        <w:autoSpaceDE w:val="0"/>
        <w:widowControl/>
        <w:spacing w:line="274" w:lineRule="exact" w:before="354" w:after="0"/>
        <w:ind w:left="1078" w:right="0" w:firstLine="0"/>
        <w:jc w:val="left"/>
      </w:pPr>
      <w:r>
        <w:rPr>
          <w:rFonts w:ascii="Helvetica" w:hAnsi="Helvetica" w:eastAsia="Helvetica"/>
          <w:b/>
          <w:i w:val="0"/>
          <w:color w:val="FFFFFF"/>
          <w:sz w:val="20"/>
        </w:rPr>
        <w:t>SECTION 7: Handling and storage</w:t>
      </w:r>
    </w:p>
    <w:p>
      <w:pPr>
        <w:autoSpaceDN w:val="0"/>
        <w:tabs>
          <w:tab w:pos="1690" w:val="left"/>
        </w:tabs>
        <w:autoSpaceDE w:val="0"/>
        <w:widowControl/>
        <w:spacing w:line="245" w:lineRule="auto" w:before="104" w:after="0"/>
        <w:ind w:left="1078" w:right="6768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7.1 </w:t>
      </w:r>
      <w:r>
        <w:tab/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Precautions for safe handling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For precautions see section 2.2. </w:t>
      </w:r>
    </w:p>
    <w:p>
      <w:pPr>
        <w:autoSpaceDN w:val="0"/>
        <w:tabs>
          <w:tab w:pos="1690" w:val="left"/>
        </w:tabs>
        <w:autoSpaceDE w:val="0"/>
        <w:widowControl/>
        <w:spacing w:line="240" w:lineRule="auto" w:before="120" w:after="0"/>
        <w:ind w:left="1078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7.2 </w:t>
      </w:r>
      <w:r>
        <w:tab/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Conditions for safe storage, including any incompatibilities </w:t>
      </w:r>
    </w:p>
    <w:p>
      <w:pPr>
        <w:autoSpaceDN w:val="0"/>
        <w:autoSpaceDE w:val="0"/>
        <w:widowControl/>
        <w:spacing w:line="245" w:lineRule="auto" w:before="122" w:after="96"/>
        <w:ind w:left="1584" w:right="8064" w:firstLine="0"/>
        <w:jc w:val="center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Storage conditions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Tightly closed. Dry.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2256"/>
        <w:gridCol w:w="2256"/>
        <w:gridCol w:w="2256"/>
        <w:gridCol w:w="2256"/>
      </w:tblGrid>
      <w:tr>
        <w:trPr>
          <w:trHeight w:hRule="exact" w:val="336"/>
        </w:trPr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1.00025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0" w:after="0"/>
              <w:ind w:left="0" w:right="648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 xml:space="preserve"> operates as 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0" w:after="0"/>
              <w:ind w:left="0" w:right="93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 xml:space="preserve"> in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2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3  of  12</w:t>
            </w:r>
          </w:p>
        </w:tc>
      </w:tr>
      <w:tr>
        <w:trPr>
          <w:trHeight w:hRule="exact" w:val="122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42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5619750</wp:posOffset>
                  </wp:positionH>
                  <wp:positionV relativeFrom="page">
                    <wp:posOffset>8845550</wp:posOffset>
                  </wp:positionV>
                  <wp:extent cx="1388109" cy="66675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109" cy="6667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2256790</wp:posOffset>
            </wp:positionH>
            <wp:positionV relativeFrom="page">
              <wp:posOffset>9671050</wp:posOffset>
            </wp:positionV>
            <wp:extent cx="3048000" cy="77342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73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41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1690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Recommended storage temperature see product label. </w:t>
      </w:r>
    </w:p>
    <w:p>
      <w:pPr>
        <w:autoSpaceDN w:val="0"/>
        <w:autoSpaceDE w:val="0"/>
        <w:widowControl/>
        <w:spacing w:line="245" w:lineRule="auto" w:before="122" w:after="0"/>
        <w:ind w:left="1690" w:right="504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Storage class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Storage class (TRGS 510): 11: Combustible Solids </w:t>
      </w:r>
    </w:p>
    <w:p>
      <w:pPr>
        <w:autoSpaceDN w:val="0"/>
        <w:tabs>
          <w:tab w:pos="1690" w:val="left"/>
        </w:tabs>
        <w:autoSpaceDE w:val="0"/>
        <w:widowControl/>
        <w:spacing w:line="245" w:lineRule="auto" w:before="122" w:after="0"/>
        <w:ind w:left="1078" w:right="1728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7.3 </w:t>
      </w:r>
      <w:r>
        <w:tab/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Specific end use(s)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Apart from the uses mentioned in section 1.2 no other specific uses are stipulated </w:t>
      </w:r>
    </w:p>
    <w:p>
      <w:pPr>
        <w:autoSpaceDN w:val="0"/>
        <w:autoSpaceDE w:val="0"/>
        <w:widowControl/>
        <w:spacing w:line="274" w:lineRule="exact" w:before="840" w:after="0"/>
        <w:ind w:left="1078" w:right="0" w:firstLine="0"/>
        <w:jc w:val="left"/>
      </w:pPr>
      <w:r>
        <w:rPr>
          <w:rFonts w:ascii="Helvetica" w:hAnsi="Helvetica" w:eastAsia="Helvetica"/>
          <w:b/>
          <w:i w:val="0"/>
          <w:color w:val="FFFFFF"/>
          <w:sz w:val="20"/>
        </w:rPr>
        <w:t>SECTION 8: Exposure controls/personal protection</w:t>
      </w:r>
    </w:p>
    <w:p>
      <w:pPr>
        <w:autoSpaceDN w:val="0"/>
        <w:tabs>
          <w:tab w:pos="1690" w:val="left"/>
        </w:tabs>
        <w:autoSpaceDE w:val="0"/>
        <w:widowControl/>
        <w:spacing w:line="240" w:lineRule="auto" w:before="100" w:after="0"/>
        <w:ind w:left="1078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8.1 </w:t>
      </w:r>
      <w:r>
        <w:tab/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Control parameters </w:t>
      </w:r>
    </w:p>
    <w:p>
      <w:pPr>
        <w:autoSpaceDN w:val="0"/>
        <w:autoSpaceDE w:val="0"/>
        <w:widowControl/>
        <w:spacing w:line="238" w:lineRule="auto" w:before="122" w:after="0"/>
        <w:ind w:left="169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Ingredients with workplace control parameters </w:t>
      </w:r>
    </w:p>
    <w:p>
      <w:pPr>
        <w:autoSpaceDN w:val="0"/>
        <w:tabs>
          <w:tab w:pos="1690" w:val="left"/>
        </w:tabs>
        <w:autoSpaceDE w:val="0"/>
        <w:widowControl/>
        <w:spacing w:line="240" w:lineRule="auto" w:before="124" w:after="0"/>
        <w:ind w:left="1078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8.2 </w:t>
      </w:r>
      <w:r>
        <w:tab/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Exposure controls </w:t>
      </w:r>
    </w:p>
    <w:p>
      <w:pPr>
        <w:autoSpaceDN w:val="0"/>
        <w:autoSpaceDE w:val="0"/>
        <w:widowControl/>
        <w:spacing w:line="240" w:lineRule="auto" w:before="120" w:after="0"/>
        <w:ind w:left="169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Personal protective equipment </w:t>
      </w:r>
    </w:p>
    <w:p>
      <w:pPr>
        <w:autoSpaceDN w:val="0"/>
        <w:autoSpaceDE w:val="0"/>
        <w:widowControl/>
        <w:spacing w:line="245" w:lineRule="auto" w:before="486" w:after="0"/>
        <w:ind w:left="2240" w:right="2016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Eye/face protection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Use equipment for eye protection tested and approved under appropriate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government standards such as NIOSH (US) or EN 166(EU). Safety glasses </w:t>
      </w:r>
    </w:p>
    <w:p>
      <w:pPr>
        <w:autoSpaceDN w:val="0"/>
        <w:autoSpaceDE w:val="0"/>
        <w:widowControl/>
        <w:spacing w:line="245" w:lineRule="auto" w:before="122" w:after="0"/>
        <w:ind w:left="2240" w:right="1152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Skin protection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This recommendation applies only to the product stated in the safety data sheet,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supplied by us and for the designated use. When dissolving in or mixing with other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substances and under conditions deviating from those stated in EN 16523-1 please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contact the supplier of CE-approved gloves (e.g. KCL GmbH, D-36124 Eichenzell,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Internet: www.kcl.de). </w:t>
      </w:r>
    </w:p>
    <w:p>
      <w:pPr>
        <w:autoSpaceDN w:val="0"/>
        <w:autoSpaceDE w:val="0"/>
        <w:widowControl/>
        <w:spacing w:line="245" w:lineRule="auto" w:before="0" w:after="0"/>
        <w:ind w:left="2240" w:right="576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Full contact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Material: Nitrile rubber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Minimum layer thickness: 0,11 mm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Break through time: 480 min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Material tested:KCL 741 Dermatril® L </w:t>
      </w:r>
    </w:p>
    <w:p>
      <w:pPr>
        <w:autoSpaceDN w:val="0"/>
        <w:autoSpaceDE w:val="0"/>
        <w:widowControl/>
        <w:spacing w:line="245" w:lineRule="auto" w:before="124" w:after="0"/>
        <w:ind w:left="2240" w:right="1152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This recommendation applies only to the product stated in the safety data sheet,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supplied by us and for the designated use. When dissolving in or mixing with other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substances and under conditions deviating from those stated in EN 16523-1 please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contact the supplier of CE-approved gloves (e.g. KCL GmbH, D-36124 Eichenzell,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Internet: www.kcl.de). </w:t>
      </w:r>
    </w:p>
    <w:p>
      <w:pPr>
        <w:autoSpaceDN w:val="0"/>
        <w:autoSpaceDE w:val="0"/>
        <w:widowControl/>
        <w:spacing w:line="245" w:lineRule="auto" w:before="2" w:after="0"/>
        <w:ind w:left="2240" w:right="576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Splash contact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Material: Nitrile rubber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Minimum layer thickness: 0,11 mm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Break through time: 480 min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Material tested:KCL 741 Dermatril® L </w:t>
      </w:r>
    </w:p>
    <w:p>
      <w:pPr>
        <w:autoSpaceDN w:val="0"/>
        <w:autoSpaceDE w:val="0"/>
        <w:widowControl/>
        <w:spacing w:line="245" w:lineRule="auto" w:before="244" w:after="0"/>
        <w:ind w:left="2240" w:right="1296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Respiratory protection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Recommended Filter type: Filter P 1 (acc. to DIN 3181) for solid particles of inert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substances </w:t>
      </w:r>
    </w:p>
    <w:p>
      <w:pPr>
        <w:autoSpaceDN w:val="0"/>
        <w:autoSpaceDE w:val="0"/>
        <w:widowControl/>
        <w:spacing w:line="245" w:lineRule="auto" w:before="120" w:after="94"/>
        <w:ind w:left="2240" w:right="1008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The entrepeneur has to ensure that maintenance, cleaning and testing of respiratory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protective devices are carried out according to the instructions of the producer.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These measures have to be properly documented.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2256"/>
        <w:gridCol w:w="2256"/>
        <w:gridCol w:w="2256"/>
        <w:gridCol w:w="2256"/>
      </w:tblGrid>
      <w:tr>
        <w:trPr>
          <w:trHeight w:hRule="exact" w:val="336"/>
        </w:trPr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1.00025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0" w:after="0"/>
              <w:ind w:left="0" w:right="648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 xml:space="preserve"> operates as 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0" w:after="0"/>
              <w:ind w:left="0" w:right="93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 xml:space="preserve"> in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2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4  of  12</w:t>
            </w:r>
          </w:p>
        </w:tc>
      </w:tr>
      <w:tr>
        <w:trPr>
          <w:trHeight w:hRule="exact" w:val="122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42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5619750</wp:posOffset>
                  </wp:positionH>
                  <wp:positionV relativeFrom="page">
                    <wp:posOffset>8845550</wp:posOffset>
                  </wp:positionV>
                  <wp:extent cx="1388109" cy="66675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109" cy="6667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2256790</wp:posOffset>
            </wp:positionH>
            <wp:positionV relativeFrom="page">
              <wp:posOffset>9671050</wp:posOffset>
            </wp:positionV>
            <wp:extent cx="3048000" cy="77342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73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50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4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2240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required when dusts are generated. </w:t>
      </w:r>
    </w:p>
    <w:p>
      <w:pPr>
        <w:autoSpaceDN w:val="0"/>
        <w:autoSpaceDE w:val="0"/>
        <w:widowControl/>
        <w:spacing w:line="245" w:lineRule="auto" w:before="2" w:after="0"/>
        <w:ind w:left="2240" w:right="1152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Our recommendations on filtering respiratory protection are based on the following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standards: DIN EN 143, DIN 14387 and other accompanying standards relating to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the used respiratory protection system. </w:t>
      </w:r>
    </w:p>
    <w:p>
      <w:pPr>
        <w:autoSpaceDN w:val="0"/>
        <w:autoSpaceDE w:val="0"/>
        <w:widowControl/>
        <w:spacing w:line="238" w:lineRule="auto" w:before="2" w:after="0"/>
        <w:ind w:left="2240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Recommended Filter type: Filter type P1 </w:t>
      </w:r>
    </w:p>
    <w:p>
      <w:pPr>
        <w:autoSpaceDN w:val="0"/>
        <w:autoSpaceDE w:val="0"/>
        <w:widowControl/>
        <w:spacing w:line="245" w:lineRule="auto" w:before="122" w:after="0"/>
        <w:ind w:left="2240" w:right="1008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The entrepeneur has to ensure that maintenance, cleaning and testing of respiratory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protective devices are carried out according to the instructions of the producer.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These measures have to be properly documented. </w:t>
      </w:r>
    </w:p>
    <w:p>
      <w:pPr>
        <w:autoSpaceDN w:val="0"/>
        <w:autoSpaceDE w:val="0"/>
        <w:widowControl/>
        <w:spacing w:line="245" w:lineRule="auto" w:before="122" w:after="850"/>
        <w:ind w:left="2240" w:right="5616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Control of environmental exposure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Do not let product enter drains.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8.0" w:type="dxa"/>
      </w:tblPr>
      <w:tblGrid>
        <w:gridCol w:w="2256"/>
        <w:gridCol w:w="2256"/>
        <w:gridCol w:w="2256"/>
        <w:gridCol w:w="2256"/>
      </w:tblGrid>
      <w:tr>
        <w:trPr>
          <w:trHeight w:hRule="exact" w:val="246"/>
        </w:trPr>
        <w:tc>
          <w:tcPr>
            <w:tcW w:type="dxa" w:w="9914"/>
            <w:gridSpan w:val="4"/>
            <w:tcBorders>
              <w:top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SECTION 9: Physical and chemical properties</w:t>
            </w:r>
          </w:p>
        </w:tc>
      </w:tr>
      <w:tr>
        <w:trPr>
          <w:trHeight w:hRule="exact" w:val="280"/>
        </w:trPr>
        <w:tc>
          <w:tcPr>
            <w:tcW w:type="dxa" w:w="4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9.1 </w:t>
            </w:r>
          </w:p>
        </w:tc>
        <w:tc>
          <w:tcPr>
            <w:tcW w:type="dxa" w:w="94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Information on basic physical and chemical properties </w:t>
            </w:r>
          </w:p>
        </w:tc>
      </w:tr>
      <w:tr>
        <w:trPr>
          <w:trHeight w:hRule="exact" w:val="340"/>
        </w:trPr>
        <w:tc>
          <w:tcPr>
            <w:tcW w:type="dxa" w:w="28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4" w:after="0"/>
              <w:ind w:left="60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a) Physical state </w:t>
            </w:r>
          </w:p>
        </w:tc>
        <w:tc>
          <w:tcPr>
            <w:tcW w:type="dxa" w:w="7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4" w:after="0"/>
              <w:ind w:left="44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solid</w:t>
            </w:r>
          </w:p>
        </w:tc>
      </w:tr>
      <w:tr>
        <w:trPr>
          <w:trHeight w:hRule="exact" w:val="360"/>
        </w:trPr>
        <w:tc>
          <w:tcPr>
            <w:tcW w:type="dxa" w:w="28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60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b) Color </w:t>
            </w:r>
          </w:p>
        </w:tc>
        <w:tc>
          <w:tcPr>
            <w:tcW w:type="dxa" w:w="7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44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beige</w:t>
            </w:r>
          </w:p>
        </w:tc>
      </w:tr>
      <w:tr>
        <w:trPr>
          <w:trHeight w:hRule="exact" w:val="360"/>
        </w:trPr>
        <w:tc>
          <w:tcPr>
            <w:tcW w:type="dxa" w:w="9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84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c)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8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Odor </w:t>
            </w:r>
          </w:p>
        </w:tc>
        <w:tc>
          <w:tcPr>
            <w:tcW w:type="dxa" w:w="7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44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peptone-like</w:t>
            </w:r>
          </w:p>
        </w:tc>
      </w:tr>
      <w:tr>
        <w:trPr>
          <w:trHeight w:hRule="exact" w:val="298"/>
        </w:trPr>
        <w:tc>
          <w:tcPr>
            <w:tcW w:type="dxa" w:w="28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60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d) Melting </w:t>
            </w:r>
          </w:p>
        </w:tc>
        <w:tc>
          <w:tcPr>
            <w:tcW w:type="dxa" w:w="7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44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No data available</w:t>
            </w:r>
          </w:p>
        </w:tc>
      </w:tr>
    </w:tbl>
    <w:p>
      <w:pPr>
        <w:autoSpaceDN w:val="0"/>
        <w:autoSpaceDE w:val="0"/>
        <w:widowControl/>
        <w:spacing w:line="240" w:lineRule="auto" w:before="0" w:after="54"/>
        <w:ind w:left="212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point/freezing point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3009"/>
        <w:gridCol w:w="3009"/>
        <w:gridCol w:w="3009"/>
      </w:tblGrid>
      <w:tr>
        <w:trPr>
          <w:trHeight w:hRule="exact" w:val="584"/>
        </w:trPr>
        <w:tc>
          <w:tcPr>
            <w:tcW w:type="dxa" w:w="3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4" w:val="left"/>
              </w:tabs>
              <w:autoSpaceDE w:val="0"/>
              <w:widowControl/>
              <w:spacing w:line="245" w:lineRule="auto" w:before="54" w:after="0"/>
              <w:ind w:left="852" w:right="144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e) Initial boiling point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and boiling range </w:t>
            </w:r>
          </w:p>
        </w:tc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3" w:lineRule="auto" w:before="54" w:after="0"/>
              <w:ind w:left="164" w:right="2852" w:hanging="18"/>
              <w:jc w:val="both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No data available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No data available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No data available</w:t>
            </w:r>
          </w:p>
        </w:tc>
      </w:tr>
      <w:tr>
        <w:trPr>
          <w:trHeight w:hRule="exact" w:val="308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9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f)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Flammability (solid, 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836"/>
        </w:trPr>
        <w:tc>
          <w:tcPr>
            <w:tcW w:type="dxa" w:w="3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4" w:val="left"/>
              </w:tabs>
              <w:autoSpaceDE w:val="0"/>
              <w:widowControl/>
              <w:spacing w:line="276" w:lineRule="auto" w:before="0" w:after="0"/>
              <w:ind w:left="852" w:right="432" w:firstLine="0"/>
              <w:jc w:val="left"/>
            </w:pP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gas)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g) Upper/lower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flammability or 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2" w:after="0"/>
        <w:ind w:left="212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>explosive limits</w:t>
      </w:r>
    </w:p>
    <w:p>
      <w:pPr>
        <w:autoSpaceDN w:val="0"/>
        <w:tabs>
          <w:tab w:pos="4444" w:val="left"/>
        </w:tabs>
        <w:autoSpaceDE w:val="0"/>
        <w:widowControl/>
        <w:spacing w:line="240" w:lineRule="auto" w:before="108" w:after="0"/>
        <w:ind w:left="1692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h) Flash point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p>
      <w:pPr>
        <w:autoSpaceDN w:val="0"/>
        <w:tabs>
          <w:tab w:pos="2124" w:val="left"/>
          <w:tab w:pos="4426" w:val="left"/>
        </w:tabs>
        <w:autoSpaceDE w:val="0"/>
        <w:widowControl/>
        <w:spacing w:line="245" w:lineRule="auto" w:before="108" w:after="56"/>
        <w:ind w:left="1692" w:right="5616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i)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Autoignition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No data available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temperature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8"/>
        </w:trPr>
        <w:tc>
          <w:tcPr>
            <w:tcW w:type="dxa" w:w="11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10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j) </w:t>
            </w:r>
          </w:p>
        </w:tc>
        <w:tc>
          <w:tcPr>
            <w:tcW w:type="dxa" w:w="2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10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Decomposition </w:t>
            </w:r>
          </w:p>
        </w:tc>
        <w:tc>
          <w:tcPr>
            <w:tcW w:type="dxa" w:w="4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10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No data available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98" w:after="0"/>
              <w:ind w:left="0" w:right="42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5  of  12</w:t>
            </w:r>
          </w:p>
          <w:p>
            <w:pPr>
              <w:autoSpaceDN w:val="0"/>
              <w:autoSpaceDE w:val="0"/>
              <w:widowControl/>
              <w:spacing w:line="240" w:lineRule="auto" w:before="190" w:after="0"/>
              <w:ind w:left="23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5619750</wp:posOffset>
                  </wp:positionH>
                  <wp:positionV relativeFrom="page">
                    <wp:posOffset>8845550</wp:posOffset>
                  </wp:positionV>
                  <wp:extent cx="1388109" cy="66675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109" cy="6667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96"/>
        </w:trPr>
        <w:tc>
          <w:tcPr>
            <w:tcW w:type="dxa" w:w="7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8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temperature 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3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852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k) pH </w:t>
            </w:r>
          </w:p>
        </w:tc>
        <w:tc>
          <w:tcPr>
            <w:tcW w:type="dxa" w:w="4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10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7,0 - 7,4 at 55 g/l at 25 °C 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432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0" w:right="0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l) </w:t>
            </w:r>
          </w:p>
        </w:tc>
        <w:tc>
          <w:tcPr>
            <w:tcW w:type="dxa" w:w="2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22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Viscosity </w:t>
            </w:r>
          </w:p>
        </w:tc>
        <w:tc>
          <w:tcPr>
            <w:tcW w:type="dxa" w:w="4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10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Viscosity, kinematic: No data available 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7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2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Viscosity, dynamic: No data available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3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852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m) Water solubility </w:t>
            </w:r>
          </w:p>
        </w:tc>
        <w:tc>
          <w:tcPr>
            <w:tcW w:type="dxa" w:w="4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12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55 g/l at 25 °C 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3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852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n) Partition coefficient: </w:t>
            </w:r>
          </w:p>
        </w:tc>
        <w:tc>
          <w:tcPr>
            <w:tcW w:type="dxa" w:w="4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10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No data available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7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8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n-octanol/water 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3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852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o) Vapor pressure </w:t>
            </w:r>
          </w:p>
        </w:tc>
        <w:tc>
          <w:tcPr>
            <w:tcW w:type="dxa" w:w="4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10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No data available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3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2" w:after="0"/>
              <w:ind w:left="852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p) Density </w:t>
            </w:r>
          </w:p>
        </w:tc>
        <w:tc>
          <w:tcPr>
            <w:tcW w:type="dxa" w:w="4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2" w:after="0"/>
              <w:ind w:left="12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No data available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3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59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Relative density</w:t>
            </w:r>
          </w:p>
        </w:tc>
        <w:tc>
          <w:tcPr>
            <w:tcW w:type="dxa" w:w="4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10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No data available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7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6" w:after="0"/>
              <w:ind w:left="9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1.00025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1220"/>
        </w:trPr>
        <w:tc>
          <w:tcPr>
            <w:tcW w:type="dxa" w:w="51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648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 xml:space="preserve"> operates as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167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 xml:space="preserve"> in </w:t>
            </w:r>
          </w:p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2256790</wp:posOffset>
            </wp:positionH>
            <wp:positionV relativeFrom="page">
              <wp:posOffset>9671050</wp:posOffset>
            </wp:positionV>
            <wp:extent cx="3048000" cy="77342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73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8"/>
        <w:ind w:left="0" w:right="0"/>
      </w:pPr>
    </w:p>
    <w:p>
      <w:pPr>
        <w:autoSpaceDN w:val="0"/>
        <w:tabs>
          <w:tab w:pos="2124" w:val="left"/>
          <w:tab w:pos="4426" w:val="left"/>
        </w:tabs>
        <w:autoSpaceDE w:val="0"/>
        <w:widowControl/>
        <w:spacing w:line="245" w:lineRule="auto" w:before="0" w:after="0"/>
        <w:ind w:left="1692" w:right="5616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q) Relative vapor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No data available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density </w:t>
      </w:r>
    </w:p>
    <w:p>
      <w:pPr>
        <w:autoSpaceDN w:val="0"/>
        <w:tabs>
          <w:tab w:pos="2066" w:val="left"/>
          <w:tab w:pos="4418" w:val="left"/>
        </w:tabs>
        <w:autoSpaceDE w:val="0"/>
        <w:widowControl/>
        <w:spacing w:line="245" w:lineRule="auto" w:before="110" w:after="0"/>
        <w:ind w:left="1692" w:right="5616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r) Particle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No data available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>characteristics</w:t>
      </w:r>
    </w:p>
    <w:p>
      <w:pPr>
        <w:autoSpaceDN w:val="0"/>
        <w:tabs>
          <w:tab w:pos="2124" w:val="left"/>
          <w:tab w:pos="4418" w:val="left"/>
        </w:tabs>
        <w:autoSpaceDE w:val="0"/>
        <w:widowControl/>
        <w:spacing w:line="240" w:lineRule="auto" w:before="556" w:after="0"/>
        <w:ind w:left="1692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s)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Explosive properties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>Not classified as explosive.</w:t>
      </w:r>
    </w:p>
    <w:p>
      <w:pPr>
        <w:autoSpaceDN w:val="0"/>
        <w:tabs>
          <w:tab w:pos="2124" w:val="left"/>
          <w:tab w:pos="4418" w:val="left"/>
        </w:tabs>
        <w:autoSpaceDE w:val="0"/>
        <w:widowControl/>
        <w:spacing w:line="240" w:lineRule="auto" w:before="108" w:after="0"/>
        <w:ind w:left="1692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t)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Oxidizing properties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>none</w:t>
      </w:r>
    </w:p>
    <w:p>
      <w:pPr>
        <w:autoSpaceDN w:val="0"/>
        <w:tabs>
          <w:tab w:pos="1690" w:val="left"/>
        </w:tabs>
        <w:autoSpaceDE w:val="0"/>
        <w:widowControl/>
        <w:spacing w:line="245" w:lineRule="auto" w:before="120" w:after="0"/>
        <w:ind w:left="1078" w:right="7344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9.2 </w:t>
      </w:r>
      <w:r>
        <w:tab/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Other safety information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No data available </w:t>
      </w:r>
    </w:p>
    <w:p>
      <w:pPr>
        <w:autoSpaceDN w:val="0"/>
        <w:autoSpaceDE w:val="0"/>
        <w:widowControl/>
        <w:spacing w:line="274" w:lineRule="exact" w:before="354" w:after="0"/>
        <w:ind w:left="1078" w:right="0" w:firstLine="0"/>
        <w:jc w:val="left"/>
      </w:pPr>
      <w:r>
        <w:rPr>
          <w:rFonts w:ascii="Helvetica" w:hAnsi="Helvetica" w:eastAsia="Helvetica"/>
          <w:b/>
          <w:i w:val="0"/>
          <w:color w:val="FFFFFF"/>
          <w:sz w:val="20"/>
        </w:rPr>
        <w:t>SECTION 10: Stability and reactivity</w:t>
      </w:r>
    </w:p>
    <w:p>
      <w:pPr>
        <w:autoSpaceDN w:val="0"/>
        <w:autoSpaceDE w:val="0"/>
        <w:widowControl/>
        <w:spacing w:line="245" w:lineRule="auto" w:before="102" w:after="0"/>
        <w:ind w:left="1690" w:right="864" w:hanging="612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10.1 Reactivity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The following applies in general to flammable organic substances and mixtures: in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correspondingly fine distribution, when whirled up a dust explosion potential may generally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be assumed. </w:t>
      </w:r>
    </w:p>
    <w:p>
      <w:pPr>
        <w:autoSpaceDN w:val="0"/>
        <w:tabs>
          <w:tab w:pos="1690" w:val="left"/>
        </w:tabs>
        <w:autoSpaceDE w:val="0"/>
        <w:widowControl/>
        <w:spacing w:line="245" w:lineRule="auto" w:before="122" w:after="0"/>
        <w:ind w:left="1078" w:right="1008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>10.2</w:t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Chemical stability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The product is chemically stable under standard ambient conditions (room temperature) . </w:t>
      </w:r>
    </w:p>
    <w:p>
      <w:pPr>
        <w:autoSpaceDN w:val="0"/>
        <w:autoSpaceDE w:val="0"/>
        <w:widowControl/>
        <w:spacing w:line="245" w:lineRule="auto" w:before="120" w:after="0"/>
        <w:ind w:left="1690" w:right="6336" w:hanging="612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10.3 Possibility of hazardous reactions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Risk of explosion with: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Exothermic reaction with: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Alkali metals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halogen-halogen compounds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Violent reactions possible with: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Strong acids </w:t>
      </w:r>
    </w:p>
    <w:p>
      <w:pPr>
        <w:autoSpaceDN w:val="0"/>
        <w:tabs>
          <w:tab w:pos="1690" w:val="left"/>
        </w:tabs>
        <w:autoSpaceDE w:val="0"/>
        <w:widowControl/>
        <w:spacing w:line="245" w:lineRule="auto" w:before="362" w:after="0"/>
        <w:ind w:left="1078" w:right="7632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10.4 Conditions to avoid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no information available </w:t>
      </w:r>
    </w:p>
    <w:p>
      <w:pPr>
        <w:autoSpaceDN w:val="0"/>
        <w:tabs>
          <w:tab w:pos="1690" w:val="left"/>
        </w:tabs>
        <w:autoSpaceDE w:val="0"/>
        <w:widowControl/>
        <w:spacing w:line="245" w:lineRule="auto" w:before="124" w:after="0"/>
        <w:ind w:left="1078" w:right="7488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10.5 Incompatible materials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No data available </w:t>
      </w:r>
    </w:p>
    <w:p>
      <w:pPr>
        <w:autoSpaceDN w:val="0"/>
        <w:autoSpaceDE w:val="0"/>
        <w:widowControl/>
        <w:spacing w:line="245" w:lineRule="auto" w:before="122" w:after="0"/>
        <w:ind w:left="1008" w:right="6048" w:firstLine="0"/>
        <w:jc w:val="center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10.6 Hazardous decomposition products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In the event of fire: see section 5 </w:t>
      </w:r>
    </w:p>
    <w:p>
      <w:pPr>
        <w:autoSpaceDN w:val="0"/>
        <w:autoSpaceDE w:val="0"/>
        <w:widowControl/>
        <w:spacing w:line="274" w:lineRule="exact" w:before="594" w:after="0"/>
        <w:ind w:left="1078" w:right="0" w:firstLine="0"/>
        <w:jc w:val="left"/>
      </w:pPr>
      <w:r>
        <w:rPr>
          <w:rFonts w:ascii="Helvetica" w:hAnsi="Helvetica" w:eastAsia="Helvetica"/>
          <w:b/>
          <w:i w:val="0"/>
          <w:color w:val="FFFFFF"/>
          <w:sz w:val="20"/>
        </w:rPr>
        <w:t>SECTION 11: Toxicological information</w:t>
      </w:r>
    </w:p>
    <w:p>
      <w:pPr>
        <w:autoSpaceDN w:val="0"/>
        <w:autoSpaceDE w:val="0"/>
        <w:widowControl/>
        <w:spacing w:line="240" w:lineRule="auto" w:before="102" w:after="0"/>
        <w:ind w:left="1078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>11.1</w:t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Information on toxicological effects </w:t>
      </w:r>
    </w:p>
    <w:p>
      <w:pPr>
        <w:autoSpaceDN w:val="0"/>
        <w:autoSpaceDE w:val="0"/>
        <w:widowControl/>
        <w:spacing w:line="240" w:lineRule="auto" w:before="122" w:after="0"/>
        <w:ind w:left="169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Mixture </w:t>
      </w:r>
    </w:p>
    <w:p>
      <w:pPr>
        <w:autoSpaceDN w:val="0"/>
        <w:autoSpaceDE w:val="0"/>
        <w:widowControl/>
        <w:spacing w:line="245" w:lineRule="auto" w:before="122" w:after="0"/>
        <w:ind w:left="1690" w:right="5472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Acute toxicity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>Acute toxicity estimate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Oral - &gt; 2.000 mg/kg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(Calculation method)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>Inhalation</w:t>
      </w:r>
      <w:r>
        <w:rPr>
          <w:rFonts w:ascii="Verdana" w:hAnsi="Verdana" w:eastAsia="Verdana"/>
          <w:b w:val="0"/>
          <w:i w:val="0"/>
          <w:color w:val="0D0D0D"/>
          <w:sz w:val="20"/>
        </w:rPr>
        <w:t>: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No data available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>Dermal</w:t>
      </w:r>
      <w:r>
        <w:rPr>
          <w:rFonts w:ascii="Verdana" w:hAnsi="Verdana" w:eastAsia="Verdana"/>
          <w:b w:val="0"/>
          <w:i w:val="0"/>
          <w:color w:val="0D0D0D"/>
          <w:sz w:val="20"/>
        </w:rPr>
        <w:t>:</w:t>
      </w: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p>
      <w:pPr>
        <w:autoSpaceDN w:val="0"/>
        <w:autoSpaceDE w:val="0"/>
        <w:widowControl/>
        <w:spacing w:line="245" w:lineRule="auto" w:before="122" w:after="68"/>
        <w:ind w:left="1698" w:right="7344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Skin corrosion/irritation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2256"/>
        <w:gridCol w:w="2256"/>
        <w:gridCol w:w="2256"/>
        <w:gridCol w:w="2256"/>
      </w:tblGrid>
      <w:tr>
        <w:trPr>
          <w:trHeight w:hRule="exact" w:val="336"/>
        </w:trPr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1.00025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0" w:after="0"/>
              <w:ind w:left="0" w:right="648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 xml:space="preserve"> operates as 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0" w:after="0"/>
              <w:ind w:left="0" w:right="93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 xml:space="preserve"> in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2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6  of  12</w:t>
            </w:r>
          </w:p>
        </w:tc>
      </w:tr>
      <w:tr>
        <w:trPr>
          <w:trHeight w:hRule="exact" w:val="122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42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5619750</wp:posOffset>
                  </wp:positionH>
                  <wp:positionV relativeFrom="page">
                    <wp:posOffset>8845550</wp:posOffset>
                  </wp:positionV>
                  <wp:extent cx="1388109" cy="666750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109" cy="6667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2256790</wp:posOffset>
            </wp:positionH>
            <wp:positionV relativeFrom="page">
              <wp:posOffset>9671050</wp:posOffset>
            </wp:positionV>
            <wp:extent cx="3048000" cy="77342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73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438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1698" w:right="6192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Serious eye damage/eye irritation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p>
      <w:pPr>
        <w:autoSpaceDN w:val="0"/>
        <w:autoSpaceDE w:val="0"/>
        <w:widowControl/>
        <w:spacing w:line="245" w:lineRule="auto" w:before="122" w:after="0"/>
        <w:ind w:left="1698" w:right="648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Respiratory or skin sensitization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p>
      <w:pPr>
        <w:autoSpaceDN w:val="0"/>
        <w:autoSpaceDE w:val="0"/>
        <w:widowControl/>
        <w:spacing w:line="245" w:lineRule="auto" w:before="122" w:after="0"/>
        <w:ind w:left="1698" w:right="7488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Germ cell mutagenicity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p>
      <w:pPr>
        <w:autoSpaceDN w:val="0"/>
        <w:autoSpaceDE w:val="0"/>
        <w:widowControl/>
        <w:spacing w:line="245" w:lineRule="auto" w:before="120" w:after="0"/>
        <w:ind w:left="1584" w:right="8352" w:firstLine="0"/>
        <w:jc w:val="center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Carcinogenicity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p>
      <w:pPr>
        <w:autoSpaceDN w:val="0"/>
        <w:autoSpaceDE w:val="0"/>
        <w:widowControl/>
        <w:spacing w:line="245" w:lineRule="auto" w:before="122" w:after="0"/>
        <w:ind w:left="1698" w:right="7632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Reproductive toxicity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p>
      <w:pPr>
        <w:autoSpaceDN w:val="0"/>
        <w:autoSpaceDE w:val="0"/>
        <w:widowControl/>
        <w:spacing w:line="245" w:lineRule="auto" w:before="122" w:after="0"/>
        <w:ind w:left="1698" w:right="4752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Specific target organ toxicity - single exposure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p>
      <w:pPr>
        <w:autoSpaceDN w:val="0"/>
        <w:autoSpaceDE w:val="0"/>
        <w:widowControl/>
        <w:spacing w:line="245" w:lineRule="auto" w:before="122" w:after="0"/>
        <w:ind w:left="1698" w:right="4464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Specific target organ toxicity - repeated exposure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p>
      <w:pPr>
        <w:autoSpaceDN w:val="0"/>
        <w:autoSpaceDE w:val="0"/>
        <w:widowControl/>
        <w:spacing w:line="245" w:lineRule="auto" w:before="122" w:after="0"/>
        <w:ind w:left="1698" w:right="8064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Aspiration hazard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p>
      <w:pPr>
        <w:autoSpaceDN w:val="0"/>
        <w:autoSpaceDE w:val="0"/>
        <w:widowControl/>
        <w:spacing w:line="240" w:lineRule="auto" w:before="122" w:after="0"/>
        <w:ind w:left="1078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>11.2</w:t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Additional Information </w:t>
      </w:r>
    </w:p>
    <w:p>
      <w:pPr>
        <w:autoSpaceDN w:val="0"/>
        <w:autoSpaceDE w:val="0"/>
        <w:widowControl/>
        <w:spacing w:line="240" w:lineRule="auto" w:before="122" w:after="0"/>
        <w:ind w:left="171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Endocrine disrupting properties </w:t>
      </w:r>
    </w:p>
    <w:p>
      <w:pPr>
        <w:autoSpaceDN w:val="0"/>
        <w:autoSpaceDE w:val="0"/>
        <w:widowControl/>
        <w:spacing w:line="238" w:lineRule="auto" w:before="122" w:after="32"/>
        <w:ind w:left="171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  <w:u w:val="single"/>
        </w:rPr>
        <w:t>Product:</w:t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4513"/>
        <w:gridCol w:w="4513"/>
      </w:tblGrid>
      <w:tr>
        <w:trPr>
          <w:trHeight w:hRule="exact" w:val="516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1198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Assessment </w:t>
            </w:r>
          </w:p>
        </w:tc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216" w:right="1008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The substance/mixture does not contain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components considered to have endocrine 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5456" w:right="144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disrupting properties according to REACH Article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57(f) or Commission Delegated regulation (EU)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2017/2100 or Commission Regulation (EU)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2018/605 at levels of 0.1% or higher. </w:t>
      </w:r>
    </w:p>
    <w:p>
      <w:pPr>
        <w:autoSpaceDN w:val="0"/>
        <w:autoSpaceDE w:val="0"/>
        <w:widowControl/>
        <w:spacing w:line="240" w:lineRule="auto" w:before="2" w:after="0"/>
        <w:ind w:left="1698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p>
      <w:pPr>
        <w:autoSpaceDN w:val="0"/>
        <w:autoSpaceDE w:val="0"/>
        <w:widowControl/>
        <w:spacing w:line="238" w:lineRule="auto" w:before="122" w:after="0"/>
        <w:ind w:left="1698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Components </w:t>
      </w:r>
    </w:p>
    <w:p>
      <w:pPr>
        <w:autoSpaceDN w:val="0"/>
        <w:autoSpaceDE w:val="0"/>
        <w:widowControl/>
        <w:spacing w:line="240" w:lineRule="auto" w:before="122" w:after="0"/>
        <w:ind w:left="169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>Lithium chloride</w:t>
      </w:r>
    </w:p>
    <w:p>
      <w:pPr>
        <w:autoSpaceDN w:val="0"/>
        <w:autoSpaceDE w:val="0"/>
        <w:widowControl/>
        <w:spacing w:line="245" w:lineRule="auto" w:before="122" w:after="0"/>
        <w:ind w:left="2240" w:right="2304" w:firstLine="4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Acute toxicity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>LD50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Oral - Rat - male - 526 mg/kg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Remarks: (ECHA)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LC50 Inhalation - Rat - male and female - 4 h - &gt; 5,57 mg/l - dust/mist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(OECD Test Guideline 403)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LD50 Dermal - Rat - male and female - &gt; 2.000 mg/kg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(OECD Test Guideline 402) </w:t>
      </w:r>
    </w:p>
    <w:p>
      <w:pPr>
        <w:autoSpaceDN w:val="0"/>
        <w:autoSpaceDE w:val="0"/>
        <w:widowControl/>
        <w:spacing w:line="245" w:lineRule="auto" w:before="122" w:after="0"/>
        <w:ind w:left="2240" w:right="5904" w:firstLine="4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Skin corrosion/irritation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Skin - Rabbit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Result: Severe skin irritation - 24 h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>Remarks: (RTECS)</w:t>
      </w:r>
    </w:p>
    <w:p>
      <w:pPr>
        <w:autoSpaceDN w:val="0"/>
        <w:autoSpaceDE w:val="0"/>
        <w:widowControl/>
        <w:spacing w:line="245" w:lineRule="auto" w:before="122" w:after="650"/>
        <w:ind w:left="2240" w:right="5616" w:firstLine="4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Serious eye damage/eye irritation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Eyes - Rabbit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Result: Eye irritation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2256"/>
        <w:gridCol w:w="2256"/>
        <w:gridCol w:w="2256"/>
        <w:gridCol w:w="2256"/>
      </w:tblGrid>
      <w:tr>
        <w:trPr>
          <w:trHeight w:hRule="exact" w:val="336"/>
        </w:trPr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1.00025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0" w:after="0"/>
              <w:ind w:left="0" w:right="648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 xml:space="preserve"> operates as 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0" w:after="0"/>
              <w:ind w:left="0" w:right="93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 xml:space="preserve"> in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2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7  of  12</w:t>
            </w:r>
          </w:p>
        </w:tc>
      </w:tr>
      <w:tr>
        <w:trPr>
          <w:trHeight w:hRule="exact" w:val="122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42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5619750</wp:posOffset>
                  </wp:positionH>
                  <wp:positionV relativeFrom="page">
                    <wp:posOffset>8845550</wp:posOffset>
                  </wp:positionV>
                  <wp:extent cx="1388109" cy="66675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109" cy="6667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2256790</wp:posOffset>
            </wp:positionH>
            <wp:positionV relativeFrom="page">
              <wp:posOffset>9671050</wp:posOffset>
            </wp:positionV>
            <wp:extent cx="3048000" cy="773429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73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4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2240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(OECD Test Guideline 405) </w:t>
      </w:r>
    </w:p>
    <w:p>
      <w:pPr>
        <w:autoSpaceDN w:val="0"/>
        <w:autoSpaceDE w:val="0"/>
        <w:widowControl/>
        <w:spacing w:line="245" w:lineRule="auto" w:before="122" w:after="0"/>
        <w:ind w:left="2240" w:right="5904" w:firstLine="4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Respiratory or skin sensitization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Buehler Test - Guinea pig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Result: Not a skin sensitizer.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(OECD Test Guideline 406) </w:t>
      </w:r>
    </w:p>
    <w:p>
      <w:pPr>
        <w:autoSpaceDN w:val="0"/>
        <w:autoSpaceDE w:val="0"/>
        <w:widowControl/>
        <w:spacing w:line="245" w:lineRule="auto" w:before="122" w:after="0"/>
        <w:ind w:left="2240" w:right="1584" w:firstLine="4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Germ cell mutagenicity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Test Type: Ames test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Test system: Escherichia coli/Salmonella typhimurium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Result: negative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Remarks: (in analogy to similar products)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The value is given in analogy to the following substances: Lithium hydroxide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Test Type: In vitro mammalian cell gene mutation test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Test system: mouse lymphoma cells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Result: negative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Remarks: (in analogy to similar products)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The value is given in analogy to the following substances: Lithium hydroxide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monohydrateThe value is given in analogy to the following substances: Lithium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hydroxide </w:t>
      </w:r>
    </w:p>
    <w:p>
      <w:pPr>
        <w:autoSpaceDN w:val="0"/>
        <w:autoSpaceDE w:val="0"/>
        <w:widowControl/>
        <w:spacing w:line="245" w:lineRule="auto" w:before="364" w:after="0"/>
        <w:ind w:left="2160" w:right="7776" w:firstLine="0"/>
        <w:jc w:val="center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Carcinogenicity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p>
      <w:pPr>
        <w:autoSpaceDN w:val="0"/>
        <w:autoSpaceDE w:val="0"/>
        <w:widowControl/>
        <w:spacing w:line="245" w:lineRule="auto" w:before="122" w:after="0"/>
        <w:ind w:left="2240" w:right="720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Reproductive toxicity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No data available </w:t>
      </w:r>
    </w:p>
    <w:p>
      <w:pPr>
        <w:autoSpaceDN w:val="0"/>
        <w:autoSpaceDE w:val="0"/>
        <w:widowControl/>
        <w:spacing w:line="245" w:lineRule="auto" w:before="122" w:after="0"/>
        <w:ind w:left="2244" w:right="4320" w:hanging="4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Specific target organ toxicity - single exposure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p>
      <w:pPr>
        <w:autoSpaceDN w:val="0"/>
        <w:autoSpaceDE w:val="0"/>
        <w:widowControl/>
        <w:spacing w:line="245" w:lineRule="auto" w:before="122" w:after="0"/>
        <w:ind w:left="2244" w:right="3888" w:hanging="4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Specific target organ toxicity - repeated exposure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p>
      <w:pPr>
        <w:autoSpaceDN w:val="0"/>
        <w:autoSpaceDE w:val="0"/>
        <w:widowControl/>
        <w:spacing w:line="245" w:lineRule="auto" w:before="122" w:after="0"/>
        <w:ind w:left="2244" w:right="7488" w:hanging="4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Aspiration hazard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p>
      <w:pPr>
        <w:autoSpaceDN w:val="0"/>
        <w:autoSpaceDE w:val="0"/>
        <w:widowControl/>
        <w:spacing w:line="274" w:lineRule="exact" w:before="596" w:after="0"/>
        <w:ind w:left="1078" w:right="0" w:firstLine="0"/>
        <w:jc w:val="left"/>
      </w:pPr>
      <w:r>
        <w:rPr>
          <w:rFonts w:ascii="Helvetica" w:hAnsi="Helvetica" w:eastAsia="Helvetica"/>
          <w:b/>
          <w:i w:val="0"/>
          <w:color w:val="FFFFFF"/>
          <w:sz w:val="20"/>
        </w:rPr>
        <w:t>SECTION 12: Ecological information</w:t>
      </w:r>
    </w:p>
    <w:p>
      <w:pPr>
        <w:autoSpaceDN w:val="0"/>
        <w:autoSpaceDE w:val="0"/>
        <w:widowControl/>
        <w:spacing w:line="240" w:lineRule="auto" w:before="100" w:after="0"/>
        <w:ind w:left="1078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>12.1</w:t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Toxicity </w:t>
      </w:r>
    </w:p>
    <w:p>
      <w:pPr>
        <w:autoSpaceDN w:val="0"/>
        <w:autoSpaceDE w:val="0"/>
        <w:widowControl/>
        <w:spacing w:line="245" w:lineRule="auto" w:before="124" w:after="0"/>
        <w:ind w:left="1698" w:right="8352" w:hanging="8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Mixture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p>
      <w:pPr>
        <w:autoSpaceDN w:val="0"/>
        <w:tabs>
          <w:tab w:pos="1698" w:val="left"/>
        </w:tabs>
        <w:autoSpaceDE w:val="0"/>
        <w:widowControl/>
        <w:spacing w:line="245" w:lineRule="auto" w:before="120" w:after="0"/>
        <w:ind w:left="1078" w:right="6768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>12.2</w:t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Persistence and degradability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p>
      <w:pPr>
        <w:autoSpaceDN w:val="0"/>
        <w:tabs>
          <w:tab w:pos="1698" w:val="left"/>
        </w:tabs>
        <w:autoSpaceDE w:val="0"/>
        <w:widowControl/>
        <w:spacing w:line="245" w:lineRule="auto" w:before="124" w:after="0"/>
        <w:ind w:left="1078" w:right="720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>12.3</w:t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Bioaccumulative potential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p>
      <w:pPr>
        <w:autoSpaceDN w:val="0"/>
        <w:tabs>
          <w:tab w:pos="1698" w:val="left"/>
        </w:tabs>
        <w:autoSpaceDE w:val="0"/>
        <w:widowControl/>
        <w:spacing w:line="245" w:lineRule="auto" w:before="120" w:after="0"/>
        <w:ind w:left="1078" w:right="8352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12.4 Mobility in soil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>No data available</w:t>
      </w:r>
    </w:p>
    <w:p>
      <w:pPr>
        <w:autoSpaceDN w:val="0"/>
        <w:autoSpaceDE w:val="0"/>
        <w:widowControl/>
        <w:spacing w:line="245" w:lineRule="auto" w:before="122" w:after="96"/>
        <w:ind w:left="1692" w:right="1296" w:hanging="614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>12.5</w:t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Results of PBT and vPvB assessment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This substance/mixture contains no components considered to be either persistent,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bioaccumulative and toxic (PBT), or very persistent and very bioaccumulative (vPvB) at </w:t>
      </w:r>
      <w:r>
        <w:rPr>
          <w:rFonts w:ascii="Verdana" w:hAnsi="Verdana" w:eastAsia="Verdana"/>
          <w:b w:val="0"/>
          <w:i w:val="0"/>
          <w:color w:val="000000"/>
          <w:sz w:val="20"/>
        </w:rPr>
        <w:t>levels of 0.1% or higher.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2256"/>
        <w:gridCol w:w="2256"/>
        <w:gridCol w:w="2256"/>
        <w:gridCol w:w="2256"/>
      </w:tblGrid>
      <w:tr>
        <w:trPr>
          <w:trHeight w:hRule="exact" w:val="336"/>
        </w:trPr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1.00025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0" w:after="0"/>
              <w:ind w:left="0" w:right="648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 xml:space="preserve"> operates as 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0" w:after="0"/>
              <w:ind w:left="0" w:right="93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 xml:space="preserve"> in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2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8  of  12</w:t>
            </w:r>
          </w:p>
        </w:tc>
      </w:tr>
      <w:tr>
        <w:trPr>
          <w:trHeight w:hRule="exact" w:val="122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42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5619750</wp:posOffset>
                  </wp:positionH>
                  <wp:positionV relativeFrom="page">
                    <wp:posOffset>8845550</wp:posOffset>
                  </wp:positionV>
                  <wp:extent cx="1388109" cy="66675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109" cy="6667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2256790</wp:posOffset>
            </wp:positionH>
            <wp:positionV relativeFrom="page">
              <wp:posOffset>9671050</wp:posOffset>
            </wp:positionV>
            <wp:extent cx="3048000" cy="773429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73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4"/>
        <w:ind w:left="0" w:right="0"/>
      </w:pPr>
    </w:p>
    <w:p>
      <w:pPr>
        <w:autoSpaceDN w:val="0"/>
        <w:tabs>
          <w:tab w:pos="1706" w:val="left"/>
          <w:tab w:pos="1710" w:val="left"/>
          <w:tab w:pos="4562" w:val="left"/>
          <w:tab w:pos="4844" w:val="left"/>
        </w:tabs>
        <w:autoSpaceDE w:val="0"/>
        <w:widowControl/>
        <w:spacing w:line="245" w:lineRule="auto" w:before="0" w:after="0"/>
        <w:ind w:left="1078" w:right="144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>12.6</w:t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Endocrine disrupting properties </w:t>
      </w:r>
      <w:r>
        <w:br/>
      </w:r>
      <w:r>
        <w:tab/>
      </w:r>
      <w:r>
        <w:tab/>
      </w:r>
      <w:r>
        <w:rPr>
          <w:rFonts w:ascii="Verdana" w:hAnsi="Verdana" w:eastAsia="Verdana"/>
          <w:b/>
          <w:i w:val="0"/>
          <w:color w:val="000000"/>
          <w:sz w:val="20"/>
          <w:u w:val="single"/>
        </w:rPr>
        <w:t xml:space="preserve">Product: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Assessment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: The substance/mixture does not contain components </w:t>
      </w:r>
      <w:r>
        <w:tab/>
      </w:r>
      <w:r>
        <w:tab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considered to have endocrine disrupting properties </w:t>
      </w:r>
      <w:r>
        <w:tab/>
      </w:r>
      <w:r>
        <w:tab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according to REACH Article 57(f) or Commission </w:t>
      </w:r>
      <w:r>
        <w:tab/>
      </w:r>
      <w:r>
        <w:tab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Delegated regulation (EU) 2017/2100 or Commission </w:t>
      </w:r>
      <w:r>
        <w:tab/>
      </w:r>
      <w:r>
        <w:tab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Regulation (EU) 2018/605 at levels of 0.1% or higher. </w:t>
      </w:r>
    </w:p>
    <w:p>
      <w:pPr>
        <w:autoSpaceDN w:val="0"/>
        <w:tabs>
          <w:tab w:pos="1690" w:val="left"/>
        </w:tabs>
        <w:autoSpaceDE w:val="0"/>
        <w:widowControl/>
        <w:spacing w:line="245" w:lineRule="auto" w:before="366" w:after="0"/>
        <w:ind w:left="1078" w:right="504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12.7 Other adverse effects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Discharge into the environment must be avoided. </w:t>
      </w:r>
    </w:p>
    <w:p>
      <w:pPr>
        <w:autoSpaceDN w:val="0"/>
        <w:autoSpaceDE w:val="0"/>
        <w:widowControl/>
        <w:spacing w:line="240" w:lineRule="auto" w:before="122" w:after="0"/>
        <w:ind w:left="169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Components </w:t>
      </w:r>
    </w:p>
    <w:p>
      <w:pPr>
        <w:autoSpaceDN w:val="0"/>
        <w:autoSpaceDE w:val="0"/>
        <w:widowControl/>
        <w:spacing w:line="238" w:lineRule="auto" w:before="122" w:after="2"/>
        <w:ind w:left="169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>Lithium chloride</w:t>
      </w:r>
    </w:p>
    <w:p>
      <w:pPr>
        <w:sectPr>
          <w:pgSz w:w="11906" w:h="16838"/>
          <w:pgMar w:top="3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auto" w:before="0" w:after="0"/>
        <w:ind w:left="0" w:right="626" w:firstLine="0"/>
        <w:jc w:val="righ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Toxicity to fish </w:t>
      </w:r>
    </w:p>
    <w:p>
      <w:pPr>
        <w:autoSpaceDN w:val="0"/>
        <w:autoSpaceDE w:val="0"/>
        <w:widowControl/>
        <w:spacing w:line="238" w:lineRule="auto" w:before="612" w:after="0"/>
        <w:ind w:left="0" w:right="184" w:firstLine="0"/>
        <w:jc w:val="righ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Toxicity to daphnia </w:t>
      </w:r>
    </w:p>
    <w:p>
      <w:pPr>
        <w:autoSpaceDN w:val="0"/>
        <w:autoSpaceDE w:val="0"/>
        <w:widowControl/>
        <w:spacing w:line="240" w:lineRule="auto" w:before="2" w:after="0"/>
        <w:ind w:left="0" w:right="324" w:firstLine="0"/>
        <w:jc w:val="righ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and other aquatic </w:t>
      </w:r>
    </w:p>
    <w:p>
      <w:pPr>
        <w:autoSpaceDN w:val="0"/>
        <w:autoSpaceDE w:val="0"/>
        <w:widowControl/>
        <w:spacing w:line="240" w:lineRule="auto" w:before="0" w:after="0"/>
        <w:ind w:left="0" w:right="764" w:firstLine="0"/>
        <w:jc w:val="righ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invertebrates </w:t>
      </w:r>
    </w:p>
    <w:p>
      <w:pPr>
        <w:autoSpaceDN w:val="0"/>
        <w:autoSpaceDE w:val="0"/>
        <w:widowControl/>
        <w:spacing w:line="240" w:lineRule="auto" w:before="366" w:after="0"/>
        <w:ind w:left="0" w:right="444" w:firstLine="0"/>
        <w:jc w:val="righ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Toxicity to algae </w:t>
      </w:r>
    </w:p>
    <w:p>
      <w:pPr>
        <w:autoSpaceDN w:val="0"/>
        <w:autoSpaceDE w:val="0"/>
        <w:widowControl/>
        <w:spacing w:line="240" w:lineRule="auto" w:before="610" w:after="0"/>
        <w:ind w:left="0" w:right="174" w:firstLine="0"/>
        <w:jc w:val="righ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Toxicity to bacteria </w:t>
      </w:r>
    </w:p>
    <w:p>
      <w:pPr>
        <w:sectPr>
          <w:type w:val="continuous"/>
          <w:pgSz w:w="11906" w:h="16838"/>
          <w:pgMar w:top="384" w:right="0" w:bottom="0" w:left="0" w:header="720" w:footer="720" w:gutter="0"/>
          <w:cols w:num="2" w:equalWidth="0">
            <w:col w:w="4424" w:space="0"/>
            <w:col w:w="7481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74" w:right="1008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static test LC50 - Oncorhynchus mykiss (rainbow trout) - 158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mg/l  - 96 h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(OECD Test Guideline 203) </w:t>
      </w:r>
    </w:p>
    <w:p>
      <w:pPr>
        <w:autoSpaceDN w:val="0"/>
        <w:autoSpaceDE w:val="0"/>
        <w:widowControl/>
        <w:spacing w:line="245" w:lineRule="auto" w:before="124" w:after="0"/>
        <w:ind w:left="174" w:right="72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static test EC50 - Daphnia magna (Water flea) - 249 mg/l  - 48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h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(OECD Test Guideline 202) </w:t>
      </w:r>
    </w:p>
    <w:p>
      <w:pPr>
        <w:autoSpaceDN w:val="0"/>
        <w:autoSpaceDE w:val="0"/>
        <w:widowControl/>
        <w:spacing w:line="245" w:lineRule="auto" w:before="366" w:after="0"/>
        <w:ind w:left="174" w:right="72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static test ErC50 - Desmodesmus subspicatus (green algae) - &gt;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400 mg/l  - 72 h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(OECD Test Guideline 201) </w:t>
      </w:r>
    </w:p>
    <w:p>
      <w:pPr>
        <w:autoSpaceDN w:val="0"/>
        <w:autoSpaceDE w:val="0"/>
        <w:widowControl/>
        <w:spacing w:line="245" w:lineRule="auto" w:before="124" w:after="366"/>
        <w:ind w:left="174" w:right="1296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static test EC50 - activated sludge - 320,05 mg/l  - 3 h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(OECD Test Guideline 209)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Remarks: (in analogy to similar products)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The value is given in analogy to the following substances: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Lithium hydroxide </w:t>
      </w:r>
    </w:p>
    <w:p>
      <w:pPr>
        <w:sectPr>
          <w:type w:val="nextColumn"/>
          <w:pgSz w:w="11906" w:h="16838"/>
          <w:pgMar w:top="384" w:right="0" w:bottom="0" w:left="0" w:header="720" w:footer="720" w:gutter="0"/>
          <w:cols w:num="2" w:equalWidth="0">
            <w:col w:w="4424" w:space="0"/>
            <w:col w:w="7481" w:space="0"/>
          </w:cols>
          <w:docGrid w:linePitch="360"/>
        </w:sectPr>
      </w:pPr>
    </w:p>
    <w:p>
      <w:pPr>
        <w:autoSpaceDN w:val="0"/>
        <w:tabs>
          <w:tab w:pos="4598" w:val="left"/>
        </w:tabs>
        <w:autoSpaceDE w:val="0"/>
        <w:widowControl/>
        <w:spacing w:line="245" w:lineRule="auto" w:before="0" w:after="124"/>
        <w:ind w:left="2256" w:right="86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Toxicity to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semi-static test NOEC - Danio rerio (zebra fish) - 18 mg/l  - 34 </w:t>
      </w:r>
      <w:r>
        <w:rPr>
          <w:rFonts w:ascii="Verdana" w:hAnsi="Verdana" w:eastAsia="Verdana"/>
          <w:b w:val="0"/>
          <w:i w:val="0"/>
          <w:color w:val="000000"/>
          <w:sz w:val="20"/>
        </w:rPr>
        <w:t>fish</w:t>
      </w:r>
      <w:r>
        <w:rPr>
          <w:rFonts w:ascii="Verdana" w:hAnsi="Verdana" w:eastAsia="Verdana"/>
          <w:b w:val="0"/>
          <w:i w:val="0"/>
          <w:color w:val="0D0D0D"/>
          <w:sz w:val="20"/>
        </w:rPr>
        <w:t>(</w:t>
      </w:r>
      <w:r>
        <w:rPr>
          <w:rFonts w:ascii="Verdana" w:hAnsi="Verdana" w:eastAsia="Verdana"/>
          <w:b w:val="0"/>
          <w:i w:val="0"/>
          <w:color w:val="000000"/>
          <w:sz w:val="20"/>
        </w:rPr>
        <w:t>Chronic toxicity</w:t>
      </w:r>
      <w:r>
        <w:rPr>
          <w:rFonts w:ascii="Verdana" w:hAnsi="Verdana" w:eastAsia="Verdana"/>
          <w:b w:val="0"/>
          <w:i w:val="0"/>
          <w:color w:val="0D0D0D"/>
          <w:sz w:val="20"/>
        </w:rPr>
        <w:t xml:space="preserve">)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d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(OECD Test Guideline 210) </w:t>
      </w:r>
    </w:p>
    <w:p>
      <w:pPr>
        <w:sectPr>
          <w:type w:val="continuous"/>
          <w:pgSz w:w="11906" w:h="16838"/>
          <w:pgMar w:top="3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256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Toxicity to daphnia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and other aquatic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>invertebrates</w:t>
      </w:r>
      <w:r>
        <w:rPr>
          <w:rFonts w:ascii="Verdana" w:hAnsi="Verdana" w:eastAsia="Verdana"/>
          <w:b w:val="0"/>
          <w:i w:val="0"/>
          <w:color w:val="0D0D0D"/>
          <w:sz w:val="20"/>
        </w:rPr>
        <w:t>(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Chronic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>toxicity</w:t>
      </w:r>
      <w:r>
        <w:rPr>
          <w:rFonts w:ascii="Verdana" w:hAnsi="Verdana" w:eastAsia="Verdana"/>
          <w:b w:val="0"/>
          <w:i w:val="0"/>
          <w:color w:val="0D0D0D"/>
          <w:sz w:val="20"/>
        </w:rPr>
        <w:t>)</w:t>
      </w:r>
    </w:p>
    <w:p>
      <w:pPr>
        <w:sectPr>
          <w:type w:val="continuous"/>
          <w:pgSz w:w="11906" w:h="16838"/>
          <w:pgMar w:top="384" w:right="0" w:bottom="0" w:left="0" w:header="720" w:footer="720" w:gutter="0"/>
          <w:cols w:num="2" w:equalWidth="0">
            <w:col w:w="4554" w:space="0"/>
            <w:col w:w="7351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1944"/>
        <w:ind w:left="44" w:right="1008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semi-static test EC50 - Daphnia magna (Water flea) - &gt; 10,4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mg/l  - 21 d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(OECD Test Guideline 211) </w:t>
      </w:r>
    </w:p>
    <w:p>
      <w:pPr>
        <w:sectPr>
          <w:type w:val="nextColumn"/>
          <w:pgSz w:w="11906" w:h="16838"/>
          <w:pgMar w:top="384" w:right="0" w:bottom="0" w:left="0" w:header="720" w:footer="720" w:gutter="0"/>
          <w:cols w:num="2" w:equalWidth="0">
            <w:col w:w="4554" w:space="0"/>
            <w:col w:w="7351" w:space="0"/>
          </w:cols>
          <w:docGrid w:linePitch="360"/>
        </w:sectPr>
      </w:pPr>
    </w:p>
    <w:p>
      <w:pPr>
        <w:autoSpaceDN w:val="0"/>
        <w:tabs>
          <w:tab w:pos="1690" w:val="left"/>
        </w:tabs>
        <w:autoSpaceDE w:val="0"/>
        <w:widowControl/>
        <w:spacing w:line="292" w:lineRule="exact" w:before="30" w:after="634"/>
        <w:ind w:left="1078" w:right="7200" w:firstLine="0"/>
        <w:jc w:val="left"/>
      </w:pPr>
      <w:r>
        <w:rPr>
          <w:rFonts w:ascii="Helvetica" w:hAnsi="Helvetica" w:eastAsia="Helvetica"/>
          <w:b/>
          <w:i w:val="0"/>
          <w:color w:val="FFFFFF"/>
          <w:sz w:val="20"/>
        </w:rPr>
        <w:t xml:space="preserve">SECTION 13: Disposal considerations </w:t>
      </w:r>
      <w:r>
        <w:br/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13.1 Waste treatment methods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No data available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2256"/>
        <w:gridCol w:w="2256"/>
        <w:gridCol w:w="2256"/>
        <w:gridCol w:w="2256"/>
      </w:tblGrid>
      <w:tr>
        <w:trPr>
          <w:trHeight w:hRule="exact" w:val="336"/>
        </w:trPr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1.00025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0" w:after="0"/>
              <w:ind w:left="0" w:right="648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 xml:space="preserve"> operates as 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0" w:after="0"/>
              <w:ind w:left="0" w:right="93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 xml:space="preserve"> in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2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9  of  12</w:t>
            </w:r>
          </w:p>
        </w:tc>
      </w:tr>
      <w:tr>
        <w:trPr>
          <w:trHeight w:hRule="exact" w:val="122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42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5619750</wp:posOffset>
                  </wp:positionH>
                  <wp:positionV relativeFrom="page">
                    <wp:posOffset>8845550</wp:posOffset>
                  </wp:positionV>
                  <wp:extent cx="1388109" cy="66675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109" cy="6667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2256790</wp:posOffset>
            </wp:positionH>
            <wp:positionV relativeFrom="page">
              <wp:posOffset>9671050</wp:posOffset>
            </wp:positionV>
            <wp:extent cx="3048000" cy="773429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73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type w:val="continuous"/>
          <w:pgSz w:w="11906" w:h="16838"/>
          <w:pgMar w:top="3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"/>
        <w:ind w:left="0" w:right="0"/>
      </w:pPr>
    </w:p>
    <w:p>
      <w:pPr>
        <w:autoSpaceDN w:val="0"/>
        <w:autoSpaceDE w:val="0"/>
        <w:widowControl/>
        <w:spacing w:line="274" w:lineRule="exact" w:before="46" w:after="52"/>
        <w:ind w:left="1078" w:right="0" w:firstLine="0"/>
        <w:jc w:val="left"/>
      </w:pPr>
      <w:r>
        <w:rPr>
          <w:rFonts w:ascii="Helvetica" w:hAnsi="Helvetica" w:eastAsia="Helvetica"/>
          <w:b/>
          <w:i w:val="0"/>
          <w:color w:val="FFFFFF"/>
          <w:sz w:val="20"/>
        </w:rPr>
        <w:t>SECTION 14: Transport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3009"/>
        <w:gridCol w:w="3009"/>
        <w:gridCol w:w="3009"/>
      </w:tblGrid>
      <w:tr>
        <w:trPr>
          <w:trHeight w:hRule="exact" w:val="294"/>
        </w:trPr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558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14.1 UN number </w:t>
            </w:r>
          </w:p>
        </w:tc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4" w:after="0"/>
              <w:ind w:left="0" w:right="109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IMDG:  - 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4" w:after="0"/>
              <w:ind w:left="0" w:right="151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IATA:  - </w:t>
            </w:r>
          </w:p>
        </w:tc>
      </w:tr>
      <w:tr>
        <w:trPr>
          <w:trHeight w:hRule="exact" w:val="302"/>
        </w:trPr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ADR/RID:  - 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tabs>
          <w:tab w:pos="1686" w:val="left"/>
          <w:tab w:pos="2810" w:val="left"/>
        </w:tabs>
        <w:autoSpaceDE w:val="0"/>
        <w:widowControl/>
        <w:spacing w:line="245" w:lineRule="auto" w:before="62" w:after="0"/>
        <w:ind w:left="1078" w:right="6768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14.2 UN proper shipping name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ADR/RID: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Not dangerous goods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IMDG: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Not dangerous goods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IATA: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>Not dangerous goods</w:t>
      </w:r>
    </w:p>
    <w:p>
      <w:pPr>
        <w:autoSpaceDN w:val="0"/>
        <w:autoSpaceDE w:val="0"/>
        <w:widowControl/>
        <w:spacing w:line="238" w:lineRule="auto" w:before="122" w:after="2"/>
        <w:ind w:left="1078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14.3 Transport hazard class(es)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3009"/>
        <w:gridCol w:w="3009"/>
        <w:gridCol w:w="3009"/>
      </w:tblGrid>
      <w:tr>
        <w:trPr>
          <w:trHeight w:hRule="exact" w:val="288"/>
        </w:trPr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124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ADR/RID:  -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61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IMDG:  -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151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IATA:  - </w:t>
            </w:r>
          </w:p>
        </w:tc>
      </w:tr>
      <w:tr>
        <w:trPr>
          <w:trHeight w:hRule="exact" w:val="318"/>
        </w:trPr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14.4 Packaging group 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8" w:after="0"/>
              <w:ind w:left="61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IMDG:  - 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8" w:after="0"/>
              <w:ind w:left="0" w:right="151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IATA:  - </w:t>
            </w:r>
          </w:p>
        </w:tc>
      </w:tr>
      <w:tr>
        <w:trPr>
          <w:trHeight w:hRule="exact" w:val="302"/>
        </w:trPr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4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ADR/RID:  - 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auto" w:before="62" w:after="2"/>
        <w:ind w:left="1078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14.5 Environmental hazards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3009"/>
        <w:gridCol w:w="3009"/>
        <w:gridCol w:w="3009"/>
      </w:tblGrid>
      <w:tr>
        <w:trPr>
          <w:trHeight w:hRule="exact" w:val="304"/>
        </w:trPr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ADR/RID:  no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892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IMDG Marine pollutant: no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2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IATA: no</w:t>
            </w:r>
          </w:p>
        </w:tc>
      </w:tr>
    </w:tbl>
    <w:p>
      <w:pPr>
        <w:autoSpaceDN w:val="0"/>
        <w:autoSpaceDE w:val="0"/>
        <w:widowControl/>
        <w:spacing w:line="245" w:lineRule="auto" w:before="60" w:after="0"/>
        <w:ind w:left="1690" w:right="3168" w:hanging="612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14.6 Special precautions for user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No data available </w:t>
      </w:r>
      <w:r>
        <w:br/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Further information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Not classified as dangerous in the meaning of transport regulations. </w:t>
      </w:r>
    </w:p>
    <w:p>
      <w:pPr>
        <w:autoSpaceDN w:val="0"/>
        <w:autoSpaceDE w:val="0"/>
        <w:widowControl/>
        <w:spacing w:line="274" w:lineRule="exact" w:before="596" w:after="0"/>
        <w:ind w:left="1078" w:right="0" w:firstLine="0"/>
        <w:jc w:val="left"/>
      </w:pPr>
      <w:r>
        <w:rPr>
          <w:rFonts w:ascii="Helvetica" w:hAnsi="Helvetica" w:eastAsia="Helvetica"/>
          <w:b/>
          <w:i w:val="0"/>
          <w:color w:val="FFFFFF"/>
          <w:sz w:val="20"/>
        </w:rPr>
        <w:t>SECTION 15: Regulatory information</w:t>
      </w:r>
    </w:p>
    <w:p>
      <w:pPr>
        <w:autoSpaceDN w:val="0"/>
        <w:tabs>
          <w:tab w:pos="1690" w:val="left"/>
        </w:tabs>
        <w:autoSpaceDE w:val="0"/>
        <w:widowControl/>
        <w:spacing w:line="245" w:lineRule="auto" w:before="102" w:after="0"/>
        <w:ind w:left="1078" w:right="144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>15.1</w:t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Safety, health and environmental regulations/legislation specific for the </w:t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substance or mixture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This material safety data sheet complies with the requirements of Regulation (EC) No.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1907/2006. </w:t>
      </w:r>
    </w:p>
    <w:p>
      <w:pPr>
        <w:autoSpaceDN w:val="0"/>
        <w:tabs>
          <w:tab w:pos="1690" w:val="left"/>
        </w:tabs>
        <w:autoSpaceDE w:val="0"/>
        <w:widowControl/>
        <w:spacing w:line="245" w:lineRule="auto" w:before="368" w:after="0"/>
        <w:ind w:left="1078" w:right="3456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>15.2</w:t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Chemical Safety Assessment </w:t>
      </w:r>
      <w:r>
        <w:br/>
      </w:r>
      <w:r>
        <w:tab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For this product a chemical safety assessment was not carried out </w:t>
      </w:r>
    </w:p>
    <w:p>
      <w:pPr>
        <w:autoSpaceDN w:val="0"/>
        <w:autoSpaceDE w:val="0"/>
        <w:widowControl/>
        <w:spacing w:line="274" w:lineRule="exact" w:before="352" w:after="0"/>
        <w:ind w:left="1078" w:right="0" w:firstLine="0"/>
        <w:jc w:val="left"/>
      </w:pPr>
      <w:r>
        <w:rPr>
          <w:rFonts w:ascii="Helvetica" w:hAnsi="Helvetica" w:eastAsia="Helvetica"/>
          <w:b/>
          <w:i w:val="0"/>
          <w:color w:val="FFFFFF"/>
          <w:sz w:val="20"/>
        </w:rPr>
        <w:t>SECTION 16: Other information</w:t>
      </w:r>
    </w:p>
    <w:p>
      <w:pPr>
        <w:autoSpaceDN w:val="0"/>
        <w:autoSpaceDE w:val="0"/>
        <w:widowControl/>
        <w:spacing w:line="240" w:lineRule="auto" w:before="102" w:after="62"/>
        <w:ind w:left="169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Full text of H-Statements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3009"/>
        <w:gridCol w:w="3009"/>
        <w:gridCol w:w="3009"/>
      </w:tblGrid>
      <w:tr>
        <w:trPr>
          <w:trHeight w:hRule="exact" w:val="294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624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H302 </w:t>
            </w:r>
          </w:p>
        </w:tc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60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Harmful if swallowed. 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78" w:after="0"/>
              <w:ind w:left="0" w:right="42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10  of  12</w:t>
            </w:r>
          </w:p>
        </w:tc>
      </w:tr>
      <w:tr>
        <w:trPr>
          <w:trHeight w:hRule="exact" w:val="240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624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H315 </w:t>
            </w:r>
          </w:p>
        </w:tc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60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Causes skin irritation. 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1840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624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H319 </w:t>
            </w:r>
          </w:p>
        </w:tc>
        <w:tc>
          <w:tcPr>
            <w:tcW w:type="dxa" w:w="5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60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Causes serious eye irritation. 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1860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16" w:after="0"/>
              <w:ind w:left="0" w:right="57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1.00025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60.0" w:type="dxa"/>
      </w:tblPr>
      <w:tblGrid>
        <w:gridCol w:w="3009"/>
        <w:gridCol w:w="3009"/>
        <w:gridCol w:w="3009"/>
      </w:tblGrid>
      <w:tr>
        <w:trPr>
          <w:trHeight w:hRule="exact" w:val="1170"/>
        </w:trPr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648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 xml:space="preserve"> operates as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93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 xml:space="preserve"> in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2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5619750</wp:posOffset>
                  </wp:positionH>
                  <wp:positionV relativeFrom="page">
                    <wp:posOffset>8845550</wp:posOffset>
                  </wp:positionV>
                  <wp:extent cx="1388109" cy="66675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109" cy="6667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2256790</wp:posOffset>
            </wp:positionH>
            <wp:positionV relativeFrom="page">
              <wp:posOffset>9671050</wp:posOffset>
            </wp:positionV>
            <wp:extent cx="3048000" cy="773429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73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41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4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169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Full text of other abbreviations </w:t>
      </w:r>
    </w:p>
    <w:p>
      <w:pPr>
        <w:autoSpaceDN w:val="0"/>
        <w:autoSpaceDE w:val="0"/>
        <w:widowControl/>
        <w:spacing w:line="245" w:lineRule="auto" w:before="122" w:after="0"/>
        <w:ind w:left="1690" w:right="1152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ADN - European Agreement concerning the International Carriage of Dangerous Goods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by Inland Waterways; ADR - Agreement concerning the International Carriage of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Dangerous Goods by Road; AIIC - Australian Inventory of Industrial Chemicals; ASTM -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American Society for the Testing of Materials; bw - Body weight; CMR - Carcinogen,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Mutagen or Reproductive Toxicant; DIN - Standard of the German Institute for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Standardisation; DSL - Domestic Substances List (Canada); ECx - Concentration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associated with x% response; ELx - Loading rate associated with x% response; EmS -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Emergency Schedule; ENCS - Existing and New Chemical Substances (Japan); ErCx -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Concentration associated with x% growth rate response; GHS - Globally Harmonized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System; GLP - Good Laboratory Practice; IARC - International Agency for Research on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Cancer; IATA - International Air Transport Association; IBC - International Code for the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Construction and Equipment of Ships carrying Dangerous Chemicals in Bulk; IC50 - Half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maximal inhibitory concentration; ICAO - International Civil Aviation Organization;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IECSC - Inventory of Existing Chemical Substances in China; IMDG - International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Maritime Dangerous Goods; IMO - International Maritime Organization; ISHL - Industrial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Safety and Health Law (Japan); ISO - International Organisation for Standardization;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KECI - Korea Existing Chemicals Inventory; LC50 - Lethal Concentration to 50 % of a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test population; LD50 - Lethal Dose to 50% of a test population (Median Lethal Dose);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MARPOL - International Convention for the Prevention of Pollution from Ships; n.o.s. -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Not Otherwise Specified; NO(A)EC - No Observed (Adverse) Effect Concentration;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NO(A)EL - No Observed (Adverse) Effect Level; NOELR - No Observable Effect Loading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Rate; NZIoC - New Zealand Inventory of Chemicals; OECD - Organization for Economic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Co-operation and Development; OPPTS - Office of Chemical Safety and Pollution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Prevention; PBT - Persistent, Bioaccumulative and Toxic substance; PICCS - Philippines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Inventory of Chemicals and Chemical Substances; (Q)SAR - (Quantitative) Structure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Activity Relationship; REACH - Regulation (EC) No 1907/2006 of the European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Parliament and of the Council concerning the Registration, Evaluation, Authorisation and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Restriction of Chemicals; RID - Regulations concerning the International Carriage of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Dangerous Goods by Rail; SADT - Self-Accelerating Decomposition Temperature; SDS -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Safety Data Sheet; TCSI - Taiwan Chemical Substance Inventory; TECI - Thailand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Existing Chemicals Inventory; TSCA - Toxic Substances Control Act (United States); UN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- United Nations; UNRTDG - United Nations Recommendations on the Transport of </w:t>
      </w:r>
      <w:r>
        <w:rPr>
          <w:rFonts w:ascii="Verdana" w:hAnsi="Verdana" w:eastAsia="Verdana"/>
          <w:b w:val="0"/>
          <w:i w:val="0"/>
          <w:color w:val="000000"/>
          <w:sz w:val="20"/>
        </w:rPr>
        <w:t>Dangerous Goods; vPvB - Very Persistent and Very Bioaccumulative</w:t>
      </w:r>
    </w:p>
    <w:p>
      <w:pPr>
        <w:autoSpaceDN w:val="0"/>
        <w:autoSpaceDE w:val="0"/>
        <w:widowControl/>
        <w:spacing w:line="245" w:lineRule="auto" w:before="366" w:after="0"/>
        <w:ind w:left="1690" w:right="1152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Further information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The information is believed to be correct but is not exhaustive and will be used solely as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 guideline, which is based on current knowledge of the chemical substance or mixture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and is applicable to appropriate safety precautions for the product. It does not represent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any guarantee of the properties of the product. Sigma-Aldrich Corporation and its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Affiliates shall not be held liable for any damage resulting from handling or from contact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with the above product. See www.sigma-aldrich.com and/or the reverse side of invoice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or packing slip for additional terms and conditions of sale. </w:t>
      </w:r>
    </w:p>
    <w:p>
      <w:pPr>
        <w:autoSpaceDN w:val="0"/>
        <w:autoSpaceDE w:val="0"/>
        <w:widowControl/>
        <w:spacing w:line="245" w:lineRule="auto" w:before="2" w:after="0"/>
        <w:ind w:left="1690" w:right="1296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Copyright 2020 Sigma-Aldrich Co. LLC. License granted to make unlimited paper copies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for internal use only. </w:t>
      </w:r>
    </w:p>
    <w:p>
      <w:pPr>
        <w:autoSpaceDN w:val="0"/>
        <w:autoSpaceDE w:val="0"/>
        <w:widowControl/>
        <w:spacing w:line="245" w:lineRule="auto" w:before="2" w:after="568"/>
        <w:ind w:left="1078" w:right="1008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The branding on the header and/or footer of this document may temporarily not visually match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the product purchased as we transition our branding. However, all of the information in the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document regarding the product remains unchanged and matches the product ordered. For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further information please contact mlsbranding@sial.com.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2256"/>
        <w:gridCol w:w="2256"/>
        <w:gridCol w:w="2256"/>
        <w:gridCol w:w="2256"/>
      </w:tblGrid>
      <w:tr>
        <w:trPr>
          <w:trHeight w:hRule="exact" w:val="336"/>
        </w:trPr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1.00025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0" w:after="0"/>
              <w:ind w:left="0" w:right="648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 xml:space="preserve"> operates as 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0" w:after="0"/>
              <w:ind w:left="0" w:right="93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 xml:space="preserve"> in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2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11  of  12</w:t>
            </w:r>
          </w:p>
        </w:tc>
      </w:tr>
      <w:tr>
        <w:trPr>
          <w:trHeight w:hRule="exact" w:val="122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42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5619750</wp:posOffset>
                  </wp:positionH>
                  <wp:positionV relativeFrom="page">
                    <wp:posOffset>8845550</wp:posOffset>
                  </wp:positionV>
                  <wp:extent cx="1388109" cy="66675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109" cy="6667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2256790</wp:posOffset>
            </wp:positionH>
            <wp:positionV relativeFrom="page">
              <wp:posOffset>9671050</wp:posOffset>
            </wp:positionV>
            <wp:extent cx="3048000" cy="773429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73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720"/>
        <w:ind w:left="0" w:right="0"/>
      </w:pPr>
    </w:p>
    <w:p>
      <w:pPr>
        <w:autoSpaceDN w:val="0"/>
        <w:autoSpaceDE w:val="0"/>
        <w:widowControl/>
        <w:spacing w:line="1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2256"/>
        <w:gridCol w:w="2256"/>
        <w:gridCol w:w="2256"/>
        <w:gridCol w:w="2256"/>
      </w:tblGrid>
      <w:tr>
        <w:trPr>
          <w:trHeight w:hRule="exact" w:val="336"/>
        </w:trPr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1.00025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0" w:after="0"/>
              <w:ind w:left="0" w:right="648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 xml:space="preserve"> operates as 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0" w:after="0"/>
              <w:ind w:left="0" w:right="93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 xml:space="preserve"> in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2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 12  of  12</w:t>
            </w:r>
          </w:p>
        </w:tc>
      </w:tr>
      <w:tr>
        <w:trPr>
          <w:trHeight w:hRule="exact" w:val="122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42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5619750</wp:posOffset>
                  </wp:positionH>
                  <wp:positionV relativeFrom="page">
                    <wp:posOffset>8845550</wp:posOffset>
                  </wp:positionV>
                  <wp:extent cx="1388109" cy="66675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109" cy="6667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2256790</wp:posOffset>
            </wp:positionH>
            <wp:positionV relativeFrom="page">
              <wp:posOffset>9671050</wp:posOffset>
            </wp:positionV>
            <wp:extent cx="3048000" cy="773429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7342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4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