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684530</wp:posOffset>
            </wp:positionH>
            <wp:positionV relativeFrom="page">
              <wp:posOffset>640080</wp:posOffset>
            </wp:positionV>
            <wp:extent cx="6286500" cy="48387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48387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after="242"/>
        <w:sectPr>
          <w:pgSz w:w="11906" w:h="16838"/>
          <w:pgMar w:top="504" w:right="844" w:bottom="930" w:left="107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0" w:right="288" w:firstLine="0"/>
        <w:jc w:val="center"/>
      </w:pPr>
      <w:r>
        <w:rPr>
          <w:rFonts w:ascii="Verdana" w:hAnsi="Verdana" w:eastAsia="Verdana"/>
          <w:b/>
          <w:i w:val="0"/>
          <w:color w:val="A6A6A6"/>
          <w:sz w:val="32"/>
        </w:rPr>
        <w:t xml:space="preserve">SAFETY DATA SHEET </w:t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according to Regulation (EC) No. 1907/2006 </w:t>
      </w:r>
    </w:p>
    <w:p>
      <w:pPr>
        <w:sectPr>
          <w:type w:val="continuous"/>
          <w:pgSz w:w="11906" w:h="16838"/>
          <w:pgMar w:top="504" w:right="844" w:bottom="930" w:left="1078" w:header="720" w:footer="720" w:gutter="0"/>
          <w:cols w:num="2" w:equalWidth="0">
            <w:col w:w="4089" w:space="0"/>
            <w:col w:w="5894" w:space="0"/>
          </w:cols>
          <w:docGrid w:linePitch="360"/>
        </w:sectPr>
      </w:pPr>
    </w:p>
    <w:p>
      <w:pPr>
        <w:autoSpaceDN w:val="0"/>
        <w:tabs>
          <w:tab w:pos="3726" w:val="left"/>
          <w:tab w:pos="4024" w:val="left"/>
          <w:tab w:pos="4900" w:val="left"/>
        </w:tabs>
        <w:autoSpaceDE w:val="0"/>
        <w:widowControl/>
        <w:spacing w:line="245" w:lineRule="auto" w:before="0" w:after="118"/>
        <w:ind w:left="392" w:right="0" w:firstLine="0"/>
        <w:jc w:val="left"/>
      </w:pPr>
      <w:r>
        <w:tab/>
      </w:r>
      <w:r>
        <w:tab/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Version 6.9 </w:t>
      </w:r>
      <w:r>
        <w:tab/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Revision Date 20.05.2024 </w:t>
      </w:r>
      <w:r>
        <w:tab/>
      </w:r>
      <w:r>
        <w:tab/>
      </w:r>
      <w:r>
        <w:rPr>
          <w:rFonts w:ascii="Verdana" w:hAnsi="Verdana" w:eastAsia="Verdana"/>
          <w:b w:val="0"/>
          <w:i w:val="0"/>
          <w:color w:val="000000"/>
          <w:sz w:val="16"/>
        </w:rPr>
        <w:t xml:space="preserve">Print Date 21.05.2024 </w:t>
      </w:r>
      <w:r>
        <w:rPr>
          <w:rFonts w:ascii="Verdana" w:hAnsi="Verdana" w:eastAsia="Verdana"/>
          <w:b w:val="0"/>
          <w:i w:val="0"/>
          <w:color w:val="000000"/>
          <w:sz w:val="16"/>
        </w:rPr>
        <w:t>GENERIC EU MSDS - NO COUNTRY SPECIFIC DATA - NO OEL DATA</w:t>
      </w:r>
    </w:p>
    <w:p>
      <w:pPr>
        <w:sectPr>
          <w:type w:val="nextColumn"/>
          <w:pgSz w:w="11906" w:h="16838"/>
          <w:pgMar w:top="504" w:right="844" w:bottom="930" w:left="1078" w:header="720" w:footer="720" w:gutter="0"/>
          <w:cols w:num="2" w:equalWidth="0">
            <w:col w:w="4089" w:space="0"/>
            <w:col w:w="5894" w:space="0"/>
          </w:cols>
          <w:docGrid w:linePitch="360"/>
        </w:sectPr>
      </w:pPr>
    </w:p>
    <w:p>
      <w:pPr>
        <w:autoSpaceDN w:val="0"/>
        <w:autoSpaceDE w:val="0"/>
        <w:widowControl/>
        <w:spacing w:line="238" w:lineRule="auto" w:before="4" w:after="62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SECTION 1: Identification of the substance/mixture and of the company/undertaking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8"/>
        <w:gridCol w:w="3328"/>
        <w:gridCol w:w="3328"/>
      </w:tblGrid>
      <w:tr>
        <w:trPr>
          <w:trHeight w:hRule="exact" w:val="284"/>
        </w:trPr>
        <w:tc>
          <w:tcPr>
            <w:tcW w:type="dxa" w:w="5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1.1 </w:t>
            </w:r>
          </w:p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4" w:after="0"/>
              <w:ind w:left="11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>Product identifiers</w:t>
            </w:r>
          </w:p>
        </w:tc>
        <w:tc>
          <w:tcPr>
            <w:tcW w:type="dxa" w:w="68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96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: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8"/>
              </w:rPr>
              <w:t xml:space="preserve">Half FRASER (Demi FRASER) broth (base) </w:t>
            </w:r>
          </w:p>
        </w:tc>
      </w:tr>
      <w:tr>
        <w:trPr>
          <w:trHeight w:hRule="exact" w:val="352"/>
        </w:trPr>
        <w:tc>
          <w:tcPr>
            <w:tcW w:type="dxa" w:w="3328"/>
            <w:vMerge/>
            <w:tcBorders/>
          </w:tcPr>
          <w:p/>
        </w:tc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10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Product name </w:t>
            </w:r>
          </w:p>
        </w:tc>
        <w:tc>
          <w:tcPr>
            <w:tcW w:type="dxa" w:w="33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40" w:lineRule="auto" w:before="2" w:after="188"/>
        <w:ind w:left="0" w:right="194" w:firstLine="0"/>
        <w:jc w:val="right"/>
      </w:pPr>
      <w:r>
        <w:rPr>
          <w:rFonts w:ascii="Verdana" w:hAnsi="Verdana" w:eastAsia="Verdana"/>
          <w:b w:val="0"/>
          <w:i w:val="0"/>
          <w:color w:val="000000"/>
          <w:sz w:val="28"/>
        </w:rPr>
        <w:t xml:space="preserve">with antibiotics acc. ISO 11290 GranuCult®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2.0" w:type="dxa"/>
      </w:tblPr>
      <w:tblGrid>
        <w:gridCol w:w="4992"/>
        <w:gridCol w:w="4992"/>
      </w:tblGrid>
      <w:tr>
        <w:trPr>
          <w:trHeight w:hRule="exact" w:val="1516"/>
        </w:trPr>
        <w:tc>
          <w:tcPr>
            <w:tcW w:type="dxa" w:w="2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308" w:right="288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Product Number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Catalogue No. </w:t>
            </w:r>
          </w:p>
          <w:p>
            <w:pPr>
              <w:autoSpaceDN w:val="0"/>
              <w:autoSpaceDE w:val="0"/>
              <w:widowControl/>
              <w:spacing w:line="238" w:lineRule="auto" w:before="4" w:after="0"/>
              <w:ind w:left="30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Brand </w:t>
            </w:r>
          </w:p>
          <w:p>
            <w:pPr>
              <w:autoSpaceDN w:val="0"/>
              <w:autoSpaceDE w:val="0"/>
              <w:widowControl/>
              <w:spacing w:line="240" w:lineRule="auto" w:before="122" w:after="0"/>
              <w:ind w:left="30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UFI </w:t>
            </w:r>
          </w:p>
          <w:p>
            <w:pPr>
              <w:autoSpaceDN w:val="0"/>
              <w:autoSpaceDE w:val="0"/>
              <w:widowControl/>
              <w:spacing w:line="240" w:lineRule="auto" w:before="120" w:after="0"/>
              <w:ind w:left="30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REACH No. </w:t>
            </w:r>
          </w:p>
        </w:tc>
        <w:tc>
          <w:tcPr>
            <w:tcW w:type="dxa" w:w="6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432" w:right="5184" w:firstLine="0"/>
              <w:jc w:val="center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: 1.00025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: 100025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: Millipore </w:t>
            </w:r>
          </w:p>
          <w:p>
            <w:pPr>
              <w:autoSpaceDN w:val="0"/>
              <w:autoSpaceDE w:val="0"/>
              <w:widowControl/>
              <w:spacing w:line="240" w:lineRule="auto" w:before="122" w:after="0"/>
              <w:ind w:left="462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: 5DU2-V6J1-D99J-HY1J </w:t>
            </w:r>
          </w:p>
          <w:p>
            <w:pPr>
              <w:autoSpaceDN w:val="0"/>
              <w:autoSpaceDE w:val="0"/>
              <w:widowControl/>
              <w:spacing w:line="240" w:lineRule="auto" w:before="120" w:after="0"/>
              <w:ind w:left="46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: This product is a mixture. REACH Registration Number see </w:t>
            </w:r>
          </w:p>
        </w:tc>
      </w:tr>
    </w:tbl>
    <w:p>
      <w:pPr>
        <w:autoSpaceDN w:val="0"/>
        <w:autoSpaceDE w:val="0"/>
        <w:widowControl/>
        <w:spacing w:line="238" w:lineRule="auto" w:before="2" w:after="304"/>
        <w:ind w:left="0" w:right="5444" w:firstLine="0"/>
        <w:jc w:val="righ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section 3.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8"/>
        <w:gridCol w:w="3328"/>
        <w:gridCol w:w="3328"/>
      </w:tblGrid>
      <w:tr>
        <w:trPr>
          <w:trHeight w:hRule="exact" w:val="356"/>
        </w:trPr>
        <w:tc>
          <w:tcPr>
            <w:tcW w:type="dxa" w:w="5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1.2 </w:t>
            </w:r>
          </w:p>
          <w:p>
            <w:pPr>
              <w:autoSpaceDN w:val="0"/>
              <w:autoSpaceDE w:val="0"/>
              <w:widowControl/>
              <w:spacing w:line="240" w:lineRule="auto" w:before="728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1.3 </w:t>
            </w:r>
          </w:p>
        </w:tc>
        <w:tc>
          <w:tcPr>
            <w:tcW w:type="dxa" w:w="9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Relevant identified uses of the substance or mixture and uses advised against </w:t>
            </w:r>
          </w:p>
        </w:tc>
      </w:tr>
      <w:tr>
        <w:trPr>
          <w:trHeight w:hRule="exact" w:val="300"/>
        </w:trPr>
        <w:tc>
          <w:tcPr>
            <w:tcW w:type="dxa" w:w="3328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10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Identified uses </w:t>
            </w:r>
          </w:p>
        </w:tc>
        <w:tc>
          <w:tcPr>
            <w:tcW w:type="dxa" w:w="6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8" w:after="0"/>
              <w:ind w:left="22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: Reagent for analysis </w:t>
            </w:r>
          </w:p>
        </w:tc>
      </w:tr>
      <w:tr>
        <w:trPr>
          <w:trHeight w:hRule="exact" w:val="300"/>
        </w:trPr>
        <w:tc>
          <w:tcPr>
            <w:tcW w:type="dxa" w:w="3328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10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Uses advised against </w:t>
            </w:r>
          </w:p>
        </w:tc>
        <w:tc>
          <w:tcPr>
            <w:tcW w:type="dxa" w:w="6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" w:after="0"/>
              <w:ind w:left="22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: This product is not intended for consumer use. </w:t>
            </w:r>
          </w:p>
        </w:tc>
      </w:tr>
      <w:tr>
        <w:trPr>
          <w:trHeight w:hRule="exact" w:val="360"/>
        </w:trPr>
        <w:tc>
          <w:tcPr>
            <w:tcW w:type="dxa" w:w="3328"/>
            <w:vMerge/>
            <w:tcBorders/>
          </w:tcPr>
          <w:p/>
        </w:tc>
        <w:tc>
          <w:tcPr>
            <w:tcW w:type="dxa" w:w="9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11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Details of the supplier of the safety data sheet </w:t>
            </w:r>
          </w:p>
        </w:tc>
      </w:tr>
      <w:tr>
        <w:trPr>
          <w:trHeight w:hRule="exact" w:val="318"/>
        </w:trPr>
        <w:tc>
          <w:tcPr>
            <w:tcW w:type="dxa" w:w="3328"/>
            <w:vMerge/>
            <w:tcBorders/>
          </w:tcPr>
          <w:p/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10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Company </w:t>
            </w:r>
          </w:p>
        </w:tc>
        <w:tc>
          <w:tcPr>
            <w:tcW w:type="dxa" w:w="6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6" w:after="0"/>
              <w:ind w:left="22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: Sigma-Aldrich Chemical Pvt Limited </w:t>
            </w:r>
          </w:p>
        </w:tc>
      </w:tr>
      <w:tr>
        <w:trPr>
          <w:trHeight w:hRule="exact" w:val="244"/>
        </w:trPr>
        <w:tc>
          <w:tcPr>
            <w:tcW w:type="dxa" w:w="3328"/>
            <w:vMerge/>
            <w:tcBorders/>
          </w:tcPr>
          <w:p/>
        </w:tc>
        <w:tc>
          <w:tcPr>
            <w:tcW w:type="dxa" w:w="9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3118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Industrial Area, Anekal Taluka </w:t>
            </w:r>
          </w:p>
        </w:tc>
      </w:tr>
    </w:tbl>
    <w:p>
      <w:pPr>
        <w:autoSpaceDN w:val="0"/>
        <w:autoSpaceDE w:val="0"/>
        <w:widowControl/>
        <w:spacing w:line="245" w:lineRule="auto" w:before="2" w:after="184"/>
        <w:ind w:left="3490" w:right="2736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Plot No 12,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12 Bommasandra - Jigani Link Road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560100 BANGALORE </w:t>
      </w:r>
      <w:r>
        <w:br/>
      </w: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INDIA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328"/>
        <w:gridCol w:w="3328"/>
        <w:gridCol w:w="3328"/>
      </w:tblGrid>
      <w:tr>
        <w:trPr>
          <w:trHeight w:hRule="exact" w:val="482"/>
        </w:trPr>
        <w:tc>
          <w:tcPr>
            <w:tcW w:type="dxa" w:w="50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1.4 </w:t>
            </w:r>
          </w:p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110" w:right="0" w:firstLine="0"/>
              <w:jc w:val="left"/>
            </w:pPr>
            <w:r>
              <w:rPr>
                <w:rFonts w:ascii="Verdana" w:hAnsi="Verdana" w:eastAsia="Verdana"/>
                <w:b/>
                <w:i w:val="0"/>
                <w:color w:val="000000"/>
                <w:sz w:val="20"/>
              </w:rPr>
              <w:t xml:space="preserve">Emergency telephone </w:t>
            </w:r>
          </w:p>
        </w:tc>
        <w:tc>
          <w:tcPr>
            <w:tcW w:type="dxa" w:w="52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4" w:after="0"/>
              <w:ind w:left="60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: 000 800 1007 141 (CHEMTREC) </w:t>
            </w:r>
          </w:p>
        </w:tc>
      </w:tr>
      <w:tr>
        <w:trPr>
          <w:trHeight w:hRule="exact" w:val="484"/>
        </w:trPr>
        <w:tc>
          <w:tcPr>
            <w:tcW w:type="dxa" w:w="3328"/>
            <w:vMerge/>
            <w:tcBorders/>
          </w:tcPr>
          <w:p/>
        </w:tc>
        <w:tc>
          <w:tcPr>
            <w:tcW w:type="dxa" w:w="2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2" w:after="0"/>
              <w:ind w:left="108" w:right="0" w:firstLine="0"/>
              <w:jc w:val="lef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20"/>
              </w:rPr>
              <w:t xml:space="preserve">Emergency Phone # </w:t>
            </w:r>
          </w:p>
        </w:tc>
        <w:tc>
          <w:tcPr>
            <w:tcW w:type="dxa" w:w="332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8" w:lineRule="auto" w:before="794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SECTION 2: Hazards identification </w:t>
      </w:r>
    </w:p>
    <w:p>
      <w:pPr>
        <w:autoSpaceDN w:val="0"/>
        <w:tabs>
          <w:tab w:pos="612" w:val="left"/>
        </w:tabs>
        <w:autoSpaceDE w:val="0"/>
        <w:widowControl/>
        <w:spacing w:line="240" w:lineRule="auto" w:before="122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2.1 </w:t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Classification of the substance or mixture </w:t>
      </w:r>
    </w:p>
    <w:p>
      <w:pPr>
        <w:autoSpaceDN w:val="0"/>
        <w:autoSpaceDE w:val="0"/>
        <w:widowControl/>
        <w:spacing w:line="240" w:lineRule="auto" w:before="122" w:after="0"/>
        <w:ind w:left="612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Not a hazardous substance or mixture according to Regulation (EC) No 1272/2008. </w:t>
      </w:r>
    </w:p>
    <w:p>
      <w:pPr>
        <w:autoSpaceDN w:val="0"/>
        <w:tabs>
          <w:tab w:pos="612" w:val="left"/>
        </w:tabs>
        <w:autoSpaceDE w:val="0"/>
        <w:widowControl/>
        <w:spacing w:line="240" w:lineRule="auto" w:before="120" w:after="0"/>
        <w:ind w:left="0" w:right="0" w:firstLine="0"/>
        <w:jc w:val="left"/>
      </w:pPr>
      <w:r>
        <w:rPr>
          <w:rFonts w:ascii="Verdana" w:hAnsi="Verdana" w:eastAsia="Verdana"/>
          <w:b/>
          <w:i w:val="0"/>
          <w:color w:val="000000"/>
          <w:sz w:val="20"/>
        </w:rPr>
        <w:t xml:space="preserve">2.2 </w:t>
      </w:r>
      <w:r>
        <w:tab/>
      </w:r>
      <w:r>
        <w:rPr>
          <w:rFonts w:ascii="Verdana" w:hAnsi="Verdana" w:eastAsia="Verdana"/>
          <w:b/>
          <w:i w:val="0"/>
          <w:color w:val="000000"/>
          <w:sz w:val="20"/>
        </w:rPr>
        <w:t xml:space="preserve">Label elements </w:t>
      </w:r>
    </w:p>
    <w:p>
      <w:pPr>
        <w:autoSpaceDN w:val="0"/>
        <w:autoSpaceDE w:val="0"/>
        <w:widowControl/>
        <w:spacing w:line="240" w:lineRule="auto" w:before="124" w:after="544"/>
        <w:ind w:left="612" w:right="0" w:firstLine="0"/>
        <w:jc w:val="left"/>
      </w:pPr>
      <w:r>
        <w:rPr>
          <w:rFonts w:ascii="Verdana" w:hAnsi="Verdana" w:eastAsia="Verdana"/>
          <w:b w:val="0"/>
          <w:i w:val="0"/>
          <w:color w:val="000000"/>
          <w:sz w:val="20"/>
        </w:rPr>
        <w:t xml:space="preserve">Not a hazardous substance or mixture according to Regulation (EC) No 1272/2008.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4992"/>
        <w:gridCol w:w="4992"/>
      </w:tblGrid>
      <w:tr>
        <w:trPr>
          <w:trHeight w:hRule="exact" w:val="1482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0" w:after="0"/>
              <w:ind w:left="14" w:right="864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>Millipore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 xml:space="preserve">-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16"/>
              </w:rPr>
              <w:t xml:space="preserve">1.00025 </w:t>
            </w:r>
            <w:r>
              <w:br/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 xml:space="preserve">The life science business of Merck operates as MilliporeSigma in </w:t>
            </w:r>
            <w:r>
              <w:rPr>
                <w:rFonts w:ascii="Verdana" w:hAnsi="Verdana" w:eastAsia="Verdana"/>
                <w:b w:val="0"/>
                <w:i w:val="0"/>
                <w:color w:val="000000"/>
                <w:sz w:val="18"/>
              </w:rPr>
              <w:t xml:space="preserve">the US and Canada </w:t>
            </w:r>
          </w:p>
        </w:tc>
        <w:tc>
          <w:tcPr>
            <w:tcW w:type="dxa" w:w="3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6" w:after="0"/>
              <w:ind w:left="0" w:right="2" w:firstLine="0"/>
              <w:jc w:val="right"/>
            </w:pPr>
            <w:r>
              <w:rPr>
                <w:rFonts w:ascii="Verdana" w:hAnsi="Verdana" w:eastAsia="Verdana"/>
                <w:b w:val="0"/>
                <w:i w:val="0"/>
                <w:color w:val="000000"/>
                <w:sz w:val="16"/>
              </w:rPr>
              <w:t>Page 1  of  12</w:t>
            </w:r>
          </w:p>
          <w:p>
            <w:pPr>
              <w:autoSpaceDN w:val="0"/>
              <w:autoSpaceDE w:val="0"/>
              <w:widowControl/>
              <w:spacing w:line="240" w:lineRule="auto" w:before="190" w:after="0"/>
              <w:ind w:left="0" w:right="4" w:firstLine="0"/>
              <w:jc w:val="right"/>
            </w:pPr>
            <w:r>
              <w:drawing>
                <wp:anchor xmlns:a="http://schemas.openxmlformats.org/drawingml/2006/main" xmlns:pic="http://schemas.openxmlformats.org/drawingml/2006/picture" simplePos="0" relativeHeight="0" behindDoc="0" locked="0" layoutInCell="1" allowOverlap="1">
                  <wp:simplePos x="0" y="0"/>
                  <wp:positionH relativeFrom="page">
                    <wp:posOffset>5619750</wp:posOffset>
                  </wp:positionH>
                  <wp:positionV relativeFrom="page">
                    <wp:posOffset>8845550</wp:posOffset>
                  </wp:positionV>
                  <wp:extent cx="1388109" cy="66675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109" cy="666750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type w:val="continuous"/>
      <w:pgSz w:w="11906" w:h="16838"/>
      <w:pgMar w:top="504" w:right="844" w:bottom="930" w:left="107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