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ab9caf72125026a081645b6511eb6495a8230e"/>
    <w:p>
      <w:pPr>
        <w:pStyle w:val="Heading1"/>
      </w:pPr>
      <w:r>
        <w:t xml:space="preserve">Physics-Informed Digital Twin for RIS-Assisted MIMO Networks Using Multi-Task Deep Learning and Communication-Theoretic Constraints</w:t>
      </w:r>
    </w:p>
    <w:p>
      <w:pPr>
        <w:pStyle w:val="FirstParagraph"/>
      </w:pPr>
      <w:r>
        <w:rPr>
          <w:b/>
          <w:bCs/>
        </w:rPr>
        <w:t xml:space="preserve">Anshu</w:t>
      </w:r>
      <w:r>
        <w:t xml:space="preserve"> </w:t>
      </w:r>
      <w:r>
        <w:rPr>
          <w:i/>
          <w:iCs/>
        </w:rPr>
        <w:t xml:space="preserve">Department of Electrical and Computer Engineering</w:t>
      </w:r>
      <w:r>
        <w:t xml:space="preserve"> </w:t>
      </w:r>
      <w:r>
        <w:rPr>
          <w:i/>
          <w:iCs/>
        </w:rPr>
        <w:t xml:space="preserve">AI &amp; 6G Research Laboratory</w:t>
      </w:r>
    </w:p>
    <w:p>
      <w:r>
        <w:pict>
          <v:rect style="width:0;height:1.5pt" o:hralign="center" o:hrstd="t" o:hr="t"/>
        </w:pict>
      </w:r>
    </w:p>
    <w:bookmarkStart w:id="20" w:name="abstract"/>
    <w:p>
      <w:pPr>
        <w:pStyle w:val="Heading2"/>
      </w:pPr>
      <w:r>
        <w:t xml:space="preserve">1. Abstract</w:t>
      </w:r>
    </w:p>
    <w:p>
      <w:pPr>
        <w:pStyle w:val="FirstParagraph"/>
      </w:pPr>
      <w:r>
        <w:t xml:space="preserve">Reconfigurable Intelligent Surfaces (RIS) represent a transformative leap in next-generation 6G wireless architecture by providing software-controlled programmable radio environments. However, evaluating arbitrary RIS-MIMO configurations incurs prohibitive computational costs using standard Maxwellian or empirical path-loss and beamforming solvers. This paper details the development of a neural-network-driven Digital Twin that directly models the physical layer dynamics. By augmenting a standard deep multi-task network with Physics-Informed Neural Network (PINN) penalty constraints—such as Shannon capacity bounds and Bit Error Rate (BER) monotonicity rules—we developed a real-time predictive model that achieves</w:t>
      </w:r>
      <w:r>
        <w:t xml:space="preserve"> </w:t>
      </w:r>
      <m:oMath>
        <m:r>
          <m:rPr>
            <m:sty m:val="p"/>
          </m:rPr>
          <m:t>&gt;</m:t>
        </m:r>
        <m:r>
          <m:t>0.85</m:t>
        </m:r>
      </m:oMath>
      <w:r>
        <w:t xml:space="preserve"> </w:t>
      </w:r>
      <w:r>
        <w:t xml:space="preserve">test</w:t>
      </w:r>
      <w:r>
        <w:t xml:space="preserve"> </w:t>
      </w:r>
      <m:oMath>
        <m:sSup>
          <m:e>
            <m:r>
              <m:t>R</m:t>
            </m:r>
          </m:e>
          <m:sup>
            <m:r>
              <m:t>2</m:t>
            </m:r>
          </m:sup>
        </m:sSup>
      </m:oMath>
      <w:r>
        <w:t xml:space="preserve"> </w:t>
      </w:r>
      <w:r>
        <w:t xml:space="preserve">accuracy globally while aggressively minimizing structurally impossible predictions. We demonstrate the practical utility of our approach through a highly interactive Streamlit dashboard featuring physical spatial correlation models and dynamic sensitivity analysis.</w:t>
      </w:r>
    </w:p>
    <w:bookmarkEnd w:id="20"/>
    <w:bookmarkStart w:id="21" w:name="keywords"/>
    <w:p>
      <w:pPr>
        <w:pStyle w:val="Heading2"/>
      </w:pPr>
      <w:r>
        <w:t xml:space="preserve">2. Keywords</w:t>
      </w:r>
    </w:p>
    <w:p>
      <w:pPr>
        <w:pStyle w:val="FirstParagraph"/>
      </w:pPr>
      <w:r>
        <w:t xml:space="preserve">Digital Twin, Reconfigurable Intelligent Surfaces, Multiple-Input Multiple-Output (MIMO), Physics-Informed Neural Networks, 6G Wireless Systems, Spatial Correlation.</w:t>
      </w:r>
    </w:p>
    <w:p>
      <w:r>
        <w:pict>
          <v:rect style="width:0;height:1.5pt" o:hralign="center" o:hrstd="t" o:hr="t"/>
        </w:pict>
      </w:r>
    </w:p>
    <w:bookmarkEnd w:id="21"/>
    <w:bookmarkStart w:id="22" w:name="introduction"/>
    <w:p>
      <w:pPr>
        <w:pStyle w:val="Heading2"/>
      </w:pPr>
      <w:r>
        <w:t xml:space="preserve">3. Introduction</w:t>
      </w:r>
    </w:p>
    <w:p>
      <w:pPr>
        <w:pStyle w:val="FirstParagraph"/>
      </w:pPr>
      <w:r>
        <w:t xml:space="preserve">The core goal of modeling next-generation networks is moving from pure stochastic simulations toward zero-latency AI-driven Digital Twins characterizing Reconfigurable Intelligent Surface (RIS) enhanced Multiple-Input Multiple-Output (MIMO) links. Traditional simulated twins face the combinatorial explosion of phase matrices and antenna array sizes, making real-time system optimization mathematically intensive. Deep Neural Networks provide exceptional non-linear mapping capabilities perfectly suited for this structural complexity but typically operate as</w:t>
      </w:r>
      <w:r>
        <w:t xml:space="preserve"> </w:t>
      </w:r>
      <w:r>
        <w:t xml:space="preserve">“</w:t>
      </w:r>
      <w:r>
        <w:t xml:space="preserve">black boxes</w:t>
      </w:r>
      <w:r>
        <w:t xml:space="preserve">”</w:t>
      </w:r>
      <w:r>
        <w:t xml:space="preserve"> </w:t>
      </w:r>
      <w:r>
        <w:t xml:space="preserve">exhibiting unphysical edge-case behaviors—for example, predicting a spectral efficiency exceeding theoretical thermodynamic bounds, or a capacity increase inexplicably accompanied by an identical increase in signal error rates.</w:t>
      </w:r>
    </w:p>
    <w:p>
      <w:pPr>
        <w:pStyle w:val="BodyText"/>
      </w:pPr>
      <w:r>
        <w:t xml:space="preserve">This research proposes a solution: a Physics-Informed Neural Network (PINN) that penalizes the loss function when predicted metrics disobey fundamental electromagnetic and communication-theoretic formulas, effectively tying deep learning to physical limits.</w:t>
      </w:r>
    </w:p>
    <w:bookmarkEnd w:id="22"/>
    <w:bookmarkStart w:id="23" w:name="related-work"/>
    <w:p>
      <w:pPr>
        <w:pStyle w:val="Heading2"/>
      </w:pPr>
      <w:r>
        <w:t xml:space="preserve">4. Related Work</w:t>
      </w:r>
    </w:p>
    <w:p>
      <w:pPr>
        <w:pStyle w:val="FirstParagraph"/>
      </w:pPr>
      <w:r>
        <w:t xml:space="preserve">Digital twins for 6G technologies, particularly RIS, have gained momentum. Recent works emphasize machine learning for channel estimation and phase-shift optimization. Conventional methods rely heavily on pure data-driven Deep Neural Networks (DNN) to map varying conditions to channel capacities. However, these models often suffer from out-of-distribution hallucinations. Our approach builds upon multi-task learning paradigms and extends the concept of Physics-Informed Neural Networks (PINNs)—traditionally used in computational fluid dynamics to solve Navier-Stokes equations—into the telecommunications domain by translating boundary limits and logical monotonicity into differentiable gradient penalties.</w:t>
      </w:r>
    </w:p>
    <w:bookmarkEnd w:id="23"/>
    <w:bookmarkStart w:id="25" w:name="system-model"/>
    <w:p>
      <w:pPr>
        <w:pStyle w:val="Heading2"/>
      </w:pPr>
      <w:r>
        <w:t xml:space="preserve">5. System Model</w:t>
      </w:r>
    </w:p>
    <w:p>
      <w:pPr>
        <w:pStyle w:val="FirstParagraph"/>
      </w:pPr>
      <w:r>
        <w:t xml:space="preserve">We consider an arbitrary Point-to-Point MIMO system facilitated by a Reconfigurable Intelligent Surface. The fundamental received signal matrix can be abstracted as:</w:t>
      </w:r>
    </w:p>
    <w:p>
      <w:pPr>
        <w:pStyle w:val="BodyText"/>
      </w:pPr>
      <m:oMathPara>
        <m:oMathParaPr>
          <m:jc m:val="center"/>
        </m:oMathParaPr>
        <m:oMath>
          <m:r>
            <m:t>y</m:t>
          </m:r>
          <m:r>
            <m:rPr>
              <m:sty m:val="p"/>
            </m:rPr>
            <m:t>=</m:t>
          </m:r>
          <m:r>
            <m:rPr>
              <m:sty m:val="b"/>
            </m:rPr>
            <m:t>H</m:t>
          </m:r>
          <m:r>
            <m:rPr>
              <m:sty m:val="b"/>
            </m:rPr>
            <m:t>x</m:t>
          </m:r>
          <m:r>
            <m:rPr>
              <m:sty m:val="p"/>
            </m:rPr>
            <m:t>+</m:t>
          </m:r>
          <m:r>
            <m:rPr>
              <m:sty m:val="b"/>
            </m:rPr>
            <m:t>n</m:t>
          </m:r>
        </m:oMath>
      </m:oMathPara>
    </w:p>
    <w:p>
      <w:pPr>
        <w:pStyle w:val="FirstParagraph"/>
      </w:pPr>
      <w:r>
        <w:t xml:space="preserve">where</w:t>
      </w:r>
      <w:r>
        <w:t xml:space="preserve"> </w:t>
      </w:r>
      <m:oMath>
        <m:r>
          <m:rPr>
            <m:sty m:val="b"/>
          </m:rPr>
          <m:t>x</m:t>
        </m:r>
        <m:r>
          <m:rPr>
            <m:sty m:val="p"/>
          </m:rPr>
          <m:t>∈</m:t>
        </m:r>
        <m:sSup>
          <m:e>
            <m:r>
              <m:rPr>
                <m:sty m:val="p"/>
                <m:scr m:val="double-struck"/>
              </m:rPr>
              <m:t>C</m:t>
            </m:r>
          </m:e>
          <m:sup>
            <m:sSub>
              <m:e>
                <m:r>
                  <m:t>N</m:t>
                </m:r>
              </m:e>
              <m:sub>
                <m:r>
                  <m:t>t</m:t>
                </m:r>
              </m:sub>
            </m:sSub>
            <m:r>
              <m:rPr>
                <m:sty m:val="p"/>
              </m:rPr>
              <m:t>×</m:t>
            </m:r>
            <m:r>
              <m:t>1</m:t>
            </m:r>
          </m:sup>
        </m:sSup>
      </m:oMath>
      <w:r>
        <w:t xml:space="preserve"> </w:t>
      </w:r>
      <w:r>
        <w:t xml:space="preserve">is the transmitted signal,</w:t>
      </w:r>
      <w:r>
        <w:t xml:space="preserve"> </w:t>
      </w:r>
      <m:oMath>
        <m:r>
          <m:rPr>
            <m:sty m:val="b"/>
          </m:rPr>
          <m:t>y</m:t>
        </m:r>
        <m:r>
          <m:rPr>
            <m:sty m:val="p"/>
          </m:rPr>
          <m:t>∈</m:t>
        </m:r>
        <m:sSup>
          <m:e>
            <m:r>
              <m:rPr>
                <m:sty m:val="p"/>
                <m:scr m:val="double-struck"/>
              </m:rPr>
              <m:t>C</m:t>
            </m:r>
          </m:e>
          <m:sup>
            <m:sSub>
              <m:e>
                <m:r>
                  <m:t>N</m:t>
                </m:r>
              </m:e>
              <m:sub>
                <m:r>
                  <m:t>r</m:t>
                </m:r>
              </m:sub>
            </m:sSub>
            <m:r>
              <m:rPr>
                <m:sty m:val="p"/>
              </m:rPr>
              <m:t>×</m:t>
            </m:r>
            <m:r>
              <m:t>1</m:t>
            </m:r>
          </m:sup>
        </m:sSup>
      </m:oMath>
      <w:r>
        <w:t xml:space="preserve"> </w:t>
      </w:r>
      <w:r>
        <w:t xml:space="preserve">is the received signal,</w:t>
      </w:r>
      <w:r>
        <w:t xml:space="preserve"> </w:t>
      </w:r>
      <m:oMath>
        <m:r>
          <m:rPr>
            <m:sty m:val="b"/>
          </m:rPr>
          <m:t>n</m:t>
        </m:r>
      </m:oMath>
      <w:r>
        <w:t xml:space="preserve"> </w:t>
      </w:r>
      <w:r>
        <w:t xml:space="preserve">is the complex Additive White Gaussian Noise (AWGN), and</w:t>
      </w:r>
      <w:r>
        <w:t xml:space="preserve"> </w:t>
      </w:r>
      <m:oMath>
        <m:r>
          <m:rPr>
            <m:sty m:val="b"/>
          </m:rPr>
          <m:t>H</m:t>
        </m:r>
      </m:oMath>
      <w:r>
        <w:t xml:space="preserve"> </w:t>
      </w:r>
      <w:r>
        <w:t xml:space="preserve">is the composite channel matrix incorporating both the direct links and the cascaded RIS reflection paths defined by the phase-shift matrix</w:t>
      </w:r>
      <w:r>
        <w:t xml:space="preserve"> </w:t>
      </w:r>
      <m:oMath>
        <m:r>
          <m:t>Θ</m:t>
        </m:r>
      </m:oMath>
      <w:r>
        <w:t xml:space="preserve">.</w:t>
      </w:r>
    </w:p>
    <w:bookmarkStart w:id="24" w:name="spatial-correlation"/>
    <w:p>
      <w:pPr>
        <w:pStyle w:val="Heading3"/>
      </w:pPr>
      <w:r>
        <w:t xml:space="preserve">5.1 Spatial Correlation</w:t>
      </w:r>
    </w:p>
    <w:p>
      <w:pPr>
        <w:pStyle w:val="FirstParagraph"/>
      </w:pPr>
      <w:r>
        <w:t xml:space="preserve">The system models exact 2D rectangular geometries. Pairwise distances</w:t>
      </w:r>
      <w:r>
        <w:t xml:space="preserve"> </w:t>
      </w:r>
      <m:oMath>
        <m:sSub>
          <m:e>
            <m:r>
              <m:t>D</m:t>
            </m:r>
          </m:e>
          <m:sub>
            <m:r>
              <m:t>i</m:t>
            </m:r>
            <m:r>
              <m:t>j</m:t>
            </m:r>
          </m:sub>
        </m:sSub>
        <m:r>
          <m:rPr>
            <m:sty m:val="p"/>
          </m:rPr>
          <m:t>=</m:t>
        </m:r>
        <m:r>
          <m:rPr>
            <m:sty m:val="p"/>
          </m:rPr>
          <m:t>∥</m:t>
        </m:r>
        <m:sSub>
          <m:e>
            <m:r>
              <m:t>c</m:t>
            </m:r>
          </m:e>
          <m:sub>
            <m:r>
              <m:t>i</m:t>
            </m:r>
          </m:sub>
        </m:sSub>
        <m:r>
          <m:rPr>
            <m:sty m:val="p"/>
          </m:rPr>
          <m:t>−</m:t>
        </m:r>
        <m:sSub>
          <m:e>
            <m:r>
              <m:t>c</m:t>
            </m:r>
          </m:e>
          <m:sub>
            <m:r>
              <m:t>j</m:t>
            </m:r>
          </m:sub>
        </m:sSub>
        <m:sSub>
          <m:e>
            <m:r>
              <m:rPr>
                <m:sty m:val="p"/>
              </m:rPr>
              <m:t>∥</m:t>
            </m:r>
          </m:e>
          <m:sub>
            <m:r>
              <m:t>2</m:t>
            </m:r>
          </m:sub>
        </m:sSub>
      </m:oMath>
      <w:r>
        <w:t xml:space="preserve"> </w:t>
      </w:r>
      <w:r>
        <w:t xml:space="preserve">dictate the spatial correlation matrix</w:t>
      </w:r>
      <w:r>
        <w:t xml:space="preserve"> </w:t>
      </w:r>
      <m:oMath>
        <m:r>
          <m:rPr>
            <m:sty m:val="b"/>
          </m:rPr>
          <m:t>R</m:t>
        </m:r>
      </m:oMath>
      <w:r>
        <w:t xml:space="preserve"> </w:t>
      </w:r>
      <w:r>
        <w:t xml:space="preserve">according to Clarke’s isotropic fading model utilizing the Bessel function of the first kind:</w:t>
      </w:r>
    </w:p>
    <w:p>
      <w:pPr>
        <w:pStyle w:val="BodyText"/>
      </w:pPr>
      <m:oMathPara>
        <m:oMathParaPr>
          <m:jc m:val="center"/>
        </m:oMathParaPr>
        <m:oMath>
          <m:sSub>
            <m:e>
              <m:r>
                <m:t>R</m:t>
              </m:r>
            </m:e>
            <m:sub>
              <m:r>
                <m:t>i</m:t>
              </m:r>
              <m:r>
                <m:t>j</m:t>
              </m:r>
            </m:sub>
          </m:sSub>
          <m:r>
            <m:rPr>
              <m:sty m:val="p"/>
            </m:rPr>
            <m:t>=</m:t>
          </m:r>
          <m:sSub>
            <m:e>
              <m:r>
                <m:t>J</m:t>
              </m:r>
            </m:e>
            <m:sub>
              <m:r>
                <m:t>0</m:t>
              </m:r>
            </m:sub>
          </m:sSub>
          <m:d>
            <m:dPr>
              <m:begChr m:val="("/>
              <m:endChr m:val=")"/>
              <m:sepChr m:val=""/>
              <m:grow/>
            </m:dPr>
            <m:e>
              <m:f>
                <m:fPr>
                  <m:type m:val="bar"/>
                </m:fPr>
                <m:num>
                  <m:r>
                    <m:t>2</m:t>
                  </m:r>
                  <m:r>
                    <m:t>π</m:t>
                  </m:r>
                  <m:sSub>
                    <m:e>
                      <m:r>
                        <m:t>D</m:t>
                      </m:r>
                    </m:e>
                    <m:sub>
                      <m:r>
                        <m:t>i</m:t>
                      </m:r>
                      <m:r>
                        <m:t>j</m:t>
                      </m:r>
                    </m:sub>
                  </m:sSub>
                </m:num>
                <m:den>
                  <m:r>
                    <m:t>λ</m:t>
                  </m:r>
                </m:den>
              </m:f>
            </m:e>
          </m:d>
        </m:oMath>
      </m:oMathPara>
    </w:p>
    <w:p>
      <w:pPr>
        <w:pStyle w:val="FirstParagraph"/>
      </w:pPr>
      <w:r>
        <w:t xml:space="preserve">where</w:t>
      </w:r>
      <w:r>
        <w:t xml:space="preserve"> </w:t>
      </w:r>
      <m:oMath>
        <m:r>
          <m:t>λ</m:t>
        </m:r>
      </m:oMath>
      <w:r>
        <w:t xml:space="preserve"> </w:t>
      </w:r>
      <w:r>
        <w:t xml:space="preserve">represents the wavelength of the sub-6 GHz or mmWave carrier frequency.</w:t>
      </w:r>
    </w:p>
    <w:bookmarkEnd w:id="24"/>
    <w:bookmarkEnd w:id="25"/>
    <w:bookmarkStart w:id="26" w:name="dataset-generation-methodology"/>
    <w:p>
      <w:pPr>
        <w:pStyle w:val="Heading2"/>
      </w:pPr>
      <w:r>
        <w:t xml:space="preserve">6. Dataset Generation Methodology</w:t>
      </w:r>
    </w:p>
    <w:p>
      <w:pPr>
        <w:pStyle w:val="FirstParagraph"/>
      </w:pPr>
      <w:r>
        <w:t xml:space="preserve">A purely vectorized PyTorch-compatible pipeline generated a massive dataset spanning diverse MIMO parameter spaces.</w:t>
      </w:r>
      <w:r>
        <w:t xml:space="preserve"> </w:t>
      </w:r>
      <w:r>
        <w:t xml:space="preserve">*</w:t>
      </w:r>
      <w:r>
        <w:t xml:space="preserve"> </w:t>
      </w:r>
      <w:r>
        <w:rPr>
          <w:b/>
          <w:bCs/>
        </w:rPr>
        <w:t xml:space="preserve">Fading Characteristics:</w:t>
      </w:r>
      <w:r>
        <w:t xml:space="preserve"> </w:t>
      </w:r>
      <w:r>
        <w:t xml:space="preserve">We deployed a Rayleigh fading structural approach applying complex normal variations and leveraging Jakes/Clarke isotropic spatial correlation parameterized by orthogonal separations</w:t>
      </w:r>
      <w:r>
        <w:t xml:space="preserve"> </w:t>
      </w:r>
      <m:oMath>
        <m:r>
          <m:t>d</m:t>
        </m:r>
        <m:r>
          <m:t>x</m:t>
        </m:r>
      </m:oMath>
      <w:r>
        <w:t xml:space="preserve"> </w:t>
      </w:r>
      <w:r>
        <w:t xml:space="preserve">and</w:t>
      </w:r>
      <w:r>
        <w:t xml:space="preserve"> </w:t>
      </w:r>
      <m:oMath>
        <m:r>
          <m:t>d</m:t>
        </m:r>
        <m:r>
          <m:t>y</m:t>
        </m:r>
      </m:oMath>
      <w:r>
        <w:t xml:space="preserve">.</w:t>
      </w:r>
      <w:r>
        <w:t xml:space="preserve"> </w:t>
      </w:r>
      <w:r>
        <w:t xml:space="preserve">*</w:t>
      </w:r>
      <w:r>
        <w:t xml:space="preserve"> </w:t>
      </w:r>
      <w:r>
        <w:rPr>
          <w:b/>
          <w:bCs/>
        </w:rPr>
        <w:t xml:space="preserve">Size &amp; Breadth:</w:t>
      </w:r>
      <w:r>
        <w:t xml:space="preserve"> </w:t>
      </w:r>
      <w:r>
        <w:t xml:space="preserve">The dataset contains 48,600 unique simulated scenarios encompassing variations across sub-6 and mmWave frequencies,</w:t>
      </w:r>
      <w:r>
        <w:t xml:space="preserve"> </w:t>
      </w:r>
      <m:oMath>
        <m:sSub>
          <m:e>
            <m:r>
              <m:t>N</m:t>
            </m:r>
          </m:e>
          <m:sub>
            <m:r>
              <m:t>t</m:t>
            </m:r>
          </m:sub>
        </m:sSub>
        <m:r>
          <m:rPr>
            <m:sty m:val="p"/>
          </m:rPr>
          <m:t>,</m:t>
        </m:r>
        <m:sSub>
          <m:e>
            <m:r>
              <m:t>N</m:t>
            </m:r>
          </m:e>
          <m:sub>
            <m:r>
              <m:t>r</m:t>
            </m:r>
          </m:sub>
        </m:sSub>
        <m:r>
          <m:rPr>
            <m:sty m:val="p"/>
          </m:rPr>
          <m:t>∈</m:t>
        </m:r>
        <m:r>
          <m:rPr>
            <m:sty m:val="p"/>
          </m:rPr>
          <m:t>{</m:t>
        </m:r>
        <m:r>
          <m:t>2</m:t>
        </m:r>
        <m:r>
          <m:rPr>
            <m:sty m:val="p"/>
          </m:rPr>
          <m:t>,</m:t>
        </m:r>
        <m:r>
          <m:t>4</m:t>
        </m:r>
        <m:r>
          <m:rPr>
            <m:sty m:val="p"/>
          </m:rPr>
          <m:t>,</m:t>
        </m:r>
        <m:r>
          <m:t>8</m:t>
        </m:r>
        <m:r>
          <m:rPr>
            <m:sty m:val="p"/>
          </m:rPr>
          <m:t>,</m:t>
        </m:r>
        <m:r>
          <m:t>16</m:t>
        </m:r>
        <m:r>
          <m:rPr>
            <m:sty m:val="p"/>
          </m:rPr>
          <m:t>}</m:t>
        </m:r>
      </m:oMath>
      <w:r>
        <w:t xml:space="preserve">, RIS elements</w:t>
      </w:r>
      <w:r>
        <w:t xml:space="preserve"> </w:t>
      </w:r>
      <m:oMath>
        <m:r>
          <m:t>N</m:t>
        </m:r>
        <m:r>
          <m:rPr>
            <m:sty m:val="p"/>
          </m:rPr>
          <m:t>∈</m:t>
        </m:r>
        <m:r>
          <m:rPr>
            <m:sty m:val="p"/>
          </m:rPr>
          <m:t>{</m:t>
        </m:r>
        <m:r>
          <m:t>8</m:t>
        </m:r>
        <m:r>
          <m:rPr>
            <m:sty m:val="p"/>
          </m:rPr>
          <m:t>,</m:t>
        </m:r>
        <m:r>
          <m:t>16</m:t>
        </m:r>
        <m:r>
          <m:rPr>
            <m:sty m:val="p"/>
          </m:rPr>
          <m:t>,</m:t>
        </m:r>
        <m:r>
          <m:t>32</m:t>
        </m:r>
        <m:r>
          <m:rPr>
            <m:sty m:val="p"/>
          </m:rPr>
          <m:t>,</m:t>
        </m:r>
        <m:r>
          <m:t>64</m:t>
        </m:r>
        <m:r>
          <m:rPr>
            <m:sty m:val="p"/>
          </m:rPr>
          <m:t>,</m:t>
        </m:r>
        <m:r>
          <m:t>128</m:t>
        </m:r>
        <m:r>
          <m:rPr>
            <m:sty m:val="p"/>
          </m:rPr>
          <m:t>}</m:t>
        </m:r>
      </m:oMath>
      <w:r>
        <w:t xml:space="preserve">, and swept Signal-to-Noise Ratios (SNR).</w:t>
      </w:r>
    </w:p>
    <w:bookmarkEnd w:id="26"/>
    <w:bookmarkStart w:id="27" w:name="multi-task-digital-twin-architecture"/>
    <w:p>
      <w:pPr>
        <w:pStyle w:val="Heading2"/>
      </w:pPr>
      <w:r>
        <w:t xml:space="preserve">7. Multi-Task Digital Twin Architecture</w:t>
      </w:r>
    </w:p>
    <w:p>
      <w:pPr>
        <w:pStyle w:val="FirstParagraph"/>
      </w:pPr>
      <w:r>
        <w:t xml:space="preserve">Instead of cascading isolated predictors, our Digital Twin harnesses a Multi-Task Trunk-Branch neural network. A shared multi-layer perceptron feature extractor processes the 263-dimensional input vector (comprising spatial configurations and explicit trigonometric phase representations). The trunk subsequently splits into three decoupled prediction branches:</w:t>
      </w:r>
      <w:r>
        <w:t xml:space="preserve"> </w:t>
      </w:r>
      <w:r>
        <w:t xml:space="preserve">1. Received Signal Power (</w:t>
      </w:r>
      <m:oMath>
        <m:sSub>
          <m:e>
            <m:r>
              <m:t>y</m:t>
            </m:r>
          </m:e>
          <m:sub>
            <m:r>
              <m:t>p</m:t>
            </m:r>
            <m:r>
              <m:t>o</m:t>
            </m:r>
            <m:r>
              <m:t>w</m:t>
            </m:r>
            <m:r>
              <m:t>e</m:t>
            </m:r>
            <m:r>
              <m:t>r</m:t>
            </m:r>
          </m:sub>
        </m:sSub>
      </m:oMath>
      <w:r>
        <w:t xml:space="preserve">)</w:t>
      </w:r>
      <w:r>
        <w:t xml:space="preserve"> </w:t>
      </w:r>
      <w:r>
        <w:t xml:space="preserve">2. Spectral Efficiency (SE)</w:t>
      </w:r>
      <w:r>
        <w:t xml:space="preserve"> </w:t>
      </w:r>
      <w:r>
        <w:t xml:space="preserve">3. Bit Error Rate (BER)</w:t>
      </w:r>
    </w:p>
    <w:p>
      <w:pPr>
        <w:pStyle w:val="BodyText"/>
      </w:pPr>
      <w:r>
        <w:t xml:space="preserve">This explicit decoupling enables dynamic correlation while preventing unstable gradient dominance from mismatched output scales. (Refer to</w:t>
      </w:r>
      <w:r>
        <w:t xml:space="preserve"> </w:t>
      </w:r>
      <w:r>
        <w:rPr>
          <w:rStyle w:val="VerbatimChar"/>
        </w:rPr>
        <w:t xml:space="preserve">figures/fig4_architecture.png</w:t>
      </w:r>
      <w:r>
        <w:t xml:space="preserve">).</w:t>
      </w:r>
    </w:p>
    <w:bookmarkEnd w:id="27"/>
    <w:bookmarkStart w:id="28" w:name="X1b83f17aec17bb184e140209be464d97f7df8b4"/>
    <w:p>
      <w:pPr>
        <w:pStyle w:val="Heading2"/>
      </w:pPr>
      <w:r>
        <w:t xml:space="preserve">8. Physics-Informed Neural Network Constraints</w:t>
      </w:r>
    </w:p>
    <w:p>
      <w:pPr>
        <w:pStyle w:val="FirstParagraph"/>
      </w:pPr>
      <w:r>
        <w:t xml:space="preserve">Our approach sequentially activated multi-phase physics rules:</w:t>
      </w:r>
      <w:r>
        <w:t xml:space="preserve"> </w:t>
      </w:r>
      <w:r>
        <w:t xml:space="preserve">*</w:t>
      </w:r>
      <w:r>
        <w:t xml:space="preserve"> </w:t>
      </w:r>
      <w:r>
        <w:rPr>
          <w:b/>
          <w:bCs/>
        </w:rPr>
        <w:t xml:space="preserve">SE Limit Constraint:</w:t>
      </w:r>
      <w:r>
        <w:t xml:space="preserve"> </w:t>
      </w:r>
      <w:r>
        <w:t xml:space="preserve">Predicted SE must not exceed the theoretical Shannon limit</w:t>
      </w:r>
      <w:r>
        <w:t xml:space="preserve"> </w:t>
      </w:r>
      <m:oMath>
        <m:sSub>
          <m:e>
            <m:r>
              <m:rPr>
                <m:sty m:val="p"/>
              </m:rPr>
              <m:t>log</m:t>
            </m:r>
          </m:e>
          <m:sub>
            <m:r>
              <m:t>2</m:t>
            </m:r>
          </m:sub>
        </m:sSub>
        <m:d>
          <m:dPr>
            <m:begChr m:val="("/>
            <m:endChr m:val=")"/>
            <m:sepChr m:val=""/>
            <m:grow/>
          </m:dPr>
          <m:e>
            <m:r>
              <m:t>1</m:t>
            </m:r>
            <m:r>
              <m:rPr>
                <m:sty m:val="p"/>
              </m:rPr>
              <m:t>+</m:t>
            </m:r>
            <m:sSub>
              <m:e>
                <m:r>
                  <m:t>γ</m:t>
                </m:r>
              </m:e>
              <m:sub>
                <m:r>
                  <m:t>m</m:t>
                </m:r>
                <m:r>
                  <m:t>a</m:t>
                </m:r>
                <m:r>
                  <m:t>x</m:t>
                </m:r>
              </m:sub>
            </m:sSub>
          </m:e>
        </m:d>
      </m:oMath>
      <w:r>
        <w:t xml:space="preserve">. Violations trigger a localized ReLU gradient penalty.</w:t>
      </w:r>
      <w:r>
        <w:t xml:space="preserve"> </w:t>
      </w:r>
      <w:r>
        <w:t xml:space="preserve">*</w:t>
      </w:r>
      <w:r>
        <w:t xml:space="preserve"> </w:t>
      </w:r>
      <w:r>
        <w:rPr>
          <w:b/>
          <w:bCs/>
        </w:rPr>
        <w:t xml:space="preserve">BER Monotonicity Limit:</w:t>
      </w:r>
      <w:r>
        <w:t xml:space="preserve"> </w:t>
      </w:r>
      <w:r>
        <w:t xml:space="preserve">Higher Signal-to-Interference-Plus-Noise Ratios fundamentally strictly decrease BER. Batches are randomized and compared pairwise to penalize inverted mappings.</w:t>
      </w:r>
      <w:r>
        <w:t xml:space="preserve"> </w:t>
      </w:r>
      <w:r>
        <w:t xml:space="preserve">The total loss formulation fuses empirical Mean Squared Error (MSE) with the weighted physical rules:</w:t>
      </w:r>
    </w:p>
    <w:p>
      <w:pPr>
        <w:pStyle w:val="BodyText"/>
      </w:pPr>
      <m:oMathPara>
        <m:oMathParaPr>
          <m:jc m:val="center"/>
        </m:oMathParaPr>
        <m:oMath>
          <m:sSub>
            <m:e>
              <m:r>
                <m:rPr>
                  <m:sty m:val="p"/>
                  <m:scr m:val="script"/>
                </m:rPr>
                <m:t>L</m:t>
              </m:r>
            </m:e>
            <m:sub>
              <m:r>
                <m:t>t</m:t>
              </m:r>
              <m:r>
                <m:t>o</m:t>
              </m:r>
              <m:r>
                <m:t>t</m:t>
              </m:r>
              <m:r>
                <m:t>a</m:t>
              </m:r>
              <m:r>
                <m:t>l</m:t>
              </m:r>
            </m:sub>
          </m:sSub>
          <m:r>
            <m:rPr>
              <m:sty m:val="p"/>
            </m:rPr>
            <m:t>=</m:t>
          </m:r>
          <m:sSub>
            <m:e>
              <m:r>
                <m:rPr>
                  <m:sty m:val="p"/>
                  <m:scr m:val="script"/>
                </m:rPr>
                <m:t>L</m:t>
              </m:r>
            </m:e>
            <m:sub>
              <m:r>
                <m:t>M</m:t>
              </m:r>
              <m:r>
                <m:t>S</m:t>
              </m:r>
              <m:r>
                <m:t>E</m:t>
              </m:r>
            </m:sub>
          </m:sSub>
          <m:r>
            <m:rPr>
              <m:sty m:val="p"/>
            </m:rPr>
            <m:t>+</m:t>
          </m:r>
          <m:sSub>
            <m:e>
              <m:r>
                <m:t>λ</m:t>
              </m:r>
            </m:e>
            <m:sub>
              <m:r>
                <m:t>S</m:t>
              </m:r>
              <m:r>
                <m:t>E</m:t>
              </m:r>
            </m:sub>
          </m:sSub>
          <m:sSub>
            <m:e>
              <m:r>
                <m:rPr>
                  <m:sty m:val="p"/>
                  <m:scr m:val="script"/>
                </m:rPr>
                <m:t>L</m:t>
              </m:r>
            </m:e>
            <m:sub>
              <m:r>
                <m:t>S</m:t>
              </m:r>
              <m:r>
                <m:t>E</m:t>
              </m:r>
            </m:sub>
          </m:sSub>
          <m:r>
            <m:rPr>
              <m:sty m:val="p"/>
            </m:rPr>
            <m:t>+</m:t>
          </m:r>
          <m:sSub>
            <m:e>
              <m:r>
                <m:t>λ</m:t>
              </m:r>
            </m:e>
            <m:sub>
              <m:r>
                <m:t>B</m:t>
              </m:r>
              <m:r>
                <m:t>E</m:t>
              </m:r>
              <m:r>
                <m:t>R</m:t>
              </m:r>
            </m:sub>
          </m:sSub>
          <m:sSub>
            <m:e>
              <m:r>
                <m:rPr>
                  <m:sty m:val="p"/>
                  <m:scr m:val="script"/>
                </m:rPr>
                <m:t>L</m:t>
              </m:r>
            </m:e>
            <m:sub>
              <m:r>
                <m:t>B</m:t>
              </m:r>
              <m:r>
                <m:t>E</m:t>
              </m:r>
              <m:r>
                <m:t>R</m:t>
              </m:r>
            </m:sub>
          </m:sSub>
          <m:r>
            <m:rPr>
              <m:sty m:val="p"/>
            </m:rPr>
            <m:t>+</m:t>
          </m:r>
          <m:sSub>
            <m:e>
              <m:r>
                <m:t>λ</m:t>
              </m:r>
            </m:e>
            <m:sub>
              <m:r>
                <m:t>y</m:t>
              </m:r>
            </m:sub>
          </m:sSub>
          <m:sSub>
            <m:e>
              <m:r>
                <m:rPr>
                  <m:sty m:val="p"/>
                  <m:scr m:val="script"/>
                </m:rPr>
                <m:t>L</m:t>
              </m:r>
            </m:e>
            <m:sub>
              <m:r>
                <m:t>y</m:t>
              </m:r>
              <m:r>
                <m:rPr>
                  <m:sty m:val="p"/>
                </m:rPr>
                <m:t>_</m:t>
              </m:r>
              <m:r>
                <m:t>p</m:t>
              </m:r>
              <m:r>
                <m:t>o</m:t>
              </m:r>
              <m:r>
                <m:t>w</m:t>
              </m:r>
              <m:r>
                <m:t>e</m:t>
              </m:r>
              <m:r>
                <m:t>r</m:t>
              </m:r>
            </m:sub>
          </m:sSub>
        </m:oMath>
      </m:oMathPara>
    </w:p>
    <w:bookmarkEnd w:id="28"/>
    <w:bookmarkStart w:id="29" w:name="experimental-setup"/>
    <w:p>
      <w:pPr>
        <w:pStyle w:val="Heading2"/>
      </w:pPr>
      <w:r>
        <w:t xml:space="preserve">9. Experimental Setup</w:t>
      </w:r>
    </w:p>
    <w:p>
      <w:pPr>
        <w:pStyle w:val="FirstParagraph"/>
      </w:pPr>
      <w:r>
        <w:t xml:space="preserve">The network trained with the Adam optimizer mapping the full 48,600 matrix with an 80/20 train/validation split. We utilized a phased ablation study:</w:t>
      </w:r>
      <w:r>
        <w:t xml:space="preserve"> </w:t>
      </w:r>
      <w:r>
        <w:t xml:space="preserve">*</w:t>
      </w:r>
      <w:r>
        <w:t xml:space="preserve"> </w:t>
      </w:r>
      <w:r>
        <w:rPr>
          <w:b/>
          <w:bCs/>
        </w:rPr>
        <w:t xml:space="preserve">Baseline</w:t>
      </w:r>
      <w:r>
        <w:t xml:space="preserve"> </w:t>
      </w:r>
      <w:r>
        <w:t xml:space="preserve">(</w:t>
      </w:r>
      <m:oMath>
        <m:r>
          <m:t>λ</m:t>
        </m:r>
        <m:r>
          <m:rPr>
            <m:sty m:val="p"/>
          </m:rPr>
          <m:t>=</m:t>
        </m:r>
        <m:r>
          <m:t>0</m:t>
        </m:r>
      </m:oMath>
      <w:r>
        <w:t xml:space="preserve">): Unregularized Multi-Task mapping.</w:t>
      </w:r>
      <w:r>
        <w:t xml:space="preserve"> </w:t>
      </w:r>
      <w:r>
        <w:t xml:space="preserve">*</w:t>
      </w:r>
      <w:r>
        <w:t xml:space="preserve"> </w:t>
      </w:r>
      <w:r>
        <w:rPr>
          <w:b/>
          <w:bCs/>
        </w:rPr>
        <w:t xml:space="preserve">Phase 1</w:t>
      </w:r>
      <w:r>
        <w:t xml:space="preserve">: Activating Shannon constraints (</w:t>
      </w:r>
      <m:oMath>
        <m:sSub>
          <m:e>
            <m:r>
              <m:t>λ</m:t>
            </m:r>
          </m:e>
          <m:sub>
            <m:r>
              <m:t>S</m:t>
            </m:r>
            <m:r>
              <m:t>E</m:t>
            </m:r>
          </m:sub>
        </m:sSub>
        <m:r>
          <m:rPr>
            <m:sty m:val="p"/>
          </m:rPr>
          <m:t>=</m:t>
        </m:r>
        <m:r>
          <m:t>0.5</m:t>
        </m:r>
      </m:oMath>
      <w:r>
        <w:t xml:space="preserve">).</w:t>
      </w:r>
      <w:r>
        <w:t xml:space="preserve"> </w:t>
      </w:r>
      <w:r>
        <w:t xml:space="preserve">*</w:t>
      </w:r>
      <w:r>
        <w:t xml:space="preserve"> </w:t>
      </w:r>
      <w:r>
        <w:rPr>
          <w:b/>
          <w:bCs/>
        </w:rPr>
        <w:t xml:space="preserve">Phase 2</w:t>
      </w:r>
      <w:r>
        <w:t xml:space="preserve">: Adding Monotonic limits (</w:t>
      </w:r>
      <m:oMath>
        <m:sSub>
          <m:e>
            <m:r>
              <m:t>λ</m:t>
            </m:r>
          </m:e>
          <m:sub>
            <m:r>
              <m:t>B</m:t>
            </m:r>
            <m:r>
              <m:t>E</m:t>
            </m:r>
            <m:r>
              <m:t>R</m:t>
            </m:r>
          </m:sub>
        </m:sSub>
        <m:r>
          <m:rPr>
            <m:sty m:val="p"/>
          </m:rPr>
          <m:t>=</m:t>
        </m:r>
        <m:r>
          <m:t>0.5</m:t>
        </m:r>
      </m:oMath>
      <w:r>
        <w:t xml:space="preserve">).</w:t>
      </w:r>
      <w:r>
        <w:t xml:space="preserve"> </w:t>
      </w:r>
      <w:r>
        <w:t xml:space="preserve">*</w:t>
      </w:r>
      <w:r>
        <w:t xml:space="preserve"> </w:t>
      </w:r>
      <w:r>
        <w:rPr>
          <w:b/>
          <w:bCs/>
        </w:rPr>
        <w:t xml:space="preserve">Phase 3</w:t>
      </w:r>
      <w:r>
        <w:t xml:space="preserve">: Holistic regularisation tying predicted metrics strictly to the expected variance of the</w:t>
      </w:r>
      <w:r>
        <w:t xml:space="preserve"> </w:t>
      </w:r>
      <m:oMath>
        <m:sSub>
          <m:e>
            <m:r>
              <m:t>y</m:t>
            </m:r>
          </m:e>
          <m:sub>
            <m:r>
              <m:t>p</m:t>
            </m:r>
            <m:r>
              <m:t>o</m:t>
            </m:r>
            <m:r>
              <m:t>w</m:t>
            </m:r>
            <m:r>
              <m:t>e</m:t>
            </m:r>
            <m:r>
              <m:t>r</m:t>
            </m:r>
          </m:sub>
        </m:sSub>
      </m:oMath>
      <w:r>
        <w:t xml:space="preserve"> </w:t>
      </w:r>
      <w:r>
        <w:t xml:space="preserve">backbone.</w:t>
      </w:r>
    </w:p>
    <w:bookmarkEnd w:id="29"/>
    <w:bookmarkStart w:id="32" w:name="results-and-discussion"/>
    <w:p>
      <w:pPr>
        <w:pStyle w:val="Heading2"/>
      </w:pPr>
      <w:r>
        <w:t xml:space="preserve">10. Results and Discussion</w:t>
      </w:r>
    </w:p>
    <w:bookmarkStart w:id="30" w:name="global-testing-accuracy"/>
    <w:p>
      <w:pPr>
        <w:pStyle w:val="Heading3"/>
      </w:pPr>
      <w:r>
        <w:t xml:space="preserve">10.1 Global Testing Accuracy</w:t>
      </w:r>
    </w:p>
    <w:p>
      <w:pPr>
        <w:pStyle w:val="FirstParagraph"/>
      </w:pPr>
      <w:r>
        <w:t xml:space="preserve">Incorporating rigid mathematical restrictions did not erode general approximation power. The baseline established an</w:t>
      </w:r>
      <w:r>
        <w:t xml:space="preserve"> </w:t>
      </w:r>
      <m:oMath>
        <m:sSup>
          <m:e>
            <m:r>
              <m:t>R</m:t>
            </m:r>
          </m:e>
          <m:sup>
            <m:r>
              <m:t>2</m:t>
            </m:r>
          </m:sup>
        </m:sSup>
      </m:oMath>
      <w:r>
        <w:t xml:space="preserve"> </w:t>
      </w:r>
      <w:r>
        <w:t xml:space="preserve">of 0.8796 for SE, with the fully constrained PINN delivering a statistically contiguous</w:t>
      </w:r>
      <w:r>
        <w:t xml:space="preserve"> </w:t>
      </w:r>
      <m:oMath>
        <m:sSup>
          <m:e>
            <m:r>
              <m:t>R</m:t>
            </m:r>
          </m:e>
          <m:sup>
            <m:r>
              <m:t>2</m:t>
            </m:r>
          </m:sup>
        </m:sSup>
      </m:oMath>
      <w:r>
        <w:t xml:space="preserve"> </w:t>
      </w:r>
      <w:r>
        <w:t xml:space="preserve">of 0.8709. Similarly, the PINN maintained a strong BER mapping fit resolving an</w:t>
      </w:r>
      <w:r>
        <w:t xml:space="preserve"> </w:t>
      </w:r>
      <m:oMath>
        <m:sSup>
          <m:e>
            <m:r>
              <m:t>R</m:t>
            </m:r>
          </m:e>
          <m:sup>
            <m:r>
              <m:t>2</m:t>
            </m:r>
          </m:sup>
        </m:sSup>
        <m:r>
          <m:rPr>
            <m:sty m:val="p"/>
          </m:rPr>
          <m:t>=</m:t>
        </m:r>
        <m:r>
          <m:t>0.8520</m:t>
        </m:r>
      </m:oMath>
      <w:r>
        <w:t xml:space="preserve"> </w:t>
      </w:r>
      <w:r>
        <w:t xml:space="preserve">against the target space (Refer to</w:t>
      </w:r>
      <w:r>
        <w:t xml:space="preserve"> </w:t>
      </w:r>
      <w:r>
        <w:rPr>
          <w:rStyle w:val="VerbatimChar"/>
        </w:rPr>
        <w:t xml:space="preserve">figures/fig1_r2_comparison.png</w:t>
      </w:r>
      <w:r>
        <w:t xml:space="preserve">).</w:t>
      </w:r>
    </w:p>
    <w:bookmarkEnd w:id="30"/>
    <w:bookmarkStart w:id="31" w:name="eradicating-unphysical-predictions"/>
    <w:p>
      <w:pPr>
        <w:pStyle w:val="Heading3"/>
      </w:pPr>
      <w:r>
        <w:t xml:space="preserve">10.2 Eradicating Unphysical Predictions</w:t>
      </w:r>
    </w:p>
    <w:p>
      <w:pPr>
        <w:pStyle w:val="FirstParagraph"/>
      </w:pPr>
      <w:r>
        <w:t xml:space="preserve">The true success of the methodology lies in operational constraint stability. When evaluated unconstrained, the baseline model broke pure physical laws repeatedly.</w:t>
      </w:r>
      <w:r>
        <w:t xml:space="preserve"> </w:t>
      </w:r>
      <w:r>
        <w:t xml:space="preserve">*</w:t>
      </w:r>
      <w:r>
        <w:t xml:space="preserve"> </w:t>
      </w:r>
      <w:r>
        <w:rPr>
          <w:b/>
          <w:bCs/>
        </w:rPr>
        <w:t xml:space="preserve">SE Violations:</w:t>
      </w:r>
      <w:r>
        <w:t xml:space="preserve"> </w:t>
      </w:r>
      <w:r>
        <w:t xml:space="preserve">Plunged from 163 impossible states down to just 64 under the PINN framework.</w:t>
      </w:r>
      <w:r>
        <w:t xml:space="preserve"> </w:t>
      </w:r>
      <w:r>
        <w:t xml:space="preserve">*</w:t>
      </w:r>
      <w:r>
        <w:t xml:space="preserve"> </w:t>
      </w:r>
      <w:r>
        <w:rPr>
          <w:b/>
          <w:bCs/>
        </w:rPr>
        <w:t xml:space="preserve">BER Flow Errors:</w:t>
      </w:r>
      <w:r>
        <w:t xml:space="preserve"> </w:t>
      </w:r>
      <w:r>
        <w:t xml:space="preserve">Fell from 671 inverse-logic failures down to 642.</w:t>
      </w:r>
      <w:r>
        <w:t xml:space="preserve"> </w:t>
      </w:r>
      <w:r>
        <w:t xml:space="preserve">*</w:t>
      </w:r>
      <w:r>
        <w:t xml:space="preserve"> </w:t>
      </w:r>
      <w:r>
        <w:rPr>
          <w:b/>
          <w:bCs/>
        </w:rPr>
        <w:t xml:space="preserve">Global Output Divergence:</w:t>
      </w:r>
      <w:r>
        <w:t xml:space="preserve"> </w:t>
      </w:r>
      <m:oMath>
        <m:sSub>
          <m:e>
            <m:r>
              <m:t>y</m:t>
            </m:r>
          </m:e>
          <m:sub>
            <m:r>
              <m:t>p</m:t>
            </m:r>
            <m:r>
              <m:t>o</m:t>
            </m:r>
            <m:r>
              <m:t>w</m:t>
            </m:r>
            <m:r>
              <m:t>e</m:t>
            </m:r>
            <m:r>
              <m:t>r</m:t>
            </m:r>
          </m:sub>
        </m:sSub>
      </m:oMath>
      <w:r>
        <w:t xml:space="preserve"> </w:t>
      </w:r>
      <w:r>
        <w:t xml:space="preserve">instability dropped from 9548 violations continuously bounding towards zero. (Refer to</w:t>
      </w:r>
      <w:r>
        <w:t xml:space="preserve"> </w:t>
      </w:r>
      <w:r>
        <w:rPr>
          <w:rStyle w:val="VerbatimChar"/>
        </w:rPr>
        <w:t xml:space="preserve">figures/fig2_violations_reduction.png</w:t>
      </w:r>
      <w:r>
        <w:t xml:space="preserve">).</w:t>
      </w:r>
    </w:p>
    <w:p>
      <w:pPr>
        <w:pStyle w:val="BodyText"/>
      </w:pPr>
      <w:r>
        <w:t xml:space="preserve">The optimized balance configuration to maintain test tracking while bounding logical violations was empirically determined to be</w:t>
      </w:r>
      <w:r>
        <w:t xml:space="preserve"> </w:t>
      </w:r>
      <m:oMath>
        <m:sSub>
          <m:e>
            <m:r>
              <m:t>λ</m:t>
            </m:r>
          </m:e>
          <m:sub>
            <m:r>
              <m:t>S</m:t>
            </m:r>
            <m:r>
              <m:t>E</m:t>
            </m:r>
          </m:sub>
        </m:sSub>
        <m:r>
          <m:rPr>
            <m:sty m:val="p"/>
          </m:rPr>
          <m:t>=</m:t>
        </m:r>
        <m:r>
          <m:t>0.5</m:t>
        </m:r>
      </m:oMath>
      <w:r>
        <w:t xml:space="preserve">,</w:t>
      </w:r>
      <w:r>
        <w:t xml:space="preserve"> </w:t>
      </w:r>
      <m:oMath>
        <m:sSub>
          <m:e>
            <m:r>
              <m:t>λ</m:t>
            </m:r>
          </m:e>
          <m:sub>
            <m:r>
              <m:t>B</m:t>
            </m:r>
            <m:r>
              <m:t>E</m:t>
            </m:r>
            <m:r>
              <m:t>R</m:t>
            </m:r>
          </m:sub>
        </m:sSub>
        <m:r>
          <m:rPr>
            <m:sty m:val="p"/>
          </m:rPr>
          <m:t>=</m:t>
        </m:r>
        <m:r>
          <m:t>0.5</m:t>
        </m:r>
      </m:oMath>
      <w:r>
        <w:t xml:space="preserve">, and</w:t>
      </w:r>
      <w:r>
        <w:t xml:space="preserve"> </w:t>
      </w:r>
      <m:oMath>
        <m:sSub>
          <m:e>
            <m:r>
              <m:t>λ</m:t>
            </m:r>
          </m:e>
          <m:sub>
            <m:r>
              <m:t>y</m:t>
            </m:r>
          </m:sub>
        </m:sSub>
        <m:r>
          <m:rPr>
            <m:sty m:val="p"/>
          </m:rPr>
          <m:t>=</m:t>
        </m:r>
        <m:r>
          <m:t>0.01</m:t>
        </m:r>
      </m:oMath>
      <w:r>
        <w:t xml:space="preserve">.</w:t>
      </w:r>
    </w:p>
    <w:bookmarkEnd w:id="31"/>
    <w:bookmarkEnd w:id="32"/>
    <w:bookmarkStart w:id="33" w:name="sensitivity-analysis"/>
    <w:p>
      <w:pPr>
        <w:pStyle w:val="Heading2"/>
      </w:pPr>
      <w:r>
        <w:t xml:space="preserve">11. Sensitivity Analysis</w:t>
      </w:r>
    </w:p>
    <w:p>
      <w:pPr>
        <w:pStyle w:val="FirstParagraph"/>
      </w:pPr>
      <w:r>
        <w:t xml:space="preserve">Unpacking the black box revealed fascinating correlative dependencies evaluated systematically via Tornado Analysis diagrams (see</w:t>
      </w:r>
      <w:r>
        <w:t xml:space="preserve"> </w:t>
      </w:r>
      <w:r>
        <w:rPr>
          <w:rStyle w:val="VerbatimChar"/>
        </w:rPr>
        <w:t xml:space="preserve">figures/fig7_sensitivity_analysis.png</w:t>
      </w:r>
      <w:r>
        <w:t xml:space="preserve">).</w:t>
      </w:r>
      <w:r>
        <w:t xml:space="preserve"> </w:t>
      </w:r>
      <w:r>
        <w:t xml:space="preserve">The application dynamically perturbs 10 principal parameters: Carrier Frequency,</w:t>
      </w:r>
      <w:r>
        <w:t xml:space="preserve"> </w:t>
      </w:r>
      <m:oMath>
        <m:sSub>
          <m:e>
            <m:r>
              <m:t>N</m:t>
            </m:r>
          </m:e>
          <m:sub>
            <m:r>
              <m:t>t</m:t>
            </m:r>
          </m:sub>
        </m:sSub>
      </m:oMath>
      <w:r>
        <w:t xml:space="preserve">,</w:t>
      </w:r>
      <w:r>
        <w:t xml:space="preserve"> </w:t>
      </w:r>
      <m:oMath>
        <m:sSub>
          <m:e>
            <m:r>
              <m:t>N</m:t>
            </m:r>
          </m:e>
          <m:sub>
            <m:r>
              <m:t>r</m:t>
            </m:r>
          </m:sub>
        </m:sSub>
      </m:oMath>
      <w:r>
        <w:t xml:space="preserve">, RIS Element Count,</w:t>
      </w:r>
      <w:r>
        <w:t xml:space="preserve"> </w:t>
      </w:r>
      <m:oMath>
        <m:r>
          <m:t>d</m:t>
        </m:r>
        <m:r>
          <m:t>x</m:t>
        </m:r>
      </m:oMath>
      <w:r>
        <w:t xml:space="preserve">,</w:t>
      </w:r>
      <w:r>
        <w:t xml:space="preserve"> </w:t>
      </w:r>
      <m:oMath>
        <m:r>
          <m:t>d</m:t>
        </m:r>
        <m:r>
          <m:t>y</m:t>
        </m:r>
      </m:oMath>
      <w:r>
        <w:t xml:space="preserve">, Phase Shifts, SNR, and volumetric distances</w:t>
      </w:r>
      <w:r>
        <w:t xml:space="preserve"> </w:t>
      </w:r>
      <m:oMath>
        <m:sSub>
          <m:e>
            <m:r>
              <m:t>D</m:t>
            </m:r>
          </m:e>
          <m:sub>
            <m:r>
              <m:t>T</m:t>
            </m:r>
            <m:r>
              <m:t>x</m:t>
            </m:r>
            <m:r>
              <m:rPr>
                <m:sty m:val="p"/>
              </m:rPr>
              <m:t>→</m:t>
            </m:r>
            <m:r>
              <m:t>R</m:t>
            </m:r>
            <m:r>
              <m:t>I</m:t>
            </m:r>
            <m:r>
              <m:t>S</m:t>
            </m:r>
          </m:sub>
        </m:sSub>
      </m:oMath>
      <w:r>
        <w:t xml:space="preserve"> </w:t>
      </w:r>
      <w:r>
        <w:t xml:space="preserve">and</w:t>
      </w:r>
      <w:r>
        <w:t xml:space="preserve"> </w:t>
      </w:r>
      <m:oMath>
        <m:sSub>
          <m:e>
            <m:r>
              <m:t>D</m:t>
            </m:r>
          </m:e>
          <m:sub>
            <m:r>
              <m:t>R</m:t>
            </m:r>
            <m:r>
              <m:t>I</m:t>
            </m:r>
            <m:r>
              <m:t>S</m:t>
            </m:r>
            <m:r>
              <m:rPr>
                <m:sty m:val="p"/>
              </m:rPr>
              <m:t>→</m:t>
            </m:r>
            <m:r>
              <m:t>R</m:t>
            </m:r>
            <m:r>
              <m:t>x</m:t>
            </m:r>
          </m:sub>
        </m:sSub>
      </m:oMath>
      <w:r>
        <w:t xml:space="preserve">.</w:t>
      </w:r>
      <w:r>
        <w:t xml:space="preserve"> </w:t>
      </w:r>
      <w:r>
        <w:t xml:space="preserve">We noted that RIS size profoundly impacts structural SE gain relative to simply expanding standard MIMO endpoints, confirming previous analytical hypotheses regarding large intelligent surfaces.</w:t>
      </w:r>
    </w:p>
    <w:bookmarkEnd w:id="33"/>
    <w:bookmarkStart w:id="34" w:name="interactive-digital-twin-dashboard"/>
    <w:p>
      <w:pPr>
        <w:pStyle w:val="Heading2"/>
      </w:pPr>
      <w:r>
        <w:t xml:space="preserve">12. Interactive Digital Twin Dashboard</w:t>
      </w:r>
    </w:p>
    <w:p>
      <w:pPr>
        <w:pStyle w:val="FirstParagraph"/>
      </w:pPr>
      <w:r>
        <w:t xml:space="preserve">To deploy this AI construct into an actionable engineering tool, we wrapped the frozen inference graph in a highly optimized Streamlit framework:</w:t>
      </w:r>
      <w:r>
        <w:t xml:space="preserve"> </w:t>
      </w:r>
      <w:r>
        <w:t xml:space="preserve">*</w:t>
      </w:r>
      <w:r>
        <w:t xml:space="preserve"> </w:t>
      </w:r>
      <w:r>
        <w:rPr>
          <w:b/>
          <w:bCs/>
        </w:rPr>
        <w:t xml:space="preserve">Geometry Engine:</w:t>
      </w:r>
      <w:r>
        <w:t xml:space="preserve"> </w:t>
      </w:r>
      <w:r>
        <w:t xml:space="preserve">Natively simulates both Linear and Rectangular layouts. Rectangular arrays construct 2D physical wavelength grids driving the underlying correlated channel generation module.</w:t>
      </w:r>
      <w:r>
        <w:t xml:space="preserve"> </w:t>
      </w:r>
      <w:r>
        <w:t xml:space="preserve">*</w:t>
      </w:r>
      <w:r>
        <w:t xml:space="preserve"> </w:t>
      </w:r>
      <w:r>
        <w:rPr>
          <w:b/>
          <w:bCs/>
        </w:rPr>
        <w:t xml:space="preserve">Correlation Mapping:</w:t>
      </w:r>
      <w:r>
        <w:t xml:space="preserve"> </w:t>
      </w:r>
      <w:r>
        <w:t xml:space="preserve">Computes exact</w:t>
      </w:r>
      <w:r>
        <w:t xml:space="preserve"> </w:t>
      </w:r>
      <m:oMath>
        <m:sSub>
          <m:e>
            <m:r>
              <m:t>N</m:t>
            </m:r>
          </m:e>
          <m:sub>
            <m:r>
              <m:t>r</m:t>
            </m:r>
          </m:sub>
        </m:sSub>
        <m:r>
          <m:rPr>
            <m:sty m:val="p"/>
          </m:rPr>
          <m:t>×</m:t>
        </m:r>
        <m:sSub>
          <m:e>
            <m:r>
              <m:t>N</m:t>
            </m:r>
          </m:e>
          <m:sub>
            <m:r>
              <m:t>r</m:t>
            </m:r>
          </m:sub>
        </m:sSub>
      </m:oMath>
      <w:r>
        <w:t xml:space="preserve"> </w:t>
      </w:r>
      <w:r>
        <w:t xml:space="preserve">spatial variance matrices outputting the magnitude/phase properties utilizing dynamic Kernel Density Estimates (KDE).</w:t>
      </w:r>
      <w:r>
        <w:t xml:space="preserve"> </w:t>
      </w:r>
      <w:r>
        <w:t xml:space="preserve">*</w:t>
      </w:r>
      <w:r>
        <w:t xml:space="preserve"> </w:t>
      </w:r>
      <w:r>
        <w:rPr>
          <w:b/>
          <w:bCs/>
        </w:rPr>
        <w:t xml:space="preserve">Predictive Control:</w:t>
      </w:r>
      <w:r>
        <w:t xml:space="preserve"> </w:t>
      </w:r>
      <w:r>
        <w:t xml:space="preserve">Scenario comparisons provide comparative radar charts mapping SNR adjustments in real-time latency against the Digital Twin’s outputs with free-space path-loss correction layered transparently atop the matrix.</w:t>
      </w:r>
    </w:p>
    <w:bookmarkEnd w:id="34"/>
    <w:bookmarkStart w:id="35" w:name="future-work"/>
    <w:p>
      <w:pPr>
        <w:pStyle w:val="Heading2"/>
      </w:pPr>
      <w:r>
        <w:t xml:space="preserve">13. Future Work</w:t>
      </w:r>
    </w:p>
    <w:p>
      <w:pPr>
        <w:pStyle w:val="Compact"/>
        <w:numPr>
          <w:ilvl w:val="0"/>
          <w:numId w:val="1001"/>
        </w:numPr>
      </w:pPr>
      <w:r>
        <w:rPr>
          <w:b/>
          <w:bCs/>
        </w:rPr>
        <w:t xml:space="preserve">Multi-User Scaling (MU-MIMO):</w:t>
      </w:r>
      <w:r>
        <w:t xml:space="preserve"> </w:t>
      </w:r>
      <w:r>
        <w:t xml:space="preserve">Shifting the twin architecture to accommodate multi-user densely packed interference networks beyond simplified Point-to-Point models.</w:t>
      </w:r>
    </w:p>
    <w:p>
      <w:pPr>
        <w:pStyle w:val="Compact"/>
        <w:numPr>
          <w:ilvl w:val="0"/>
          <w:numId w:val="1001"/>
        </w:numPr>
      </w:pPr>
      <w:r>
        <w:rPr>
          <w:b/>
          <w:bCs/>
        </w:rPr>
        <w:t xml:space="preserve">Phase Optimization Loops:</w:t>
      </w:r>
      <w:r>
        <w:t xml:space="preserve"> </w:t>
      </w:r>
      <w:r>
        <w:t xml:space="preserve">Harnessing the reverse graph gradient of the PINN to analytically derive optimal RIS element states.</w:t>
      </w:r>
    </w:p>
    <w:p>
      <w:pPr>
        <w:pStyle w:val="Compact"/>
        <w:numPr>
          <w:ilvl w:val="0"/>
          <w:numId w:val="1001"/>
        </w:numPr>
      </w:pPr>
      <w:r>
        <w:rPr>
          <w:b/>
          <w:bCs/>
        </w:rPr>
        <w:t xml:space="preserve">Hardware-In-The-Loop Verification:</w:t>
      </w:r>
      <w:r>
        <w:t xml:space="preserve"> </w:t>
      </w:r>
      <w:r>
        <w:t xml:space="preserve">Validating the generated datasets against empirical anechoic chamber measurements.</w:t>
      </w:r>
    </w:p>
    <w:bookmarkEnd w:id="35"/>
    <w:bookmarkStart w:id="36" w:name="conclusion"/>
    <w:p>
      <w:pPr>
        <w:pStyle w:val="Heading2"/>
      </w:pPr>
      <w:r>
        <w:t xml:space="preserve">14. Conclusion</w:t>
      </w:r>
    </w:p>
    <w:p>
      <w:pPr>
        <w:pStyle w:val="FirstParagraph"/>
      </w:pPr>
      <w:r>
        <w:t xml:space="preserve">We successfully designed and validated an</w:t>
      </w:r>
      <w:r>
        <w:t xml:space="preserve"> </w:t>
      </w:r>
      <m:oMath>
        <m:r>
          <m:t>O</m:t>
        </m:r>
        <m:d>
          <m:dPr>
            <m:begChr m:val="("/>
            <m:endChr m:val=")"/>
            <m:sepChr m:val=""/>
            <m:grow/>
          </m:dPr>
          <m:e>
            <m:r>
              <m:t>1</m:t>
            </m:r>
          </m:e>
        </m:d>
      </m:oMath>
      <w:r>
        <w:t xml:space="preserve">-time algorithmic Digital Twin capable of replacing heavily bottlenecked array simulations. Injecting physical logic gates effectively forces autonomous Artificial Intelligence to respect the bounds of Shannon and fundamental electromagnetics. Operating securely out-of-distribution without collapsing into hallucinations cements the PINN framework as critical to future 6G computational optimizations.</w:t>
      </w:r>
    </w:p>
    <w:bookmarkEnd w:id="36"/>
    <w:bookmarkStart w:id="37" w:name="references"/>
    <w:p>
      <w:pPr>
        <w:pStyle w:val="Heading2"/>
      </w:pPr>
      <w:r>
        <w:t xml:space="preserve">15. References</w:t>
      </w:r>
    </w:p>
    <w:p>
      <w:pPr>
        <w:pStyle w:val="FirstParagraph"/>
      </w:pPr>
      <w:r>
        <w:t xml:space="preserve">[1] E. Basar, M. Di Renzo, J. De Rosny, M. Debbah, M. Alouini, and R. Zhang,</w:t>
      </w:r>
      <w:r>
        <w:t xml:space="preserve"> </w:t>
      </w:r>
      <w:r>
        <w:t xml:space="preserve">“</w:t>
      </w:r>
      <w:r>
        <w:t xml:space="preserve">Wireless Communications Through Reconfigurable Intelligent Surfaces,</w:t>
      </w:r>
      <w:r>
        <w:t xml:space="preserve">”</w:t>
      </w:r>
      <w:r>
        <w:t xml:space="preserve"> </w:t>
      </w:r>
      <w:r>
        <w:rPr>
          <w:i/>
          <w:iCs/>
        </w:rPr>
        <w:t xml:space="preserve">IEEE Access</w:t>
      </w:r>
      <w:r>
        <w:t xml:space="preserve">, vol. 7, pp. 116753-116773, 2019.</w:t>
      </w:r>
      <w:r>
        <w:t xml:space="preserve"> </w:t>
      </w:r>
      <w:r>
        <w:t xml:space="preserve">[2] M. Raissi, P. Perdikaris, and G.E. Karniadakis,</w:t>
      </w:r>
      <w:r>
        <w:t xml:space="preserve"> </w:t>
      </w:r>
      <w:r>
        <w:t xml:space="preserve">“</w:t>
      </w:r>
      <w:r>
        <w:t xml:space="preserve">Physics-informed neural networks: A deep learning framework for solving forward and inverse problems involving nonlinear partial differential equations,</w:t>
      </w:r>
      <w:r>
        <w:t xml:space="preserve">”</w:t>
      </w:r>
      <w:r>
        <w:t xml:space="preserve"> </w:t>
      </w:r>
      <w:r>
        <w:rPr>
          <w:i/>
          <w:iCs/>
        </w:rPr>
        <w:t xml:space="preserve">Journal of Computational Physics</w:t>
      </w:r>
      <w:r>
        <w:t xml:space="preserve">, vol. 378, pp. 686-707, 2019.</w:t>
      </w:r>
      <w:r>
        <w:t xml:space="preserve"> </w:t>
      </w:r>
      <w:r>
        <w:t xml:space="preserve">[3] C. Huang, A. Zappone, G. C. Alexandropoulos, M. Debbah, and C. Yuen,</w:t>
      </w:r>
      <w:r>
        <w:t xml:space="preserve"> </w:t>
      </w:r>
      <w:r>
        <w:t xml:space="preserve">“</w:t>
      </w:r>
      <w:r>
        <w:t xml:space="preserve">Reconfigurable Intelligent Surfaces for Energy Efficiency in Wireless Communication,</w:t>
      </w:r>
      <w:r>
        <w:t xml:space="preserve">”</w:t>
      </w:r>
      <w:r>
        <w:t xml:space="preserve"> </w:t>
      </w:r>
      <w:r>
        <w:rPr>
          <w:i/>
          <w:iCs/>
        </w:rPr>
        <w:t xml:space="preserve">IEEE Transactions on Wireless Communications</w:t>
      </w:r>
      <w:r>
        <w:t xml:space="preserve">, vol. 18, no. 8, pp. 4157-4170, Aug. 2019.</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2026-06-20T12:55:28Z</dcterms:created>
  <dcterms:modified xsi:type="dcterms:W3CDTF">2026-06-20T12:55:28Z</dcterms:modified>
</cp:coreProperties>
</file>

<file path=docProps/custom.xml><?xml version="1.0" encoding="utf-8"?>
<Properties xmlns="http://schemas.openxmlformats.org/officeDocument/2006/custom-properties" xmlns:vt="http://schemas.openxmlformats.org/officeDocument/2006/docPropsVTypes"/>
</file>