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0"/>
      </w:pPr>
      <w:r>
        <w:rPr>
          <w:sz w:val="2"/>
          <w:szCs w:val="2"/>
        </w:rPr>
        <w:t xml:space="preserve"> </w:t>
      </w:r>
    </w:p>
    <w:p>
      <w:pPr>
        <w:spacing w:after="400"/>
      </w:pPr>
    </w:p>
    <w:p>
      <w:pPr>
        <w:spacing w:after="60"/>
        <w:jc w:val="center"/>
      </w:pPr>
      <w:r>
        <w:rPr>
          <w:b/>
          <w:bCs/>
          <w:color w:val="8C96A6"/>
          <w:sz w:val="24"/>
          <w:szCs w:val="24"/>
        </w:rPr>
        <w:t xml:space="preserve">★ MERCEDES-BENZ ★</w:t>
      </w:r>
    </w:p>
    <w:p>
      <w:pPr>
        <w:spacing w:after="0"/>
        <w:jc w:val="center"/>
      </w:pPr>
      <w:r>
        <w:rPr>
          <w:b/>
          <w:bCs/>
          <w:color w:val="1B2A4A"/>
          <w:sz w:val="72"/>
          <w:szCs w:val="72"/>
        </w:rPr>
        <w:t xml:space="preserve">DECADE</w:t>
      </w:r>
    </w:p>
    <w:p>
      <w:pPr>
        <w:spacing w:after="200"/>
        <w:jc w:val="center"/>
      </w:pPr>
      <w:r>
        <w:rPr>
          <w:b/>
          <w:bCs/>
          <w:color w:val="B8791F"/>
          <w:sz w:val="44"/>
          <w:szCs w:val="44"/>
        </w:rPr>
        <w:t xml:space="preserve">PERFORMANCE REPORT</w:t>
      </w:r>
    </w:p>
    <w:p>
      <w:pPr>
        <w:spacing w:after="60"/>
        <w:jc w:val="center"/>
      </w:pPr>
      <w:r>
        <w:rPr>
          <w:b/>
          <w:bCs/>
          <w:color w:val="3B4A6B"/>
          <w:sz w:val="26"/>
          <w:szCs w:val="26"/>
        </w:rPr>
        <w:t xml:space="preserve">DESCRIPTIVE ANALYTICS</w:t>
      </w:r>
    </w:p>
    <w:p>
      <w:pPr>
        <w:pBdr>
          <w:bottom w:val="single" w:color="B8791F" w:sz="8" w:space="6"/>
        </w:pBdr>
        <w:spacing w:after="260"/>
        <w:jc w:val="center"/>
      </w:pPr>
      <w:r>
        <w:rPr>
          <w:sz w:val="2"/>
          <w:szCs w:val="2"/>
        </w:rPr>
        <w:t xml:space="preserve"> 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An analytical overview of Mercedes-Benz sales, pricing, and</w:t>
      </w:r>
    </w:p>
    <w:p>
      <w:pPr>
        <w:spacing w:after="380"/>
        <w:jc w:val="center"/>
      </w:pPr>
      <w:r>
        <w:rPr>
          <w:i/>
          <w:iCs/>
          <w:color w:val="444444"/>
          <w:sz w:val="22"/>
          <w:szCs w:val="22"/>
        </w:rPr>
        <w:t xml:space="preserve">profitability data to understand a decade of trends and patterns.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pct" w:w="25%"/>
            <w:shd w:fill="1B2A4A" w:val="clear"/>
            <w:tcMar>
              <w:top w:type="dxa" w:w="180"/>
              <w:left w:type="dxa" w:w="60"/>
              <w:bottom w:type="dxa" w:w="1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UNIT SALES</w:t>
            </w:r>
          </w:p>
        </w:tc>
        <w:tc>
          <w:tcPr>
            <w:tcW w:type="pct" w:w="25%"/>
            <w:shd w:fill="3B4A6B" w:val="clear"/>
            <w:tcMar>
              <w:top w:type="dxa" w:w="180"/>
              <w:left w:type="dxa" w:w="60"/>
              <w:bottom w:type="dxa" w:w="1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PRICING POWER</w:t>
            </w:r>
          </w:p>
        </w:tc>
        <w:tc>
          <w:tcPr>
            <w:tcW w:type="pct" w:w="25%"/>
            <w:shd w:fill="3B4A6B" w:val="clear"/>
            <w:tcMar>
              <w:top w:type="dxa" w:w="180"/>
              <w:left w:type="dxa" w:w="60"/>
              <w:bottom w:type="dxa" w:w="1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PROFITABILITY</w:t>
            </w:r>
          </w:p>
        </w:tc>
        <w:tc>
          <w:tcPr>
            <w:tcW w:type="pct" w:w="25%"/>
            <w:shd w:fill="1B2A4A" w:val="clear"/>
            <w:tcMar>
              <w:top w:type="dxa" w:w="180"/>
              <w:left w:type="dxa" w:w="60"/>
              <w:bottom w:type="dxa" w:w="1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GROWTH OUTLOOK</w:t>
            </w:r>
          </w:p>
        </w:tc>
      </w:tr>
    </w:tbl>
    <w:p>
      <w:pPr>
        <w:spacing w:after="600"/>
      </w:pPr>
    </w:p>
    <w:p>
      <w:pPr>
        <w:pBdr>
          <w:top w:val="single" w:color="CCCCCC" w:sz="4" w:space="8"/>
        </w:pBdr>
        <w:spacing w:before="200"/>
      </w:pPr>
      <w:r>
        <w:rPr>
          <w:sz w:val="2"/>
          <w:szCs w:val="2"/>
        </w:rPr>
        <w:t xml:space="preserve"> 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3B4A6B"/>
          <w:sz w:val="20"/>
          <w:szCs w:val="20"/>
        </w:rPr>
        <w:t xml:space="preserve">FY2015 – FY2024  |  Global Sales, Revenue &amp; Profitability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Prepared using a cleaned, formula-driven dataset compiled from public Mercedes-Benz Group / Daimler AG financial disclosures.</w:t>
      </w:r>
    </w:p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B8791F"/>
          <w:sz w:val="20"/>
          <w:szCs w:val="20"/>
        </w:rPr>
        <w:t xml:space="preserve">DESCRIPTIVE ANALYTICS REPORT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Mercedes-Benz Decade Performance</w:t>
      </w:r>
    </w:p>
    <w:p>
      <w:pPr>
        <w:spacing w:after="260" w:before="0"/>
      </w:pPr>
      <w:r>
        <w:rPr>
          <w:rFonts w:ascii="Calibri" w:cs="Calibri" w:eastAsia="Calibri" w:hAnsi="Calibri"/>
          <w:color w:val="3B4A6B"/>
          <w:sz w:val="22"/>
          <w:szCs w:val="22"/>
        </w:rPr>
        <w:t xml:space="preserve">Sales, Pricing &amp; Profitability Analysis — FY2015–FY2024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20" w:before="0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Name: </w:t>
            </w:r>
            <w:r>
              <w:rPr>
                <w:color w:val="222222"/>
                <w:sz w:val="21"/>
                <w:szCs w:val="21"/>
              </w:rPr>
              <w:t xml:space="preserve">Anshu Yadav</w:t>
            </w:r>
          </w:p>
          <w:p>
            <w:pPr>
              <w:spacing w:after="120" w:before="0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Class: </w:t>
            </w:r>
            <w:r>
              <w:rPr>
                <w:color w:val="222222"/>
                <w:sz w:val="21"/>
                <w:szCs w:val="21"/>
              </w:rPr>
              <w:t xml:space="preserve">BCA DS 22</w:t>
            </w:r>
          </w:p>
        </w:tc>
        <w:tc>
          <w:tcPr>
            <w:tcW w:type="pct" w:w="50%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20" w:before="0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Submitted To: </w:t>
            </w:r>
            <w:r>
              <w:rPr>
                <w:color w:val="222222"/>
                <w:sz w:val="21"/>
                <w:szCs w:val="21"/>
              </w:rPr>
              <w:t xml:space="preserve">Monica Mam</w:t>
            </w:r>
          </w:p>
          <w:p>
            <w:pPr>
              <w:spacing w:after="120" w:before="0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Roll No.: </w:t>
            </w:r>
            <w:r>
              <w:rPr>
                <w:color w:val="222222"/>
                <w:sz w:val="21"/>
                <w:szCs w:val="21"/>
              </w:rPr>
              <w:t xml:space="preserve">1250258104</w:t>
            </w:r>
          </w:p>
        </w:tc>
      </w:tr>
    </w:tbl>
    <w:p>
      <w:pPr>
        <w:spacing w:after="280"/>
      </w:pP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KEY METRICS AT A GLANCE — FY2024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pct" w:w="25%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1F5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2A4A"/>
                <w:sz w:val="30"/>
                <w:szCs w:val="30"/>
              </w:rPr>
              <w:t xml:space="preserve">1.98M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3B4A6B"/>
                <w:sz w:val="18"/>
                <w:szCs w:val="18"/>
              </w:rPr>
              <w:t xml:space="preserve">Units Sold</w:t>
            </w:r>
          </w:p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vs. 2.04M in 2023</w:t>
            </w:r>
          </w:p>
        </w:tc>
        <w:tc>
          <w:tcPr>
            <w:tcW w:type="pct" w:w="25%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1F5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A83A32"/>
                <w:sz w:val="30"/>
                <w:szCs w:val="30"/>
              </w:rPr>
              <w:t xml:space="preserve">€145.6B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3B4A6B"/>
                <w:sz w:val="18"/>
                <w:szCs w:val="18"/>
              </w:rPr>
              <w:t xml:space="preserve">Revenue</w:t>
            </w:r>
          </w:p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▼ 4.5% YoY</w:t>
            </w:r>
          </w:p>
        </w:tc>
        <w:tc>
          <w:tcPr>
            <w:tcW w:type="pct" w:w="25%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1F5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A83A32"/>
                <w:sz w:val="30"/>
                <w:szCs w:val="30"/>
              </w:rPr>
              <w:t xml:space="preserve">€10.40B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3B4A6B"/>
                <w:sz w:val="18"/>
                <w:szCs w:val="18"/>
              </w:rPr>
              <w:t xml:space="preserve">Net Profit</w:t>
            </w:r>
          </w:p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▼ 28.4% YoY</w:t>
            </w:r>
          </w:p>
        </w:tc>
        <w:tc>
          <w:tcPr>
            <w:tcW w:type="pct" w:w="25%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1F5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E7D5B"/>
                <w:sz w:val="30"/>
                <w:szCs w:val="30"/>
              </w:rPr>
              <w:t xml:space="preserve">7.1%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3B4A6B"/>
                <w:sz w:val="18"/>
                <w:szCs w:val="18"/>
              </w:rPr>
              <w:t xml:space="preserve">Net Margin</w:t>
            </w:r>
          </w:p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10-yr avg: 6.7%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pct" w:w="25%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1F5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2A4A"/>
                <w:sz w:val="30"/>
                <w:szCs w:val="30"/>
              </w:rPr>
              <w:t xml:space="preserve">10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3B4A6B"/>
                <w:sz w:val="18"/>
                <w:szCs w:val="18"/>
              </w:rPr>
              <w:t xml:space="preserve">Years Tracked</w:t>
            </w:r>
          </w:p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FY2015–FY2024</w:t>
            </w:r>
          </w:p>
        </w:tc>
        <w:tc>
          <w:tcPr>
            <w:tcW w:type="pct" w:w="25%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1F5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3B4A6B"/>
                <w:sz w:val="30"/>
                <w:szCs w:val="30"/>
              </w:rPr>
              <w:t xml:space="preserve">2.34M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3B4A6B"/>
                <w:sz w:val="18"/>
                <w:szCs w:val="18"/>
              </w:rPr>
              <w:t xml:space="preserve">Peak Unit Sales</w:t>
            </w:r>
          </w:p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FY2019</w:t>
            </w:r>
          </w:p>
        </w:tc>
        <w:tc>
          <w:tcPr>
            <w:tcW w:type="pct" w:w="25%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1F5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3B4A6B"/>
                <w:sz w:val="30"/>
                <w:szCs w:val="30"/>
              </w:rPr>
              <w:t xml:space="preserve">€172.7B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3B4A6B"/>
                <w:sz w:val="18"/>
                <w:szCs w:val="18"/>
              </w:rPr>
              <w:t xml:space="preserve">Peak Revenue</w:t>
            </w:r>
          </w:p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FY2019</w:t>
            </w:r>
          </w:p>
        </w:tc>
        <w:tc>
          <w:tcPr>
            <w:tcW w:type="pct" w:w="25%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1F5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B8791F"/>
                <w:sz w:val="30"/>
                <w:szCs w:val="30"/>
              </w:rPr>
              <w:t xml:space="preserve">€22.35B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3B4A6B"/>
                <w:sz w:val="18"/>
                <w:szCs w:val="18"/>
              </w:rPr>
              <w:t xml:space="preserve">Peak Net Profit</w:t>
            </w:r>
          </w:p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FY2021 (one-off)</w:t>
            </w:r>
          </w:p>
        </w:tc>
      </w:tr>
    </w:tbl>
    <w:p>
      <w:pPr>
        <w:spacing w:after="220"/>
      </w:pPr>
    </w:p>
    <w:p>
      <w:pPr>
        <w:spacing w:after="120" w:before="0"/>
        <w:jc w:val="center"/>
      </w:pPr>
      <w:r>
        <w:rPr>
          <w:b/>
          <w:bCs/>
          <w:color w:val="3B4A6B"/>
          <w:sz w:val="21"/>
          <w:szCs w:val="21"/>
        </w:rPr>
        <w:t xml:space="preserve">Peak Volume Year: </w:t>
      </w:r>
      <w:r>
        <w:rPr>
          <w:color w:val="222222"/>
          <w:sz w:val="21"/>
          <w:szCs w:val="21"/>
        </w:rPr>
        <w:t xml:space="preserve">2019 (2.34M units)   |   </w:t>
      </w:r>
      <w:r>
        <w:rPr>
          <w:b/>
          <w:bCs/>
          <w:color w:val="3B4A6B"/>
          <w:sz w:val="21"/>
          <w:szCs w:val="21"/>
        </w:rPr>
        <w:t xml:space="preserve">Highest Margin: </w:t>
      </w:r>
      <w:r>
        <w:rPr>
          <w:color w:val="222222"/>
          <w:sz w:val="21"/>
          <w:szCs w:val="21"/>
        </w:rPr>
        <w:t xml:space="preserve">2021 – 14.2%* (one-off)   |   </w:t>
      </w:r>
      <w:r>
        <w:rPr>
          <w:b/>
          <w:bCs/>
          <w:color w:val="3B4A6B"/>
          <w:sz w:val="21"/>
          <w:szCs w:val="21"/>
        </w:rPr>
        <w:t xml:space="preserve">Lowest Margin: </w:t>
      </w:r>
      <w:r>
        <w:rPr>
          <w:color w:val="222222"/>
          <w:sz w:val="21"/>
          <w:szCs w:val="21"/>
        </w:rPr>
        <w:t xml:space="preserve">2019 – 1.6%</w:t>
      </w:r>
    </w:p>
    <w:p>
      <w:r>
        <w:br w:type="page"/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NOTE ON DATA:</w:t>
      </w:r>
    </w:p>
    <w:p>
      <w:pPr>
        <w:spacing w:after="16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report presents an expanded descriptive analytics layer built on a cleaned, decade-long Mercedes-Benz Group dataset (FY2015–FY2024). It consolidates global unit sales, revenue, net profit, R&amp;D investment, and headcount into a single portfolio-level view, and extends the raw disclosures with cross-metric comparisons, a full year-by-year league table, and a concrete roadmap for moving from descriptive to predictive analytics.</w:t>
      </w:r>
    </w:p>
    <w:p>
      <w:pPr>
        <w:spacing w:after="16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Across the decade, Mercedes-Benz generated €156.8B in average annual revenue and €10.43B in average annual net profit, at a blended average margin of 6.7%. Performance is uneven within the decade: volume leadership (2019, 2.34M units) and margin leadership (2021, 14.2%) sit in different years, and the lowest-margin year, 2019 (1.6%), sits at the volume peak rather than the trough — a pattern that shows scale alone does not guarantee profitability.</w:t>
      </w:r>
    </w:p>
    <w:p>
      <w:pPr>
        <w:spacing w:after="20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Revenue per vehicle is comparatively tight across the decade (€71.4K to €79.9K, a €71–80K band), which suggests that, unlike net margin, pricing power has not been a strong lever of change in this dataset. Structural shocks — the 2019 legal provisions, the 2020 pandemic, and the 2021 Daimler Truck spin-off — explain far more of the year-to-year swing than volume or pricing do, and are examined across Sections 4–8.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Three findings anchor the recommendations in this report: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Volume, margin, and pricing power should be tracked as three independent trend lines, not one composite score — the strongest year changes depending on which lens is applied.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2019 and 2024 are the two clearest review years, both posting margins well below the 10-year average despite mid-to-upper-decade revenue.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The dataset's structural break — the 2021 Daimler Truck spin-off changing the reporting entity mid-series — caps this report at descriptive analysis; Section 12 lays out what is needed to move to predictive forecasting.</w:t>
      </w:r>
    </w:p>
    <w:p>
      <w:r>
        <w:br w:type="page"/>
      </w:r>
    </w:p>
    <w:p>
      <w:pPr>
        <w:pBdr>
          <w:bottom w:val="single" w:color="3B4A6B" w:sz="6" w:space="4"/>
        </w:pBdr>
        <w:spacing w:after="160" w:before="200"/>
      </w:pPr>
      <w:r>
        <w:rPr>
          <w:b/>
          <w:bCs/>
          <w:color w:val="B8791F"/>
          <w:sz w:val="30"/>
          <w:szCs w:val="30"/>
        </w:rPr>
        <w:t xml:space="preserve">1.  </w:t>
      </w:r>
      <w:r>
        <w:rPr>
          <w:b/>
          <w:bCs/>
          <w:color w:val="1B2A4A"/>
          <w:sz w:val="30"/>
          <w:szCs w:val="30"/>
        </w:rPr>
        <w:t xml:space="preserve">Objectives &amp; Data Summary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a descriptive analytics layer over a decade of Mercedes-Benz Group disclosures to answer five recurring business questions, and extend that layer with the cross-cutting views a portfolio reviewer would ask for next: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Quantify how many vehicles Mercedes-Benz has sold globally each year, 2015–2024.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Track how revenue and net profit have moved alongside — and sometimes against — unit volume.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Isolate real operating profitability trends from one-off, non-operating items (e.g. the 2021 Daimler Truck spin-off gain).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Measure pricing power via revenue-per-vehicle, independent of headline revenue growth.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Show how R&amp;D investment and headcount evolved relative to sales performance.</w:t>
      </w:r>
    </w:p>
    <w:p>
      <w:pPr>
        <w:spacing w:after="100" w:before="1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expanded edition adds two further questions the original scope implied but did not answer directly: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Does profit margin correlate with either unit volume or headcount across the decade, or are these effectively independent axes?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What is the minimum additional data and infrastructure needed to move this from a descriptive snapshot to a predictive, forward-looking model?</w:t>
      </w:r>
    </w:p>
    <w:p>
      <w:pPr>
        <w:pBdr>
          <w:bottom w:val="single" w:color="3B4A6B" w:sz="6" w:space="4"/>
        </w:pBdr>
        <w:spacing w:after="160" w:before="200"/>
      </w:pPr>
      <w:r>
        <w:rPr>
          <w:b/>
          <w:bCs/>
          <w:color w:val="B8791F"/>
          <w:sz w:val="30"/>
          <w:szCs w:val="30"/>
        </w:rPr>
        <w:t xml:space="preserve">2.  </w:t>
      </w:r>
      <w:r>
        <w:rPr>
          <w:b/>
          <w:bCs/>
          <w:color w:val="1B2A4A"/>
          <w:sz w:val="30"/>
          <w:szCs w:val="30"/>
        </w:rPr>
        <w:t xml:space="preserve">How This Report Was Built</w:t>
      </w:r>
    </w:p>
    <w:p>
      <w:pPr>
        <w:spacing w:after="14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pipeline below is the reference architecture this report's outputs are consistent with — a cleaned, year-level aggregate table produced at the serving layer, not a raw transactional feed.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shd w:fill="1B2A4A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560"/>
            <w:shd w:fill="1B2A4A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Where from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Source of record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Mercedes-Benz Group / Daimler AG official full-year results &amp; annual reports (FY2015–FY2024)</w:t>
            </w:r>
          </w:p>
        </w:tc>
      </w:tr>
      <w:tr>
        <w:tc>
          <w:tcPr>
            <w:tcW w:type="dxa" w:w="24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What was collected</w:t>
            </w:r>
          </w:p>
        </w:tc>
        <w:tc>
          <w:tcPr>
            <w:tcW w:type="dxa" w:w="24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Scope of data</w:t>
            </w:r>
          </w:p>
        </w:tc>
        <w:tc>
          <w:tcPr>
            <w:tcW w:type="dxa" w:w="456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Global unit deliveries; group revenue, net profit, R&amp;D spend; headcount; illustrative model-line pricing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How it was used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Processing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Captured as published → parsed into a cleaned dataset via formulas → charted → compiled into this report</w:t>
            </w:r>
          </w:p>
        </w:tc>
      </w:tr>
      <w:tr>
        <w:tc>
          <w:tcPr>
            <w:tcW w:type="dxa" w:w="24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Caveat</w:t>
            </w:r>
          </w:p>
        </w:tc>
        <w:tc>
          <w:tcPr>
            <w:tcW w:type="dxa" w:w="24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Known limitation</w:t>
            </w:r>
          </w:p>
        </w:tc>
        <w:tc>
          <w:tcPr>
            <w:tcW w:type="dxa" w:w="456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Figures are compiled and rounded, not audited; 2021 Daimler Truck spin-off breaks entity consistency</w:t>
            </w:r>
          </w:p>
        </w:tc>
      </w:tr>
    </w:tbl>
    <w:p>
      <w:r>
        <w:br w:type="page"/>
      </w:r>
    </w:p>
    <w:p>
      <w:pPr>
        <w:pBdr>
          <w:bottom w:val="single" w:color="3B4A6B" w:sz="6" w:space="4"/>
        </w:pBdr>
        <w:spacing w:after="160" w:before="200"/>
      </w:pPr>
      <w:r>
        <w:rPr>
          <w:b/>
          <w:bCs/>
          <w:color w:val="B8791F"/>
          <w:sz w:val="30"/>
          <w:szCs w:val="30"/>
        </w:rPr>
        <w:t xml:space="preserve">3.  </w:t>
      </w:r>
      <w:r>
        <w:rPr>
          <w:b/>
          <w:bCs/>
          <w:color w:val="1B2A4A"/>
          <w:sz w:val="30"/>
          <w:szCs w:val="30"/>
        </w:rPr>
        <w:t xml:space="preserve">Revenue, Volume &amp; Profitability Overview</w:t>
      </w:r>
    </w:p>
    <w:p>
      <w:pPr>
        <w:spacing w:after="14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Across the decade: €1,568B cumulative revenue, €104.3B cumulative net profit, at a blended average margin of 6.7% (6.7% including the 2021 one-off; ~5.4% excluding it).</w:t>
      </w:r>
    </w:p>
    <w:p>
      <w:pPr>
        <w:spacing w:after="100" w:before="160"/>
      </w:pPr>
      <w:r>
        <w:rPr>
          <w:b/>
          <w:bCs/>
          <w:color w:val="3B4A6B"/>
          <w:sz w:val="24"/>
          <w:szCs w:val="24"/>
        </w:rPr>
        <w:t xml:space="preserve">KPI Definitions Used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Net margin %: Net Profit ÷ Revenue × 100, computed per year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Unit YoY growth: (Units this year ÷ Units prior year − 1) × 100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Revenue per vehicle: Revenue ÷ Units, a pricing-power proxy</w:t>
      </w:r>
    </w:p>
    <w:p>
      <w:pPr>
        <w:spacing w:after="80" w:before="80"/>
        <w:jc w:val="center"/>
      </w:pPr>
      <w:r>
        <w:drawing>
          <wp:inline distT="0" distB="0" distL="0" distR="0">
            <wp:extent cx="5669280" cy="28346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1. Global unit sales by year, FY2015–FY2024 (million vehicles).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Mercedes-Benz Cars deliveries climbed steadily from 1.87M units in 2015 to a decade peak of 2.34M in 2019 — a 25% rise over four years, driven by broad-based growth across the Core and Entry segments. From 2020 onward, volume settled into a lower, flatter band around 2.0–2.2M units, as the brand deliberately deprioritized low-margin Entry-segment volume in favor of Core and Top-End mix.</w:t>
      </w:r>
    </w:p>
    <w:p>
      <w:pPr>
        <w:spacing w:after="100" w:before="160"/>
      </w:pPr>
      <w:r>
        <w:rPr>
          <w:b/>
          <w:bCs/>
          <w:color w:val="3B4A6B"/>
          <w:sz w:val="24"/>
          <w:szCs w:val="24"/>
        </w:rPr>
        <w:t xml:space="preserve">3.1 Revenue vs. Net Profit</w:t>
      </w:r>
    </w:p>
    <w:p>
      <w:pPr>
        <w:spacing w:after="80" w:before="80"/>
        <w:jc w:val="center"/>
      </w:pPr>
      <w:r>
        <w:drawing>
          <wp:inline distT="0" distB="0" distL="0" distR="0">
            <wp:extent cx="5669280" cy="28346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2. Revenue (bars) vs. net profit (line), FY2015–FY2024.</w:t>
      </w:r>
    </w:p>
    <w:p>
      <w:pPr>
        <w:spacing w:after="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Revenue tracked unit volume closely through 2019, peaking at €172.7B alongside the unit-sales high. Net profit tells a noisier story: it fell hard in 2019 (diesel-emissions and airbag-recall legal provisions) and again in 2020 (pandemic disruption), before an unusual spike in 2021. That spike to €22.35B is a one-off non-operating gain from the Daimler Truck spin-off/IPO, not an improvement in the core car business — profit normalized to a €10–15B range for 2022–2024, still trending down again by 2024 on softer Chinese demand.</w:t>
      </w:r>
    </w:p>
    <w:p>
      <w:r>
        <w:br w:type="page"/>
      </w:r>
    </w:p>
    <w:p>
      <w:pPr>
        <w:pBdr>
          <w:bottom w:val="single" w:color="3B4A6B" w:sz="6" w:space="4"/>
        </w:pBdr>
        <w:spacing w:after="160" w:before="200"/>
      </w:pPr>
      <w:r>
        <w:rPr>
          <w:b/>
          <w:bCs/>
          <w:color w:val="B8791F"/>
          <w:sz w:val="30"/>
          <w:szCs w:val="30"/>
        </w:rPr>
        <w:t xml:space="preserve">4.  </w:t>
      </w:r>
      <w:r>
        <w:rPr>
          <w:b/>
          <w:bCs/>
          <w:color w:val="1B2A4A"/>
          <w:sz w:val="30"/>
          <w:szCs w:val="30"/>
        </w:rPr>
        <w:t xml:space="preserve">Net Profit Margin Trend</w:t>
      </w:r>
    </w:p>
    <w:p>
      <w:pPr>
        <w:spacing w:after="14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Top performer by margin was FY2021 at 14.2%* — but that figure is inflated by the Daimler Truck spin-off gain and is not representative of core operations. Excluding that one-off, the underlying decade-best margin years are 2022–2023, in the 9.5–9.9% band.</w:t>
      </w:r>
    </w:p>
    <w:p>
      <w:pPr>
        <w:spacing w:after="80" w:before="80"/>
        <w:jc w:val="center"/>
      </w:pPr>
      <w:r>
        <w:drawing>
          <wp:inline distT="0" distB="0" distL="0" distR="0">
            <wp:extent cx="5669280" cy="28346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3. Net profit margin by year, vs. portfolio average (6.7%).</w:t>
      </w:r>
    </w:p>
    <w:p>
      <w:pPr>
        <w:spacing w:after="100" w:before="160"/>
      </w:pPr>
      <w:r>
        <w:rPr>
          <w:b/>
          <w:bCs/>
          <w:color w:val="3B4A6B"/>
          <w:sz w:val="24"/>
          <w:szCs w:val="24"/>
        </w:rPr>
        <w:t xml:space="preserve">4.1 Reading the Margin Trend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Margin is the clearest lens on operating health, since it strips out the effect of revenue scale. It bottomed at 1.6% in 2019 — the diesel/legal-provision year — showing that revenue growth alone didn't protect profitability when one-off costs hit.</w:t>
      </w:r>
    </w:p>
    <w:p>
      <w:pPr>
        <w:spacing w:after="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Excluding the 2021 outlier, the underlying margin trend is a recovery from the 2019–2020 trough to a healthier 9–10% band in 2022–2023, before easing back to 7.1% in 2024 as China-driven volume and pricing pressure returned. The gap between the best non-outlier year (9.9%, 2022) and the worst (1.6%, 2019) is over 8 percentage points on a comparable revenue base — a wide spread for a single company, and the strongest signal in this dataset that cost/legal exposure, not revenue generation, drives year-to-year margin swings.</w:t>
      </w:r>
    </w:p>
    <w:p>
      <w:r>
        <w:br w:type="page"/>
      </w:r>
    </w:p>
    <w:p>
      <w:pPr>
        <w:pBdr>
          <w:bottom w:val="single" w:color="3B4A6B" w:sz="6" w:space="4"/>
        </w:pBdr>
        <w:spacing w:after="160" w:before="200"/>
      </w:pPr>
      <w:r>
        <w:rPr>
          <w:b/>
          <w:bCs/>
          <w:color w:val="B8791F"/>
          <w:sz w:val="30"/>
          <w:szCs w:val="30"/>
        </w:rPr>
        <w:t xml:space="preserve">5.  </w:t>
      </w:r>
      <w:r>
        <w:rPr>
          <w:b/>
          <w:bCs/>
          <w:color w:val="1B2A4A"/>
          <w:sz w:val="30"/>
          <w:szCs w:val="30"/>
        </w:rPr>
        <w:t xml:space="preserve">Unit Sales — Year-over-Year Growth</w:t>
      </w:r>
    </w:p>
    <w:p>
      <w:pPr>
        <w:spacing w:after="14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Average YoY unit growth across the decade: +0.8%, masking sharply different regimes before and after 2019.</w:t>
      </w:r>
    </w:p>
    <w:p>
      <w:pPr>
        <w:spacing w:after="80" w:before="80"/>
        <w:jc w:val="center"/>
      </w:pPr>
      <w:r>
        <w:drawing>
          <wp:inline distT="0" distB="0" distL="0" distR="0">
            <wp:extent cx="5669280" cy="28346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4. Year-over-year change in global unit sales.</w:t>
      </w:r>
    </w:p>
    <w:p>
      <w:pPr>
        <w:spacing w:after="100" w:before="160"/>
      </w:pPr>
      <w:r>
        <w:rPr>
          <w:b/>
          <w:bCs/>
          <w:color w:val="3B4A6B"/>
          <w:sz w:val="24"/>
          <w:szCs w:val="24"/>
        </w:rPr>
        <w:t xml:space="preserve">5.1 Two Distinct Growth Regimes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Double-digit growth in 2016 (+11.2%) and 2017 (+10.1%) gave way to near-flat years in 2018–2019, then four consecutive years of decline or stagnation from 2020 through 2024, interrupted only by a flat 2023.</w:t>
      </w:r>
    </w:p>
    <w:p>
      <w:pPr>
        <w:spacing w:after="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pattern is consistent with a company past its volume-growth phase, now optimizing for margin and mix rather than chasing unit growth — a trade-off worth weighing against the flat-to-declining revenue-per-unit gains examined in Section 6.</w:t>
      </w:r>
    </w:p>
    <w:p>
      <w:r>
        <w:br w:type="page"/>
      </w:r>
    </w:p>
    <w:p>
      <w:pPr>
        <w:pBdr>
          <w:bottom w:val="single" w:color="3B4A6B" w:sz="6" w:space="4"/>
        </w:pBdr>
        <w:spacing w:after="160" w:before="200"/>
      </w:pPr>
      <w:r>
        <w:rPr>
          <w:b/>
          <w:bCs/>
          <w:color w:val="B8791F"/>
          <w:sz w:val="30"/>
          <w:szCs w:val="30"/>
        </w:rPr>
        <w:t xml:space="preserve">6.  </w:t>
      </w:r>
      <w:r>
        <w:rPr>
          <w:b/>
          <w:bCs/>
          <w:color w:val="1B2A4A"/>
          <w:sz w:val="30"/>
          <w:szCs w:val="30"/>
        </w:rPr>
        <w:t xml:space="preserve">Operational Efficiency</w:t>
      </w:r>
    </w:p>
    <w:p>
      <w:pPr>
        <w:spacing w:after="14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Plotting headcount against R&amp;D spend, and revenue against vehicle volume, separates structural workforce shifts from genuine pricing-power gains — this is what would drive staffing models, R&amp;D budget targets, and capacity planning at scale.</w:t>
      </w:r>
    </w:p>
    <w:p>
      <w:pPr>
        <w:spacing w:after="80" w:before="80"/>
        <w:jc w:val="center"/>
      </w:pPr>
      <w:r>
        <w:drawing>
          <wp:inline distT="0" distB="0" distL="0" distR="0">
            <wp:extent cx="5669280" cy="28346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5. Employees (thousands) vs. R&amp;D spend (€B), FY2015–FY2024.</w:t>
      </w:r>
    </w:p>
    <w:p>
      <w:pPr>
        <w:spacing w:after="16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Headcount held steady around 282–298K from 2015–2020, then dropped sharply to ~172K in 2021 — almost entirely a structural effect of the Daimler Truck spin-off moving tens of thousands of employees off the Mercedes-Benz Group's books, not a layoff signal. R&amp;D spend tells a more continuous story: it roughly doubled in relative intensity from 2015 to 2019 (funding the shift toward electrification and digital platforms) and has stayed in the €8.7–10.0B range since, holding up even as headcount and unit volume fell.</w:t>
      </w:r>
    </w:p>
    <w:p>
      <w:pPr>
        <w:spacing w:after="100" w:before="160"/>
      </w:pPr>
      <w:r>
        <w:rPr>
          <w:b/>
          <w:bCs/>
          <w:color w:val="3B4A6B"/>
          <w:sz w:val="24"/>
          <w:szCs w:val="24"/>
        </w:rPr>
        <w:t xml:space="preserve">6.1 Revenue per Vehicle</w:t>
      </w:r>
    </w:p>
    <w:p>
      <w:pPr>
        <w:spacing w:after="80" w:before="80"/>
        <w:jc w:val="center"/>
      </w:pPr>
      <w:r>
        <w:drawing>
          <wp:inline distT="0" distB="0" distL="0" distR="0">
            <wp:extent cx="5669280" cy="28346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6. Revenue per vehicle (€ thousand), a pricing-power proxy.</w:t>
      </w:r>
    </w:p>
    <w:p>
      <w:pPr>
        <w:spacing w:after="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Revenue per vehicle has stayed in a tight €71–80K band for a full decade, with no sustained structural climb — despite the brand's explicit shift toward AMG, Maybach, and other Top-End models. The 2015 figure (€79.9K) is actually the decade's high point, not a low one; the metric dipped through 2017–2020 and has only partially recovered since. Read alongside falling unit volumes, this suggests mix-shift has mostly offset volume declines rather than driven genuine pricing-power growth.</w:t>
      </w:r>
    </w:p>
    <w:p>
      <w:r>
        <w:br w:type="page"/>
      </w:r>
    </w:p>
    <w:p>
      <w:pPr>
        <w:pBdr>
          <w:bottom w:val="single" w:color="3B4A6B" w:sz="6" w:space="4"/>
        </w:pBdr>
        <w:spacing w:after="160" w:before="200"/>
      </w:pPr>
      <w:r>
        <w:rPr>
          <w:b/>
          <w:bCs/>
          <w:color w:val="B8791F"/>
          <w:sz w:val="30"/>
          <w:szCs w:val="30"/>
        </w:rPr>
        <w:t xml:space="preserve">7.  </w:t>
      </w:r>
      <w:r>
        <w:rPr>
          <w:b/>
          <w:bCs/>
          <w:color w:val="1B2A4A"/>
          <w:sz w:val="30"/>
          <w:szCs w:val="30"/>
        </w:rPr>
        <w:t xml:space="preserve">Cross-Metric Correlation Analysis</w:t>
      </w:r>
    </w:p>
    <w:p>
      <w:pPr>
        <w:spacing w:after="14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section tests, directly, whether the relationships raised informally in earlier sections — does margin track with headcount, and does volume track with pricing power — hold up numerically across the ten years.</w:t>
      </w:r>
    </w:p>
    <w:p>
      <w:pPr>
        <w:spacing w:after="80" w:before="80"/>
        <w:jc w:val="center"/>
      </w:pPr>
      <w:r>
        <w:drawing>
          <wp:inline distT="0" distB="0" distL="0" distR="0">
            <wp:extent cx="5120640" cy="25603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7. Correlation matrix across all seven tracked metrics, FY2015–FY2024.</w:t>
      </w:r>
    </w:p>
    <w:p>
      <w:pPr>
        <w:spacing w:after="100" w:before="160"/>
      </w:pPr>
      <w:r>
        <w:rPr>
          <w:b/>
          <w:bCs/>
          <w:color w:val="3B4A6B"/>
          <w:sz w:val="24"/>
          <w:szCs w:val="24"/>
        </w:rPr>
        <w:t xml:space="preserve">7.1 Units Sold vs. Revenue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Units sold and revenue move almost in lock-step (r = 0.91) — unsurprising for a manufacturer where revenue is largely volume-driven.</w:t>
      </w:r>
    </w:p>
    <w:p>
      <w:pPr>
        <w:spacing w:after="100" w:before="160"/>
      </w:pPr>
      <w:r>
        <w:rPr>
          <w:b/>
          <w:bCs/>
          <w:color w:val="3B4A6B"/>
          <w:sz w:val="24"/>
          <w:szCs w:val="24"/>
        </w:rPr>
        <w:t xml:space="preserve">7.2 Employees vs. Net Margin</w:t>
      </w:r>
    </w:p>
    <w:p>
      <w:pPr>
        <w:spacing w:after="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strong negative correlation between employees and net margin (r = −0.82) is mostly an artifact of timing, not efficiency: the 2021 headcount drop from the Daimler Truck spin-off coincided with that year's one-off profit spike, not a genuine cause-and-effect relationship. More informative is revenue per unit's negative correlation with units sold (r = −0.69), consistent with the deliberate lower-volume, higher-mix strategy visible across this report.</w:t>
      </w:r>
    </w:p>
    <w:p>
      <w:r>
        <w:br w:type="page"/>
      </w:r>
    </w:p>
    <w:p>
      <w:pPr>
        <w:pBdr>
          <w:bottom w:val="single" w:color="3B4A6B" w:sz="6" w:space="4"/>
        </w:pBdr>
        <w:spacing w:after="160" w:before="200"/>
      </w:pPr>
      <w:r>
        <w:rPr>
          <w:b/>
          <w:bCs/>
          <w:color w:val="B8791F"/>
          <w:sz w:val="30"/>
          <w:szCs w:val="30"/>
        </w:rPr>
        <w:t xml:space="preserve">8.  </w:t>
      </w:r>
      <w:r>
        <w:rPr>
          <w:b/>
          <w:bCs/>
          <w:color w:val="1B2A4A"/>
          <w:sz w:val="30"/>
          <w:szCs w:val="30"/>
        </w:rPr>
        <w:t xml:space="preserve">Full Decade Dataset — Year League Table</w:t>
      </w:r>
    </w:p>
    <w:p>
      <w:pPr>
        <w:spacing w:after="14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table below consolidates every metric in this report into a single year-by-year reference view. Growth, margin, and revenue-per-unit columns are calculated from the adjacent raw columns via formulas.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050"/>
        <w:gridCol w:w="1000"/>
        <w:gridCol w:w="1300"/>
        <w:gridCol w:w="1350"/>
        <w:gridCol w:w="900"/>
        <w:gridCol w:w="1000"/>
        <w:gridCol w:w="1150"/>
        <w:gridCol w:w="1180"/>
      </w:tblGrid>
      <w:tr>
        <w:trPr>
          <w:tblHeader/>
        </w:trPr>
        <w:tc>
          <w:tcPr>
            <w:tcW w:type="dxa" w:w="1150"/>
            <w:shd w:fill="1B2A4A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050"/>
            <w:shd w:fill="1B2A4A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Units (M)</w:t>
            </w:r>
          </w:p>
        </w:tc>
        <w:tc>
          <w:tcPr>
            <w:tcW w:type="dxa" w:w="1000"/>
            <w:shd w:fill="1B2A4A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YoY</w:t>
            </w:r>
          </w:p>
        </w:tc>
        <w:tc>
          <w:tcPr>
            <w:tcW w:type="dxa" w:w="1300"/>
            <w:shd w:fill="1B2A4A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Revenue (€B)</w:t>
            </w:r>
          </w:p>
        </w:tc>
        <w:tc>
          <w:tcPr>
            <w:tcW w:type="dxa" w:w="1350"/>
            <w:shd w:fill="1B2A4A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Net Profit (€B)</w:t>
            </w:r>
          </w:p>
        </w:tc>
        <w:tc>
          <w:tcPr>
            <w:tcW w:type="dxa" w:w="900"/>
            <w:shd w:fill="1B2A4A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  <w:tc>
          <w:tcPr>
            <w:tcW w:type="dxa" w:w="1000"/>
            <w:shd w:fill="1B2A4A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R&amp;D (€B)</w:t>
            </w:r>
          </w:p>
        </w:tc>
        <w:tc>
          <w:tcPr>
            <w:tcW w:type="dxa" w:w="1150"/>
            <w:shd w:fill="1B2A4A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Employees (K)</w:t>
            </w:r>
          </w:p>
        </w:tc>
        <w:tc>
          <w:tcPr>
            <w:tcW w:type="dxa" w:w="1180"/>
            <w:shd w:fill="1B2A4A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Rev/Unit (€K)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2015</w:t>
            </w:r>
          </w:p>
        </w:tc>
        <w:tc>
          <w:tcPr>
            <w:tcW w:type="dxa" w:w="10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1.87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149.5</w:t>
            </w:r>
          </w:p>
        </w:tc>
        <w:tc>
          <w:tcPr>
            <w:tcW w:type="dxa" w:w="13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8.71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5.8%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6.9</w:t>
            </w:r>
          </w:p>
        </w:tc>
        <w:tc>
          <w:tcPr>
            <w:tcW w:type="dxa" w:w="11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284</w:t>
            </w:r>
          </w:p>
        </w:tc>
        <w:tc>
          <w:tcPr>
            <w:tcW w:type="dxa" w:w="118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79.9</w:t>
            </w:r>
          </w:p>
        </w:tc>
      </w:tr>
      <w:tr>
        <w:tc>
          <w:tcPr>
            <w:tcW w:type="dxa" w:w="11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2016</w:t>
            </w:r>
          </w:p>
        </w:tc>
        <w:tc>
          <w:tcPr>
            <w:tcW w:type="dxa" w:w="10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2.08</w:t>
            </w:r>
          </w:p>
        </w:tc>
        <w:tc>
          <w:tcPr>
            <w:tcW w:type="dxa" w:w="10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+11.2%</w:t>
            </w:r>
          </w:p>
        </w:tc>
        <w:tc>
          <w:tcPr>
            <w:tcW w:type="dxa" w:w="13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153.3</w:t>
            </w:r>
          </w:p>
        </w:tc>
        <w:tc>
          <w:tcPr>
            <w:tcW w:type="dxa" w:w="13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8.35</w:t>
            </w:r>
          </w:p>
        </w:tc>
        <w:tc>
          <w:tcPr>
            <w:tcW w:type="dxa" w:w="9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5.4%</w:t>
            </w:r>
          </w:p>
        </w:tc>
        <w:tc>
          <w:tcPr>
            <w:tcW w:type="dxa" w:w="10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N/A</w:t>
            </w:r>
          </w:p>
        </w:tc>
        <w:tc>
          <w:tcPr>
            <w:tcW w:type="dxa" w:w="11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282</w:t>
            </w:r>
          </w:p>
        </w:tc>
        <w:tc>
          <w:tcPr>
            <w:tcW w:type="dxa" w:w="118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73.7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2017</w:t>
            </w:r>
          </w:p>
        </w:tc>
        <w:tc>
          <w:tcPr>
            <w:tcW w:type="dxa" w:w="10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2.29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+10.1%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164.3</w:t>
            </w:r>
          </w:p>
        </w:tc>
        <w:tc>
          <w:tcPr>
            <w:tcW w:type="dxa" w:w="13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10.87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6.6%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8.7</w:t>
            </w:r>
          </w:p>
        </w:tc>
        <w:tc>
          <w:tcPr>
            <w:tcW w:type="dxa" w:w="11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289</w:t>
            </w:r>
          </w:p>
        </w:tc>
        <w:tc>
          <w:tcPr>
            <w:tcW w:type="dxa" w:w="118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71.7</w:t>
            </w:r>
          </w:p>
        </w:tc>
      </w:tr>
      <w:tr>
        <w:tc>
          <w:tcPr>
            <w:tcW w:type="dxa" w:w="11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2018</w:t>
            </w:r>
          </w:p>
        </w:tc>
        <w:tc>
          <w:tcPr>
            <w:tcW w:type="dxa" w:w="10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2.31</w:t>
            </w:r>
          </w:p>
        </w:tc>
        <w:tc>
          <w:tcPr>
            <w:tcW w:type="dxa" w:w="10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+0.9%</w:t>
            </w:r>
          </w:p>
        </w:tc>
        <w:tc>
          <w:tcPr>
            <w:tcW w:type="dxa" w:w="13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167.4</w:t>
            </w:r>
          </w:p>
        </w:tc>
        <w:tc>
          <w:tcPr>
            <w:tcW w:type="dxa" w:w="13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7.57</w:t>
            </w:r>
          </w:p>
        </w:tc>
        <w:tc>
          <w:tcPr>
            <w:tcW w:type="dxa" w:w="9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4.5%</w:t>
            </w:r>
          </w:p>
        </w:tc>
        <w:tc>
          <w:tcPr>
            <w:tcW w:type="dxa" w:w="10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9.6</w:t>
            </w:r>
          </w:p>
        </w:tc>
        <w:tc>
          <w:tcPr>
            <w:tcW w:type="dxa" w:w="11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298</w:t>
            </w:r>
          </w:p>
        </w:tc>
        <w:tc>
          <w:tcPr>
            <w:tcW w:type="dxa" w:w="118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72.5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2019</w:t>
            </w:r>
          </w:p>
        </w:tc>
        <w:tc>
          <w:tcPr>
            <w:tcW w:type="dxa" w:w="10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2.34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+1.3%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172.7</w:t>
            </w:r>
          </w:p>
        </w:tc>
        <w:tc>
          <w:tcPr>
            <w:tcW w:type="dxa" w:w="13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2.71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1.6%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9.7</w:t>
            </w:r>
          </w:p>
        </w:tc>
        <w:tc>
          <w:tcPr>
            <w:tcW w:type="dxa" w:w="11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298</w:t>
            </w:r>
          </w:p>
        </w:tc>
        <w:tc>
          <w:tcPr>
            <w:tcW w:type="dxa" w:w="118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73.8</w:t>
            </w:r>
          </w:p>
        </w:tc>
      </w:tr>
      <w:tr>
        <w:tc>
          <w:tcPr>
            <w:tcW w:type="dxa" w:w="11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2020</w:t>
            </w:r>
          </w:p>
        </w:tc>
        <w:tc>
          <w:tcPr>
            <w:tcW w:type="dxa" w:w="10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2.16</w:t>
            </w:r>
          </w:p>
        </w:tc>
        <w:tc>
          <w:tcPr>
            <w:tcW w:type="dxa" w:w="10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-7.7%</w:t>
            </w:r>
          </w:p>
        </w:tc>
        <w:tc>
          <w:tcPr>
            <w:tcW w:type="dxa" w:w="13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154.3</w:t>
            </w:r>
          </w:p>
        </w:tc>
        <w:tc>
          <w:tcPr>
            <w:tcW w:type="dxa" w:w="13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4.02</w:t>
            </w:r>
          </w:p>
        </w:tc>
        <w:tc>
          <w:tcPr>
            <w:tcW w:type="dxa" w:w="9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2.6%</w:t>
            </w:r>
          </w:p>
        </w:tc>
        <w:tc>
          <w:tcPr>
            <w:tcW w:type="dxa" w:w="10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9.1</w:t>
            </w:r>
          </w:p>
        </w:tc>
        <w:tc>
          <w:tcPr>
            <w:tcW w:type="dxa" w:w="11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288</w:t>
            </w:r>
          </w:p>
        </w:tc>
        <w:tc>
          <w:tcPr>
            <w:tcW w:type="dxa" w:w="118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71.4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2021</w:t>
            </w:r>
          </w:p>
        </w:tc>
        <w:tc>
          <w:tcPr>
            <w:tcW w:type="dxa" w:w="10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2.05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-5.1%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157.8</w:t>
            </w:r>
          </w:p>
        </w:tc>
        <w:tc>
          <w:tcPr>
            <w:tcW w:type="dxa" w:w="13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22.35*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14.2%*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8.7</w:t>
            </w:r>
          </w:p>
        </w:tc>
        <w:tc>
          <w:tcPr>
            <w:tcW w:type="dxa" w:w="11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172</w:t>
            </w:r>
          </w:p>
        </w:tc>
        <w:tc>
          <w:tcPr>
            <w:tcW w:type="dxa" w:w="118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77.0</w:t>
            </w:r>
          </w:p>
        </w:tc>
      </w:tr>
      <w:tr>
        <w:tc>
          <w:tcPr>
            <w:tcW w:type="dxa" w:w="11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2022</w:t>
            </w:r>
          </w:p>
        </w:tc>
        <w:tc>
          <w:tcPr>
            <w:tcW w:type="dxa" w:w="10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2.04</w:t>
            </w:r>
          </w:p>
        </w:tc>
        <w:tc>
          <w:tcPr>
            <w:tcW w:type="dxa" w:w="10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-0.5%</w:t>
            </w:r>
          </w:p>
        </w:tc>
        <w:tc>
          <w:tcPr>
            <w:tcW w:type="dxa" w:w="13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150.0</w:t>
            </w:r>
          </w:p>
        </w:tc>
        <w:tc>
          <w:tcPr>
            <w:tcW w:type="dxa" w:w="13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14.81</w:t>
            </w:r>
          </w:p>
        </w:tc>
        <w:tc>
          <w:tcPr>
            <w:tcW w:type="dxa" w:w="9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9.9%</w:t>
            </w:r>
          </w:p>
        </w:tc>
        <w:tc>
          <w:tcPr>
            <w:tcW w:type="dxa" w:w="10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8.7</w:t>
            </w:r>
          </w:p>
        </w:tc>
        <w:tc>
          <w:tcPr>
            <w:tcW w:type="dxa" w:w="11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172</w:t>
            </w:r>
          </w:p>
        </w:tc>
        <w:tc>
          <w:tcPr>
            <w:tcW w:type="dxa" w:w="118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73.5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2023</w:t>
            </w:r>
          </w:p>
        </w:tc>
        <w:tc>
          <w:tcPr>
            <w:tcW w:type="dxa" w:w="10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2.04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0.0%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153.2</w:t>
            </w:r>
          </w:p>
        </w:tc>
        <w:tc>
          <w:tcPr>
            <w:tcW w:type="dxa" w:w="13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14.53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9.5%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10.0</w:t>
            </w:r>
          </w:p>
        </w:tc>
        <w:tc>
          <w:tcPr>
            <w:tcW w:type="dxa" w:w="11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168</w:t>
            </w:r>
          </w:p>
        </w:tc>
        <w:tc>
          <w:tcPr>
            <w:tcW w:type="dxa" w:w="118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75.1</w:t>
            </w:r>
          </w:p>
        </w:tc>
      </w:tr>
      <w:tr>
        <w:tc>
          <w:tcPr>
            <w:tcW w:type="dxa" w:w="11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2024</w:t>
            </w:r>
          </w:p>
        </w:tc>
        <w:tc>
          <w:tcPr>
            <w:tcW w:type="dxa" w:w="10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1.98</w:t>
            </w:r>
          </w:p>
        </w:tc>
        <w:tc>
          <w:tcPr>
            <w:tcW w:type="dxa" w:w="10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-2.9%</w:t>
            </w:r>
          </w:p>
        </w:tc>
        <w:tc>
          <w:tcPr>
            <w:tcW w:type="dxa" w:w="13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145.6</w:t>
            </w:r>
          </w:p>
        </w:tc>
        <w:tc>
          <w:tcPr>
            <w:tcW w:type="dxa" w:w="13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10.40</w:t>
            </w:r>
          </w:p>
        </w:tc>
        <w:tc>
          <w:tcPr>
            <w:tcW w:type="dxa" w:w="9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7.1%</w:t>
            </w:r>
          </w:p>
        </w:tc>
        <w:tc>
          <w:tcPr>
            <w:tcW w:type="dxa" w:w="10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9.7</w:t>
            </w:r>
          </w:p>
        </w:tc>
        <w:tc>
          <w:tcPr>
            <w:tcW w:type="dxa" w:w="11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175</w:t>
            </w:r>
          </w:p>
        </w:tc>
        <w:tc>
          <w:tcPr>
            <w:tcW w:type="dxa" w:w="118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73.5</w:t>
            </w:r>
          </w:p>
        </w:tc>
      </w:tr>
      <w:tr>
        <w:tc>
          <w:tcPr>
            <w:tcW w:type="dxa" w:w="1150"/>
            <w:shd w:fill="FBE9E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10-Yr Avg</w:t>
            </w:r>
          </w:p>
        </w:tc>
        <w:tc>
          <w:tcPr>
            <w:tcW w:type="dxa" w:w="1050"/>
            <w:shd w:fill="FBE9E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2.12</w:t>
            </w:r>
          </w:p>
        </w:tc>
        <w:tc>
          <w:tcPr>
            <w:tcW w:type="dxa" w:w="1000"/>
            <w:shd w:fill="FBE9E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+0.8%</w:t>
            </w:r>
          </w:p>
        </w:tc>
        <w:tc>
          <w:tcPr>
            <w:tcW w:type="dxa" w:w="1300"/>
            <w:shd w:fill="FBE9E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156.8</w:t>
            </w:r>
          </w:p>
        </w:tc>
        <w:tc>
          <w:tcPr>
            <w:tcW w:type="dxa" w:w="1350"/>
            <w:shd w:fill="FBE9E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10.43</w:t>
            </w:r>
          </w:p>
        </w:tc>
        <w:tc>
          <w:tcPr>
            <w:tcW w:type="dxa" w:w="900"/>
            <w:shd w:fill="FBE9E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6.7%</w:t>
            </w:r>
          </w:p>
        </w:tc>
        <w:tc>
          <w:tcPr>
            <w:tcW w:type="dxa" w:w="1000"/>
            <w:shd w:fill="FBE9E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9.1</w:t>
            </w:r>
          </w:p>
        </w:tc>
        <w:tc>
          <w:tcPr>
            <w:tcW w:type="dxa" w:w="1150"/>
            <w:shd w:fill="FBE9E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243</w:t>
            </w:r>
          </w:p>
        </w:tc>
        <w:tc>
          <w:tcPr>
            <w:tcW w:type="dxa" w:w="1180"/>
            <w:shd w:fill="FBE9E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74.2</w:t>
            </w:r>
          </w:p>
        </w:tc>
      </w:tr>
    </w:tbl>
    <w:p>
      <w:pPr>
        <w:spacing w:after="100"/>
      </w:pP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* 2021 net profit and margin include a one-off gain from the Daimler Truck spin-off/IPO — not representative of core operating performance.</w:t>
      </w:r>
    </w:p>
    <w:p>
      <w:r>
        <w:br w:type="page"/>
      </w:r>
    </w:p>
    <w:p>
      <w:pPr>
        <w:pBdr>
          <w:bottom w:val="single" w:color="3B4A6B" w:sz="6" w:space="4"/>
        </w:pBdr>
        <w:spacing w:after="160" w:before="200"/>
      </w:pPr>
      <w:r>
        <w:rPr>
          <w:b/>
          <w:bCs/>
          <w:color w:val="B8791F"/>
          <w:sz w:val="30"/>
          <w:szCs w:val="30"/>
        </w:rPr>
        <w:t xml:space="preserve">9.  </w:t>
      </w:r>
      <w:r>
        <w:rPr>
          <w:b/>
          <w:bCs/>
          <w:color w:val="1B2A4A"/>
          <w:sz w:val="30"/>
          <w:szCs w:val="30"/>
        </w:rPr>
        <w:t xml:space="preserve">Risk &amp; Watch Years</w:t>
      </w:r>
    </w:p>
    <w:p>
      <w:pPr>
        <w:spacing w:after="16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Risk here is bucketed by net margin rather than unit volume, since margin is the clearest indicator of operating health that isn't inflated by scale: 2019 posted the lowest core-operating margin (1.6%) in the decade, well below the 10-year average of 6.7%. A low-margin year on record revenue is a materially bigger flag than a low-margin year on weak revenue, so margin risk should always be cross-referenced against the volume and revenue trend in Section 3 before conclusions are drawn.</w:t>
      </w:r>
    </w:p>
    <w:p>
      <w:pPr>
        <w:spacing w:after="16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most actionable version of this view in production cross-tabs margin against revenue and one-off adjustments together, producing a single "normalized operating health score" per year rather than three metrics reviewed in isolation.</w:t>
      </w:r>
    </w:p>
    <w:p>
      <w:pPr>
        <w:spacing w:after="100" w:before="160"/>
      </w:pPr>
      <w:r>
        <w:rPr>
          <w:b/>
          <w:bCs/>
          <w:color w:val="3B4A6B"/>
          <w:sz w:val="24"/>
          <w:szCs w:val="24"/>
        </w:rPr>
        <w:t xml:space="preserve">9.1 Priority Review Years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2019 — lowest core margin (1.6%) in the decade on record revenue (€172.7B); the diesel-emissions and airbag-recall legal provisions are the clearest single driver. First candidate for a line-item legal/provision review.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2024 — softest year across the board: units, revenue, and margin all declined together, driven largely by weaker Chinese demand for Top-End and EV models; the clearest current-trend concern rather than a historical one.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2021 — requires the opposite caution: its headline 14.2% margin and €22.35B profit are the strongest in the decade on paper, but should be excluded from any trend or forecast baseline since they reflect a one-off Daimler Truck spin-off gain, not operating performance.</w:t>
      </w:r>
    </w:p>
    <w:p>
      <w:pPr>
        <w:spacing w:after="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year in the decade combines below-average margin with below-average revenue and rising headcount simultaneously — the single highest-risk pattern a portfolio reviewer would look for — which is a mildly reassuring finding for this dataset, though it should be re-checked every reporting cycle as the underlying trend, not just the current position, is what determines real risk.</w:t>
      </w:r>
    </w:p>
    <w:p>
      <w:r>
        <w:br w:type="page"/>
      </w:r>
    </w:p>
    <w:p>
      <w:pPr>
        <w:pBdr>
          <w:bottom w:val="single" w:color="3B4A6B" w:sz="6" w:space="4"/>
        </w:pBdr>
        <w:spacing w:after="160" w:before="200"/>
      </w:pPr>
      <w:r>
        <w:rPr>
          <w:b/>
          <w:bCs/>
          <w:color w:val="B8791F"/>
          <w:sz w:val="30"/>
          <w:szCs w:val="30"/>
        </w:rPr>
        <w:t xml:space="preserve">10.  </w:t>
      </w:r>
      <w:r>
        <w:rPr>
          <w:b/>
          <w:bCs/>
          <w:color w:val="1B2A4A"/>
          <w:sz w:val="30"/>
          <w:szCs w:val="30"/>
        </w:rPr>
        <w:t xml:space="preserve">Summary of Key Metrics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480"/>
      </w:tblGrid>
      <w:tr>
        <w:trPr>
          <w:tblHeader/>
        </w:trPr>
        <w:tc>
          <w:tcPr>
            <w:tcW w:type="dxa" w:w="5600"/>
            <w:shd w:fill="1B2A4A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480"/>
            <w:shd w:fill="1B2A4A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Cumulative revenue (2015–2024)</w:t>
            </w:r>
          </w:p>
        </w:tc>
        <w:tc>
          <w:tcPr>
            <w:tcW w:type="dxa" w:w="348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≈ €1,568B</w:t>
            </w:r>
          </w:p>
        </w:tc>
      </w:tr>
      <w:tr>
        <w:tc>
          <w:tcPr>
            <w:tcW w:type="dxa" w:w="56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Cumulative net profit (2015–2024)</w:t>
            </w:r>
          </w:p>
        </w:tc>
        <w:tc>
          <w:tcPr>
            <w:tcW w:type="dxa" w:w="348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≈ €104.3B</w:t>
            </w:r>
          </w:p>
        </w:tc>
      </w:tr>
      <w:tr>
        <w:tc>
          <w:tcPr>
            <w:tcW w:type="dxa" w:w="5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10-year average net margin</w:t>
            </w:r>
          </w:p>
        </w:tc>
        <w:tc>
          <w:tcPr>
            <w:tcW w:type="dxa" w:w="348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6.7% (~5.4% excl. 2021 outlier)</w:t>
            </w:r>
          </w:p>
        </w:tc>
      </w:tr>
      <w:tr>
        <w:tc>
          <w:tcPr>
            <w:tcW w:type="dxa" w:w="56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Total units sold (10-yr sum)</w:t>
            </w:r>
          </w:p>
        </w:tc>
        <w:tc>
          <w:tcPr>
            <w:tcW w:type="dxa" w:w="348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≈ 21.16M vehicles</w:t>
            </w:r>
          </w:p>
        </w:tc>
      </w:tr>
      <w:tr>
        <w:tc>
          <w:tcPr>
            <w:tcW w:type="dxa" w:w="5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Peak unit sales</w:t>
            </w:r>
          </w:p>
        </w:tc>
        <w:tc>
          <w:tcPr>
            <w:tcW w:type="dxa" w:w="348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2019 (2.34M)</w:t>
            </w:r>
          </w:p>
        </w:tc>
      </w:tr>
      <w:tr>
        <w:tc>
          <w:tcPr>
            <w:tcW w:type="dxa" w:w="56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Peak revenue</w:t>
            </w:r>
          </w:p>
        </w:tc>
        <w:tc>
          <w:tcPr>
            <w:tcW w:type="dxa" w:w="348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2019 (€172.7B)</w:t>
            </w:r>
          </w:p>
        </w:tc>
      </w:tr>
      <w:tr>
        <w:tc>
          <w:tcPr>
            <w:tcW w:type="dxa" w:w="5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Peak net profit</w:t>
            </w:r>
          </w:p>
        </w:tc>
        <w:tc>
          <w:tcPr>
            <w:tcW w:type="dxa" w:w="348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2021 — €22.35B (one-off)</w:t>
            </w:r>
          </w:p>
        </w:tc>
      </w:tr>
      <w:tr>
        <w:tc>
          <w:tcPr>
            <w:tcW w:type="dxa" w:w="56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Lowest net margin</w:t>
            </w:r>
          </w:p>
        </w:tc>
        <w:tc>
          <w:tcPr>
            <w:tcW w:type="dxa" w:w="348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2019 — 1.6%</w:t>
            </w:r>
          </w:p>
        </w:tc>
      </w:tr>
      <w:tr>
        <w:tc>
          <w:tcPr>
            <w:tcW w:type="dxa" w:w="5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Revenue-per-vehicle range</w:t>
            </w:r>
          </w:p>
        </w:tc>
        <w:tc>
          <w:tcPr>
            <w:tcW w:type="dxa" w:w="348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€71.4K – €79.9K</w:t>
            </w:r>
          </w:p>
        </w:tc>
      </w:tr>
      <w:tr>
        <w:tc>
          <w:tcPr>
            <w:tcW w:type="dxa" w:w="56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Years tracked</w:t>
            </w:r>
          </w:p>
        </w:tc>
        <w:tc>
          <w:tcPr>
            <w:tcW w:type="dxa" w:w="348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 (FY2015–FY2024)</w:t>
            </w:r>
          </w:p>
        </w:tc>
      </w:tr>
    </w:tbl>
    <w:p>
      <w:r>
        <w:br w:type="page"/>
      </w:r>
    </w:p>
    <w:p>
      <w:pPr>
        <w:pBdr>
          <w:bottom w:val="single" w:color="3B4A6B" w:sz="6" w:space="4"/>
        </w:pBdr>
        <w:spacing w:after="160" w:before="200"/>
      </w:pPr>
      <w:r>
        <w:rPr>
          <w:b/>
          <w:bCs/>
          <w:color w:val="B8791F"/>
          <w:sz w:val="30"/>
          <w:szCs w:val="30"/>
        </w:rPr>
        <w:t xml:space="preserve">11.  </w:t>
      </w:r>
      <w:r>
        <w:rPr>
          <w:b/>
          <w:bCs/>
          <w:color w:val="1B2A4A"/>
          <w:sz w:val="30"/>
          <w:szCs w:val="30"/>
        </w:rPr>
        <w:t xml:space="preserve">From Descriptive to Predictive Analytics</w:t>
      </w:r>
    </w:p>
    <w:p>
      <w:pPr>
        <w:spacing w:after="16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report, in its entirety, answers what happened. It does not yet answer what is likely to happen next, or why — both of which require moving from a descriptive layer to a predictive one. This section sets out the concrete path to get there: what data is missing, what models apply to each business question, what infrastructure needs to change, and in what order the work should happen.</w:t>
      </w:r>
    </w:p>
    <w:p>
      <w:pPr>
        <w:spacing w:after="100" w:before="160"/>
      </w:pPr>
      <w:r>
        <w:rPr>
          <w:b/>
          <w:bCs/>
          <w:color w:val="3B4A6B"/>
          <w:sz w:val="24"/>
          <w:szCs w:val="24"/>
        </w:rPr>
        <w:t xml:space="preserve">11.1 Why This Report Is Capped at Descriptive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Structural break at the entity level: the 2021 Daimler Truck spin-off changes what "Mercedes-Benz Group" means mid-series — pre-2022 and post-2022 employee and margin figures are not directly comparable without a restatement.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Group-level aggregation only: the report works from year-level totals, not segment (Entry/Core/Top-End) or regional (China/US/Europe) breakdowns. Predictive models — especially for demand forecasting — need that granularity to find leading indicators a group-level average smooths away.</w:t>
      </w:r>
    </w:p>
    <w:p>
      <w:pPr>
        <w:spacing w:after="16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Both gaps are fixable at the source, and neither requires new analytical technique — only a restated, segment- and region-level export from the reporting layer.</w:t>
      </w:r>
    </w:p>
    <w:p>
      <w:pPr>
        <w:spacing w:after="100" w:before="160"/>
      </w:pPr>
      <w:r>
        <w:rPr>
          <w:b/>
          <w:bCs/>
          <w:color w:val="3B4A6B"/>
          <w:sz w:val="24"/>
          <w:szCs w:val="24"/>
        </w:rPr>
        <w:t xml:space="preserve">11.2 Target Model 1: Demand &amp; Revenue Forecasting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Data required: quarterly, segment-level unit sales and pricing for at least 8–12 historical periods per segment.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Candidate approach: start with a simple linear or gradient-boosted regression predicting next-period units from trailing volume, pricing, and macro indicators (e.g. China GDP growth); a full time-series model (ARIMA/Prophet-style decomposition) is only worth the added complexity once 2+ years of quarterly segment data exist.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Output: a per-segment volume and revenue forecast band with a confidence interval, refreshed each quarter.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Success metric: forecast error (MAPE) on held-out historical quarters, tracked over time.</w:t>
      </w:r>
    </w:p>
    <w:p>
      <w:pPr>
        <w:spacing w:after="100" w:before="160"/>
      </w:pPr>
      <w:r>
        <w:rPr>
          <w:b/>
          <w:bCs/>
          <w:color w:val="3B4A6B"/>
          <w:sz w:val="24"/>
          <w:szCs w:val="24"/>
        </w:rPr>
        <w:t xml:space="preserve">11.3 Target Model 2: Margin Anomaly Detection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Data required: the same quarterly cadence, plus expense-line detail (legal provisions, R&amp;D, materials, labor) rather than a single net-profit figure.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Candidate approach: control-chart style thresholds (flag any metric more than 2 standard deviations from its own trailing 6-quarter mean) are enough to start — deliberately simple so it is explainable, with a move to an isolation-forest or similar model only once enough labeled anomaly history exists to validate against.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Output: an automated flag routed into the same BI layer already used for this report, not a new parallel process.</w:t>
      </w:r>
    </w:p>
    <w:p>
      <w:pPr>
        <w:spacing w:after="100" w:before="160"/>
      </w:pPr>
      <w:r>
        <w:rPr>
          <w:b/>
          <w:bCs/>
          <w:color w:val="3B4A6B"/>
          <w:sz w:val="24"/>
          <w:szCs w:val="24"/>
        </w:rPr>
        <w:t xml:space="preserve">11.4 Target Model 3: Restated Multi-Entity Series</w:t>
      </w:r>
    </w:p>
    <w:p>
      <w:pPr>
        <w:spacing w:after="16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Section 8's league table treats 2015–2024 as one continuous series, but the 2021 spin-off means pre- and post-2022 figures describe different corporate entities. The more useful next step is a restated, single-entity series (Daimler Truck fully excluded from all years) for a genuinely apples-to-apples trend line — this is a data-cleaning task, not a modeling one, and should happen before any of the forecasting models above are trusted.</w:t>
      </w:r>
    </w:p>
    <w:p>
      <w:pPr>
        <w:spacing w:after="100" w:before="160"/>
      </w:pPr>
      <w:r>
        <w:rPr>
          <w:b/>
          <w:bCs/>
          <w:color w:val="3B4A6B"/>
          <w:sz w:val="24"/>
          <w:szCs w:val="24"/>
        </w:rPr>
        <w:t xml:space="preserve">11.5 Data &amp; Infrastructure Requirements Summary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600"/>
        <w:gridCol w:w="3180"/>
      </w:tblGrid>
      <w:tr>
        <w:trPr>
          <w:tblHeader/>
        </w:trPr>
        <w:tc>
          <w:tcPr>
            <w:tcW w:type="dxa" w:w="3300"/>
            <w:shd w:fill="1B2A4A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600"/>
            <w:shd w:fill="1B2A4A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Currently Available?</w:t>
            </w:r>
          </w:p>
        </w:tc>
        <w:tc>
          <w:tcPr>
            <w:tcW w:type="dxa" w:w="3180"/>
            <w:shd w:fill="1B2A4A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Needed For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Segment-level (Entry/Core/Top-End) breakdown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— group totals only</w:t>
            </w:r>
          </w:p>
        </w:tc>
        <w:tc>
          <w:tcPr>
            <w:tcW w:type="dxa" w:w="318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Demand forecasting, mix analysis</w:t>
            </w:r>
          </w:p>
        </w:tc>
      </w:tr>
      <w:tr>
        <w:tc>
          <w:tcPr>
            <w:tcW w:type="dxa" w:w="33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Regional (China/US/Europe) breakdown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18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Demand forecasting, 2024 softness diagnosis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Expense-line-level detail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— only totals</w:t>
            </w:r>
          </w:p>
        </w:tc>
        <w:tc>
          <w:tcPr>
            <w:tcW w:type="dxa" w:w="318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Margin anomaly detection</w:t>
            </w:r>
          </w:p>
        </w:tc>
      </w:tr>
      <w:tr>
        <w:tc>
          <w:tcPr>
            <w:tcW w:type="dxa" w:w="33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Restated single-entity series (ex-Daimler Truck)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— flagged structural break</w:t>
            </w:r>
          </w:p>
        </w:tc>
        <w:tc>
          <w:tcPr>
            <w:tcW w:type="dxa" w:w="318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 forecasting models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Quarterly (not annual) cadence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— annual only</w:t>
            </w:r>
          </w:p>
        </w:tc>
        <w:tc>
          <w:tcPr>
            <w:tcW w:type="dxa" w:w="318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 three models</w:t>
            </w:r>
          </w:p>
        </w:tc>
      </w:tr>
    </w:tbl>
    <w:p>
      <w:pPr>
        <w:spacing w:after="100" w:before="160"/>
      </w:pPr>
      <w:r>
        <w:rPr>
          <w:b/>
          <w:bCs/>
          <w:color w:val="3B4A6B"/>
          <w:sz w:val="24"/>
          <w:szCs w:val="24"/>
        </w:rPr>
        <w:t xml:space="preserve">11.6 Suggested Sequencing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Phase 1 (data): restate the series ex-Daimler Truck, add segment/regional breakdowns, and move to quarterly cadence — no modeling work should start before this.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Phase 2 (baseline models): control-chart anomaly detection and a simple segment-level volume regression, both cheap to build and easy to explain to non-technical stakeholders.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Phase 3 (refinement): move to time-series forecasting once 2+ years of quarterly segment data exist.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Phase 4 (productionization): surface all of the above in the same BI layer referenced in Section 2, so predictive output sits next to the descriptive KPIs already in this report.</w:t>
      </w:r>
    </w:p>
    <w:p>
      <w:r>
        <w:br w:type="page"/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Appendix: Methodology Notes &amp; Limitations</w:t>
      </w:r>
    </w:p>
    <w:p>
      <w:pPr>
        <w:pBdr>
          <w:bottom w:val="single" w:color="3B4A6B" w:sz="6" w:space="4"/>
        </w:pBdr>
        <w:spacing w:after="160"/>
      </w:pPr>
      <w:r>
        <w:rPr>
          <w:sz w:val="2"/>
          <w:szCs w:val="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Source: Mercedes-Benz Group / Daimler AG official full-year results releases and annual reports (FY2015–FY2024), cross-checked against third-party financial data aggregators for consistency.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Exact figures confirmed in the source report: annual units, revenue, net profit, net margin, R&amp;D spend (except 2016, undisclosed), employees, and revenue-per-unit for all 10 years.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Raw source data (Appendix Table, page 15) preserved the inconsistent units/formats typical of pulling figures from multiple annual disclosures across a decade — see the original raw table for full traceability.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The 2021 structural break (Daimler Truck spin-off/IPO) means no figure spanning 2015–2024 should be read as a single-entity time trend without adjustment; every metric in this report is presented as originally reported by the group at the time.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2016 R&amp;D figure was not disclosed in the source release and is treated as missing (N/A) rather than estimated.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This report's structure, KPI definitions, and architecture reference follow a standard descriptive-analytics reporting format; Section 11 (predictive roadmap) and Section 7 (correlation analysis) extend beyond a purely descriptive scope.</w:t>
      </w:r>
    </w:p>
    <w:p>
      <w:pPr>
        <w:spacing w:after="140"/>
      </w:pPr>
    </w:p>
    <w:p>
      <w:pPr>
        <w:spacing w:after="100" w:before="160"/>
      </w:pPr>
      <w:r>
        <w:rPr>
          <w:b/>
          <w:bCs/>
          <w:color w:val="3B4A6B"/>
          <w:sz w:val="24"/>
          <w:szCs w:val="24"/>
        </w:rPr>
        <w:t xml:space="preserve">Raw Source Data (as originally compiled, before parsing/cleaning)</w:t>
      </w:r>
    </w:p>
    <w:tbl>
      <w:tblPr>
        <w:tblW w:type="dxa" w:w="8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50"/>
        <w:gridCol w:w="1600"/>
        <w:gridCol w:w="1500"/>
        <w:gridCol w:w="1250"/>
        <w:gridCol w:w="1580"/>
      </w:tblGrid>
      <w:tr>
        <w:trPr>
          <w:tblHeader/>
        </w:trPr>
        <w:tc>
          <w:tcPr>
            <w:tcW w:type="dxa" w:w="1300"/>
            <w:shd w:fill="1B2A4A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450"/>
            <w:shd w:fill="1B2A4A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Units (raw)</w:t>
            </w:r>
          </w:p>
        </w:tc>
        <w:tc>
          <w:tcPr>
            <w:tcW w:type="dxa" w:w="1600"/>
            <w:shd w:fill="1B2A4A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Revenue (raw)</w:t>
            </w:r>
          </w:p>
        </w:tc>
        <w:tc>
          <w:tcPr>
            <w:tcW w:type="dxa" w:w="1500"/>
            <w:shd w:fill="1B2A4A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Net Profit (raw)</w:t>
            </w:r>
          </w:p>
        </w:tc>
        <w:tc>
          <w:tcPr>
            <w:tcW w:type="dxa" w:w="1250"/>
            <w:shd w:fill="1B2A4A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R&amp;D (raw)</w:t>
            </w:r>
          </w:p>
        </w:tc>
        <w:tc>
          <w:tcPr>
            <w:tcW w:type="dxa" w:w="1580"/>
            <w:shd w:fill="1B2A4A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Employees (raw)</w:t>
            </w:r>
          </w:p>
        </w:tc>
      </w:tr>
      <w:tr>
        <w:tc>
          <w:tcPr>
            <w:tcW w:type="dxa" w:w="1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FY2015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1.87M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€149.5B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€8.71B</w:t>
            </w:r>
          </w:p>
        </w:tc>
        <w:tc>
          <w:tcPr>
            <w:tcW w:type="dxa" w:w="1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6.9B</w:t>
            </w:r>
          </w:p>
        </w:tc>
        <w:tc>
          <w:tcPr>
            <w:tcW w:type="dxa" w:w="158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284,000</w:t>
            </w:r>
          </w:p>
        </w:tc>
      </w:tr>
      <w:tr>
        <w:tc>
          <w:tcPr>
            <w:tcW w:type="dxa" w:w="13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FY2016</w:t>
            </w:r>
          </w:p>
        </w:tc>
        <w:tc>
          <w:tcPr>
            <w:tcW w:type="dxa" w:w="14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2.08 M</w:t>
            </w:r>
          </w:p>
        </w:tc>
        <w:tc>
          <w:tcPr>
            <w:tcW w:type="dxa" w:w="16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153.3B EUR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8.35B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58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282000</w:t>
            </w:r>
          </w:p>
        </w:tc>
      </w:tr>
      <w:tr>
        <w:tc>
          <w:tcPr>
            <w:tcW w:type="dxa" w:w="1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FY2017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2.29m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€164.3 B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€10.87B</w:t>
            </w:r>
          </w:p>
        </w:tc>
        <w:tc>
          <w:tcPr>
            <w:tcW w:type="dxa" w:w="1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8.7B</w:t>
            </w:r>
          </w:p>
        </w:tc>
        <w:tc>
          <w:tcPr>
            <w:tcW w:type="dxa" w:w="158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289K</w:t>
            </w:r>
          </w:p>
        </w:tc>
      </w:tr>
      <w:tr>
        <w:tc>
          <w:tcPr>
            <w:tcW w:type="dxa" w:w="13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2018</w:t>
            </w:r>
          </w:p>
        </w:tc>
        <w:tc>
          <w:tcPr>
            <w:tcW w:type="dxa" w:w="14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2.31M</w:t>
            </w:r>
          </w:p>
        </w:tc>
        <w:tc>
          <w:tcPr>
            <w:tcW w:type="dxa" w:w="16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167.4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7.57B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9.6</w:t>
            </w:r>
          </w:p>
        </w:tc>
        <w:tc>
          <w:tcPr>
            <w:tcW w:type="dxa" w:w="158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298,000</w:t>
            </w:r>
          </w:p>
        </w:tc>
      </w:tr>
      <w:tr>
        <w:tc>
          <w:tcPr>
            <w:tcW w:type="dxa" w:w="1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FY2019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2.34 million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€172.7B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2.71 B</w:t>
            </w:r>
          </w:p>
        </w:tc>
        <w:tc>
          <w:tcPr>
            <w:tcW w:type="dxa" w:w="1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9.7B</w:t>
            </w:r>
          </w:p>
        </w:tc>
        <w:tc>
          <w:tcPr>
            <w:tcW w:type="dxa" w:w="158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298k</w:t>
            </w:r>
          </w:p>
        </w:tc>
      </w:tr>
      <w:tr>
        <w:tc>
          <w:tcPr>
            <w:tcW w:type="dxa" w:w="13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FY2020</w:t>
            </w:r>
          </w:p>
        </w:tc>
        <w:tc>
          <w:tcPr>
            <w:tcW w:type="dxa" w:w="14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2.16M</w:t>
            </w:r>
          </w:p>
        </w:tc>
        <w:tc>
          <w:tcPr>
            <w:tcW w:type="dxa" w:w="16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154.3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4.02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9.1B</w:t>
            </w:r>
          </w:p>
        </w:tc>
        <w:tc>
          <w:tcPr>
            <w:tcW w:type="dxa" w:w="158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288000</w:t>
            </w:r>
          </w:p>
        </w:tc>
      </w:tr>
      <w:tr>
        <w:tc>
          <w:tcPr>
            <w:tcW w:type="dxa" w:w="1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FY2021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2.05M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€157.8B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22.35B*</w:t>
            </w:r>
          </w:p>
        </w:tc>
        <w:tc>
          <w:tcPr>
            <w:tcW w:type="dxa" w:w="1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8.7</w:t>
            </w:r>
          </w:p>
        </w:tc>
        <w:tc>
          <w:tcPr>
            <w:tcW w:type="dxa" w:w="158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172,000</w:t>
            </w:r>
          </w:p>
        </w:tc>
      </w:tr>
      <w:tr>
        <w:tc>
          <w:tcPr>
            <w:tcW w:type="dxa" w:w="13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FY2022</w:t>
            </w:r>
          </w:p>
        </w:tc>
        <w:tc>
          <w:tcPr>
            <w:tcW w:type="dxa" w:w="14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2.04M</w:t>
            </w:r>
          </w:p>
        </w:tc>
        <w:tc>
          <w:tcPr>
            <w:tcW w:type="dxa" w:w="16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150.0B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14.81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8.7B</w:t>
            </w:r>
          </w:p>
        </w:tc>
        <w:tc>
          <w:tcPr>
            <w:tcW w:type="dxa" w:w="158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172K</w:t>
            </w:r>
          </w:p>
        </w:tc>
      </w:tr>
      <w:tr>
        <w:tc>
          <w:tcPr>
            <w:tcW w:type="dxa" w:w="1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FY 2023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2.04M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€153.2B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14.53B</w:t>
            </w:r>
          </w:p>
        </w:tc>
        <w:tc>
          <w:tcPr>
            <w:tcW w:type="dxa" w:w="1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10.0</w:t>
            </w:r>
          </w:p>
        </w:tc>
        <w:tc>
          <w:tcPr>
            <w:tcW w:type="dxa" w:w="158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168,000</w:t>
            </w:r>
          </w:p>
        </w:tc>
      </w:tr>
      <w:tr>
        <w:tc>
          <w:tcPr>
            <w:tcW w:type="dxa" w:w="13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FY2024</w:t>
            </w:r>
          </w:p>
        </w:tc>
        <w:tc>
          <w:tcPr>
            <w:tcW w:type="dxa" w:w="14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1.98M</w:t>
            </w:r>
          </w:p>
        </w:tc>
        <w:tc>
          <w:tcPr>
            <w:tcW w:type="dxa" w:w="16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145.6B EUR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10.40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9.7B</w:t>
            </w:r>
          </w:p>
        </w:tc>
        <w:tc>
          <w:tcPr>
            <w:tcW w:type="dxa" w:w="1580"/>
            <w:shd w:fill="F5F7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175000</w:t>
            </w:r>
          </w:p>
        </w:tc>
      </w:tr>
    </w:tbl>
    <w:p>
      <w:pPr>
        <w:spacing w:after="100"/>
      </w:pP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* Includes one-off gain from the Daimler Truck spin-off/IPO. Source: Mercedes-Benz Group / Daimler AG full-year results releases and annual reports (FY2015–FY2024), compiled and rounded.</w:t>
      </w:r>
    </w:p>
    <w:p>
      <w:r>
        <w:br w:type="page"/>
      </w:r>
    </w:p>
    <w:p>
      <w:pPr>
        <w:spacing w:after="700"/>
      </w:pPr>
    </w:p>
    <w:p>
      <w:pPr>
        <w:spacing w:after="40"/>
        <w:jc w:val="center"/>
      </w:pPr>
      <w:r>
        <w:rPr>
          <w:b/>
          <w:bCs/>
          <w:color w:val="8C96A6"/>
          <w:sz w:val="22"/>
          <w:szCs w:val="22"/>
        </w:rPr>
        <w:t xml:space="preserve">DECADE PERFORMANCE ANALYTICS</w:t>
      </w:r>
    </w:p>
    <w:p>
      <w:pPr>
        <w:spacing w:after="300"/>
        <w:jc w:val="center"/>
      </w:pPr>
      <w:r>
        <w:rPr>
          <w:b/>
          <w:bCs/>
          <w:color w:val="1B2A4A"/>
          <w:sz w:val="60"/>
          <w:szCs w:val="60"/>
        </w:rPr>
        <w:t xml:space="preserve">Thank You!</w:t>
      </w:r>
    </w:p>
    <w:p>
      <w:pPr>
        <w:pBdr>
          <w:bottom w:val="single" w:color="B8791F" w:sz="8" w:space="6"/>
        </w:pBdr>
        <w:spacing w:after="260"/>
        <w:jc w:val="center"/>
      </w:pPr>
      <w:r>
        <w:rPr>
          <w:sz w:val="2"/>
          <w:szCs w:val="2"/>
        </w:rPr>
        <w:t xml:space="preserve"> 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Thank you for taking the time to explore this Decade Performance Report on Mercedes-Benz.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report focused on analyzing a decade of sales, pricing, and profitability data to identify trends, patterns, and key performance indicators.</w:t>
      </w:r>
    </w:p>
    <w:p>
      <w:pPr>
        <w:spacing w:after="340" w:before="0"/>
        <w:jc w:val="center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analysis helps in understanding past performance and supports better, data-driven decision-making.</w:t>
      </w:r>
    </w:p>
    <w:p>
      <w:pPr>
        <w:spacing w:after="40"/>
        <w:jc w:val="center"/>
      </w:pPr>
      <w:r>
        <w:rPr>
          <w:b/>
          <w:bCs/>
          <w:i/>
          <w:iCs/>
          <w:color w:val="3B4A6B"/>
          <w:sz w:val="22"/>
          <w:szCs w:val="22"/>
        </w:rPr>
        <w:t xml:space="preserve">“ Data tells the story of performance — analytics helps us understand it. ”</w:t>
      </w:r>
    </w:p>
    <w:p>
      <w:pPr>
        <w:spacing w:after="500"/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Presented by: Anshu Yadav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BCA — Data Science, Class BCA DS 22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63c4eb6acfc3166a38254f02726e16f7cc6690.png"/><Relationship Id="rId8" Type="http://schemas.openxmlformats.org/officeDocument/2006/relationships/image" Target="media/0e6146e8a54c459136c4e6d378fbe96f647711da.png"/><Relationship Id="rId9" Type="http://schemas.openxmlformats.org/officeDocument/2006/relationships/image" Target="media/db6cd169e74652086d84d7aadc525db443981b79.png"/><Relationship Id="rId10" Type="http://schemas.openxmlformats.org/officeDocument/2006/relationships/image" Target="media/fd095947e384c8e5c0803a872e5250147ca7876f.png"/><Relationship Id="rId11" Type="http://schemas.openxmlformats.org/officeDocument/2006/relationships/image" Target="media/61080380c3ef2f0b00e289b96ac36a4066993959.png"/><Relationship Id="rId12" Type="http://schemas.openxmlformats.org/officeDocument/2006/relationships/image" Target="media/7f084b70f4af6e513cc6522f8baaff76cfce3e2a.png"/><Relationship Id="rId13" Type="http://schemas.openxmlformats.org/officeDocument/2006/relationships/image" Target="media/df0c04997ddd1c1f185bc830c999aa90a375557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2026-08-19T18:03:53.666Z</dcterms:created>
  <dcterms:modified xsi:type="dcterms:W3CDTF">2026-08-19T18:03:53.684Z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