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</w:p>
    <w:p>
      <w:pPr>
        <w:spacing w:after="220" w:before="0"/>
      </w:pPr>
      <w:r>
        <w:rPr>
          <w:b/>
          <w:bCs/>
          <w:color w:val="0B7285"/>
          <w:spacing w:val="60"/>
          <w:sz w:val="17"/>
          <w:szCs w:val="17"/>
        </w:rPr>
        <w:t xml:space="preserve">CDATA SOFTWARE  ·  CONNECTOR QUALITY ENGINEERING</w:t>
      </w:r>
    </w:p>
    <w:p>
      <w:pPr>
        <w:spacing w:after="100" w:before="0"/>
      </w:pPr>
      <w:r>
        <w:rPr>
          <w:b/>
          <w:bCs/>
          <w:color w:val="1F4E68"/>
          <w:sz w:val="58"/>
          <w:szCs w:val="58"/>
        </w:rPr>
        <w:t xml:space="preserve">Installation &amp; Configuration Reference</w:t>
      </w:r>
    </w:p>
    <w:p>
      <w:pPr>
        <w:pBdr>
          <w:bottom w:val="single" w:color="CBD6DE" w:sz="10" w:space="12"/>
        </w:pBdr>
        <w:spacing w:after="300" w:before="0"/>
      </w:pPr>
      <w:r>
        <w:rPr>
          <w:color w:val="5B6B7C"/>
          <w:sz w:val="26"/>
          <w:szCs w:val="26"/>
        </w:rPr>
        <w:t xml:space="preserve">connector-qa — obtaining, installing, configuring and running the skill</w:t>
      </w:r>
    </w:p>
    <w:p>
      <w:pPr>
        <w:spacing w:after="420" w:before="240" w:line="300"/>
      </w:pPr>
      <w:r>
        <w:rPr>
          <w:color w:val="12212F"/>
          <w:sz w:val="22"/>
          <w:szCs w:val="22"/>
        </w:rPr>
        <w:t xml:space="preserve">A framework and design document describing how CData connectors are discovered, modelled, gap-analysed, tested through the Connect AI MCP server, and reported — and, just as important, what such a run does not establish.</w:t>
      </w:r>
    </w:p>
    <w:p>
      <w:r>
        <w:br w:type="page"/>
      </w:r>
    </w:p>
    <w:p>
      <w:pPr>
        <w:pBdr>
          <w:bottom w:val="single" w:color="1F4E68" w:sz="10" w:space="6"/>
        </w:pBdr>
        <w:spacing w:after="180" w:before="0"/>
      </w:pPr>
      <w:r>
        <w:rPr>
          <w:b/>
          <w:bCs/>
          <w:color w:val="1F4E68"/>
          <w:sz w:val="32"/>
          <w:szCs w:val="32"/>
        </w:rPr>
        <w:t xml:space="preserve">Contents</w:t>
      </w:r>
    </w:p>
    <w:p>
      <w:pPr>
        <w:spacing w:after="140" w:before="0"/>
      </w:pPr>
      <w:r>
        <w:rPr>
          <w:i/>
          <w:iCs/>
          <w:color w:val="5B6B7C"/>
          <w:sz w:val="17"/>
          <w:szCs w:val="17"/>
        </w:rPr>
        <w:t xml:space="preserve">If the list below is blank, select it and press F9 in Word to build the table of contents.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pBdr>
          <w:bottom w:val="single" w:color="1F4E68" w:sz="10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1F4E68"/>
          <w:sz w:val="32"/>
          <w:szCs w:val="32"/>
        </w:rPr>
        <w:t xml:space="preserve">1. Obtaining, configuring and running the skill</w:t>
      </w:r>
    </w:p>
    <w:tbl>
      <w:tblPr>
        <w:tblW w:type="pct" w:w="100%"/>
        <w:tblBorders>
          <w:top w:val="none" w:color="FFFFFF" w:sz="0"/>
          <w:left w:val="single" w:color="A1541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CF5ED" w:color="auto" w:val="clear"/>
            <w:tcMar>
              <w:top w:type="dxa" w:w="130"/>
              <w:left w:type="dxa" w:w="170"/>
              <w:bottom w:type="dxa" w:w="130"/>
              <w:right w:type="dxa" w:w="150"/>
            </w:tcMar>
            <w:vAlign w:val="top"/>
          </w:tcPr>
          <w:p>
            <w:pPr>
              <w:spacing w:after="70" w:before="0"/>
            </w:pPr>
            <w:r>
              <w:rPr>
                <w:rFonts w:ascii="Calibri" w:cs="Calibri" w:eastAsia="Calibri" w:hAnsi="Calibri"/>
                <w:b/>
                <w:bCs/>
                <w:color w:val="A1541A"/>
                <w:sz w:val="19"/>
                <w:szCs w:val="19"/>
              </w:rPr>
              <w:t xml:space="preserve">Paths are configured per machine and are never committed</w:t>
            </w:r>
          </w:p>
          <w:p>
            <w:pPr>
              <w:spacing w:after="0" w:before="0" w:line="258"/>
            </w:pPr>
            <w:r>
              <w:rPr>
                <w:rFonts w:ascii="Consolas" w:cs="Consolas" w:eastAsia="Consolas" w:hAnsi="Consolas"/>
                <w:color w:val="1B3240"/>
                <w:sz w:val="17"/>
                <w:szCs w:val="17"/>
                <w:shd w:fill="E8F1F4" w:val="clear"/>
              </w:rPr>
              <w:t xml:space="preserve">config.root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9"/>
                <w:szCs w:val="19"/>
              </w:rPr>
              <w:t xml:space="preserve"> is </w:t>
            </w:r>
            <w:r>
              <w:rPr>
                <w:rFonts w:ascii="Calibri" w:cs="Calibri" w:eastAsia="Calibri" w:hAnsi="Calibri"/>
                <w:b/>
                <w:bCs/>
                <w:color w:val="12212F"/>
                <w:sz w:val="19"/>
                <w:szCs w:val="19"/>
              </w:rPr>
              <w:t xml:space="preserve">empty in the shared copy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9"/>
                <w:szCs w:val="19"/>
              </w:rPr>
              <w:t xml:space="preserve">. The installer fills it in for the machine it runs on, which keeps every shared copy of the folder free of anyone's username. </w:t>
            </w:r>
            <w:r>
              <w:rPr>
                <w:rFonts w:ascii="Consolas" w:cs="Consolas" w:eastAsia="Consolas" w:hAnsi="Consolas"/>
                <w:color w:val="1B3240"/>
                <w:sz w:val="17"/>
                <w:szCs w:val="17"/>
                <w:shd w:fill="E8F1F4" w:val="clear"/>
              </w:rPr>
              <w:t xml:space="preserve">sync-skill.mjs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9"/>
                <w:szCs w:val="19"/>
              </w:rPr>
              <w:t xml:space="preserve"> deliberately never propagates </w:t>
            </w:r>
            <w:r>
              <w:rPr>
                <w:rFonts w:ascii="Consolas" w:cs="Consolas" w:eastAsia="Consolas" w:hAnsi="Consolas"/>
                <w:color w:val="1B3240"/>
                <w:sz w:val="17"/>
                <w:szCs w:val="17"/>
                <w:shd w:fill="E8F1F4" w:val="clear"/>
              </w:rPr>
              <w:t xml:space="preserve">config.root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9"/>
                <w:szCs w:val="19"/>
              </w:rPr>
              <w:t xml:space="preserve"> in either direction — the repo keeps its empty root and the deployed copy keeps its absolute path — and the runtime's own tests assert that. No absolute path appears anywhere in this document's examples for the same reason.</w:t>
            </w:r>
          </w:p>
        </w:tc>
      </w:tr>
    </w:tbl>
    <w:p>
      <w:pPr>
        <w:spacing w:after="160" w:before="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B7285"/>
          <w:sz w:val="25"/>
          <w:szCs w:val="25"/>
        </w:rPr>
        <w:t xml:space="preserve">1.1 Obtain the skill</w:t>
      </w:r>
    </w:p>
    <w:p>
      <w:pPr>
        <w:spacing w:after="130" w:before="0" w:line="268"/>
      </w:pP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If you were sent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connector-qa-&lt;version&gt;.zip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, unzip it into the folder that should hold your reports — for example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ConnectAIMCPTest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 — and go to 1.2. Otherwise clone it from Azure DevOps:</w:t>
      </w:r>
    </w:p>
    <w:tbl>
      <w:tblPr>
        <w:tblW w:type="pct" w:w="100%"/>
        <w:tblBorders>
          <w:top w:val="single" w:color="CBD6DE" w:sz="3"/>
          <w:left w:val="single" w:color="0B7285" w:sz="18"/>
          <w:bottom w:val="single" w:color="CBD6DE" w:sz="3"/>
          <w:right w:val="single" w:color="CBD6DE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6F8" w:color="auto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# clone the repository (substitute your organisation and project)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git clone https://dev.azure.com/&lt;org&gt;/&lt;project&gt;/_git/&lt;repo&gt; connector-qa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cd connector-qa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 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# no npm install needed: the scripts use only the Node standard library.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# Node 20 or newer is required — the installers stop without it.</w:t>
            </w:r>
          </w:p>
        </w:tc>
      </w:tr>
    </w:tbl>
    <w:p>
      <w:pPr>
        <w:spacing w:after="150" w:before="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B7285"/>
          <w:sz w:val="25"/>
          <w:szCs w:val="25"/>
        </w:rPr>
        <w:t xml:space="preserve">1.2 Install</w:t>
      </w:r>
    </w:p>
    <w:tbl>
      <w:tblPr>
        <w:tblW w:type="pct" w:w="100%"/>
        <w:tblBorders>
          <w:top w:val="single" w:color="CBD6DE" w:sz="3"/>
          <w:left w:val="single" w:color="0B7285" w:sz="18"/>
          <w:bottom w:val="single" w:color="CBD6DE" w:sz="3"/>
          <w:right w:val="single" w:color="CBD6DE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6F8" w:color="auto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# Windows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.\install.ps1 -Root "&lt;your output folder&gt;"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 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# macOS / Linux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bash install.sh --root "&lt;your output folder&gt;"</w:t>
            </w:r>
          </w:p>
        </w:tc>
      </w:tr>
    </w:tbl>
    <w:p>
      <w:pPr>
        <w:spacing w:after="150" w:before="0"/>
      </w:pPr>
    </w:p>
    <w:p>
      <w:pPr>
        <w:spacing w:after="130" w:before="0" w:line="268"/>
      </w:pP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The installer checks for Node 20+, copies only the runtime part of the folder (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SKILL.md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config.json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LICENSE.txt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agents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assets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references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schemas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scripts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) to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~/.claude/skills/connector-qa/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, sets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CONNECTOR_QA_ROOT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 for your user account, and leaves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config.root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 empty when installed as a link. Start a </w:t>
      </w:r>
      <w:r>
        <w:rPr>
          <w:rFonts w:ascii="Calibri" w:cs="Calibri" w:eastAsia="Calibri" w:hAnsi="Calibri"/>
          <w:b/>
          <w:bCs/>
          <w:color w:val="12212F"/>
          <w:sz w:val="21"/>
          <w:szCs w:val="21"/>
        </w:rPr>
        <w:t xml:space="preserve">new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 Claude Code session afterwards.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-Link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 (PowerShell) installs as a junction so edits in the working copy take effect without re-running; skip it if the folder lives in OneDrive with Files On-Demand.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B7285"/>
          <w:sz w:val="25"/>
          <w:szCs w:val="25"/>
        </w:rPr>
        <w:t xml:space="preserve">1.3 Root resolution order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5B6B7C"/>
          <w:sz w:val="18"/>
          <w:szCs w:val="18"/>
        </w:rPr>
        <w:t xml:space="preserve">How </w:t>
      </w:r>
      <w:r>
        <w:rPr>
          <w:rFonts w:ascii="Consolas" w:cs="Consolas" w:eastAsia="Consolas" w:hAnsi="Consolas"/>
          <w:color w:val="1B3240"/>
          <w:sz w:val="16"/>
          <w:szCs w:val="16"/>
          <w:shd w:fill="E8F1F4" w:val="clear"/>
        </w:rPr>
        <w:t xml:space="preserve">$ROOT</w:t>
      </w:r>
      <w:r>
        <w:rPr>
          <w:rFonts w:ascii="Calibri" w:cs="Calibri" w:eastAsia="Calibri" w:hAnsi="Calibri"/>
          <w:b/>
          <w:bCs/>
          <w:color w:val="5B6B7C"/>
          <w:sz w:val="18"/>
          <w:szCs w:val="18"/>
        </w:rPr>
        <w:t xml:space="preserve"> is resolved at Step 0</w:t>
      </w:r>
    </w:p>
    <w:tbl>
      <w:tblPr>
        <w:tblW w:type="pct" w:w="100%"/>
        <w:tblBorders>
          <w:top w:val="single" w:color="CBD6DE" w:sz="3"/>
          <w:left w:val="single" w:color="CBD6DE" w:sz="3"/>
          <w:bottom w:val="single" w:color="CBD6DE" w:sz="3"/>
          <w:right w:val="single" w:color="CBD6DE" w:sz="3"/>
          <w:insideH w:val="single" w:color="CBD6DE" w:sz="3"/>
          <w:insideV w:val="single" w:color="CBD6DE" w:sz="3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4E6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4%"/>
            <w:shd w:fill="1F4E6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pct" w:w="58%"/>
            <w:shd w:fill="1F4E6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1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Environment variable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CONNECTOR_QA_ROOT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Set by the installer. Machine-specific, never shared.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$env:CONNECTOR_QA_ROOT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in PowerShell,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$CONNECTOR_QA_ROOT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in Bash,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%CONNECTOR_QA_ROOT%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in cmd.</w:t>
            </w:r>
          </w:p>
        </w:tc>
      </w:tr>
      <w:tr>
        <w:tc>
          <w:tcPr>
            <w:tcW w:type="pct" w:w="8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2</w:t>
            </w:r>
          </w:p>
        </w:tc>
        <w:tc>
          <w:tcPr>
            <w:tcW w:type="pct" w:w="3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config.root</w:t>
            </w:r>
          </w:p>
        </w:tc>
        <w:tc>
          <w:tcPr>
            <w:tcW w:type="pct" w:w="58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Non-empty only after a local install</w:t>
            </w:r>
          </w:p>
        </w:tc>
      </w:tr>
      <w:tr>
        <w:tc>
          <w:tcPr>
            <w:tcW w:type="pct" w:w="8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3</w:t>
            </w:r>
          </w:p>
        </w:tc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The parent of the skill folder</w:t>
            </w:r>
          </w:p>
        </w:tc>
        <w:tc>
          <w:tcPr>
            <w:tcW w:type="pct" w:w="58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When it is named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ConnectAIMCPTest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or already contains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_querydumps/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— the zero-config case</w:t>
            </w:r>
          </w:p>
        </w:tc>
      </w:tr>
      <w:tr>
        <w:tc>
          <w:tcPr>
            <w:tcW w:type="pct" w:w="8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4</w:t>
            </w:r>
          </w:p>
        </w:tc>
        <w:tc>
          <w:tcPr>
            <w:tcW w:type="pct" w:w="3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config.root_fallback</w:t>
            </w:r>
          </w:p>
        </w:tc>
        <w:tc>
          <w:tcPr>
            <w:tcW w:type="pct" w:w="58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Expanding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%USERPROFILE%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. Last resort, and the runtime says so explicitly when this rule wins, because the operator almost certainly meant a project folder</w:t>
            </w:r>
          </w:p>
        </w:tc>
      </w:tr>
    </w:tbl>
    <w:p>
      <w:pPr>
        <w:spacing w:after="140" w:before="0"/>
      </w:pPr>
    </w:p>
    <w:p>
      <w:pPr>
        <w:spacing w:after="130" w:before="0" w:line="268"/>
      </w:pP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The rule that won is logged on the Step 0 line. No path is hardcoded anywhere else, and no username is ever written into a file that ships.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B7285"/>
          <w:sz w:val="25"/>
          <w:szCs w:val="25"/>
        </w:rPr>
        <w:t xml:space="preserve">1.4 Run</w:t>
      </w:r>
    </w:p>
    <w:tbl>
      <w:tblPr>
        <w:tblW w:type="pct" w:w="100%"/>
        <w:tblBorders>
          <w:top w:val="single" w:color="CBD6DE" w:sz="3"/>
          <w:left w:val="single" w:color="0B7285" w:sz="18"/>
          <w:bottom w:val="single" w:color="CBD6DE" w:sz="3"/>
          <w:right w:val="single" w:color="CBD6DE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6F8" w:color="auto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/connector-qa &lt;ConnectorName&gt; [--dump &lt;path&gt;] [--fresh] [--rerun] [--resume]</w:t>
            </w:r>
          </w:p>
        </w:tc>
      </w:tr>
    </w:tbl>
    <w:p>
      <w:pPr>
        <w:spacing w:after="150" w:before="0"/>
      </w:pP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5B6B7C"/>
          <w:sz w:val="18"/>
          <w:szCs w:val="18"/>
        </w:rPr>
        <w:t xml:space="preserve">Arguments</w:t>
      </w:r>
    </w:p>
    <w:tbl>
      <w:tblPr>
        <w:tblW w:type="pct" w:w="100%"/>
        <w:tblBorders>
          <w:top w:val="single" w:color="CBD6DE" w:sz="3"/>
          <w:left w:val="single" w:color="CBD6DE" w:sz="3"/>
          <w:bottom w:val="single" w:color="CBD6DE" w:sz="3"/>
          <w:right w:val="single" w:color="CBD6DE" w:sz="3"/>
          <w:insideH w:val="single" w:color="CBD6DE" w:sz="3"/>
          <w:insideV w:val="single" w:color="CBD6DE" w:sz="3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shd w:fill="1F4E6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Argument</w:t>
            </w:r>
          </w:p>
        </w:tc>
        <w:tc>
          <w:tcPr>
            <w:tcW w:type="pct" w:w="84%"/>
            <w:shd w:fill="1F4E6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&lt;ConnectorName&gt;</w:t>
            </w:r>
          </w:p>
        </w:tc>
        <w:tc>
          <w:tcPr>
            <w:tcW w:type="pct" w:w="8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Required —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NetSuite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Salesforce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GitHub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Asana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, …</w:t>
            </w:r>
          </w:p>
        </w:tc>
      </w:tr>
      <w:tr>
        <w:tc>
          <w:tcPr>
            <w:tcW w:type="pct" w:w="16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--dump &lt;path&gt;</w:t>
            </w:r>
          </w:p>
        </w:tc>
        <w:tc>
          <w:tcPr>
            <w:tcW w:type="pct" w:w="8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A specific query dump, CSV file or folder. Auto-discovered otherwise; absence changes nothing structural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--fresh</w:t>
            </w:r>
          </w:p>
        </w:tc>
        <w:tc>
          <w:tcPr>
            <w:tcW w:type="pct" w:w="8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Ignore everything on disk for this connector and start at Stage 1</w:t>
            </w:r>
          </w:p>
        </w:tc>
      </w:tr>
      <w:tr>
        <w:tc>
          <w:tcPr>
            <w:tcW w:type="pct" w:w="16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--rerun</w:t>
            </w:r>
          </w:p>
        </w:tc>
        <w:tc>
          <w:tcPr>
            <w:tcW w:type="pct" w:w="8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Skip Stages 1–7 and reuse existing knowledge and gaps, regenerating and re-executing tests. Runs a connectivity check first. Use when the connector has not changed</w:t>
            </w:r>
          </w:p>
        </w:tc>
      </w:tr>
      <w:tr>
        <w:tc>
          <w:tcPr>
            <w:tcW w:type="pct" w:w="16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--resume</w:t>
            </w:r>
          </w:p>
        </w:tc>
        <w:tc>
          <w:tcPr>
            <w:tcW w:type="pct" w:w="8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Reopen a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2212F"/>
                <w:sz w:val="18"/>
                <w:szCs w:val="18"/>
              </w:rPr>
              <w:t xml:space="preserve">completed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run's artifacts instead of starting fresh — for re-reporting</w:t>
            </w:r>
          </w:p>
        </w:tc>
      </w:tr>
    </w:tbl>
    <w:p>
      <w:pPr>
        <w:spacing w:after="140" w:before="0"/>
      </w:pPr>
    </w:p>
    <w:p>
      <w:pPr>
        <w:spacing w:after="130" w:before="0" w:line="268"/>
      </w:pP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There is deliberately no mode or depth flag. Coverage is decided by the gap model, so a flag could only relabel report groups while implying a coverage trade-off that does not exist. Grouping is a control inside the report instead, which gives every lens rather than one chosen up front.</w:t>
      </w:r>
    </w:p>
    <w:p>
      <w:pPr>
        <w:spacing w:after="130" w:before="0" w:line="268"/>
      </w:pPr>
      <w:r>
        <w:rPr>
          <w:rFonts w:ascii="Calibri" w:cs="Calibri" w:eastAsia="Calibri" w:hAnsi="Calibri"/>
          <w:b/>
          <w:bCs/>
          <w:color w:val="12212F"/>
          <w:sz w:val="21"/>
          <w:szCs w:val="21"/>
        </w:rPr>
        <w:t xml:space="preserve">If a run is interrupted, issue the same command again.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detect-stage.mjs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 reads the folder, works out which stage completed, merges anything stranded in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_agent_out/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, and resumes. Execution checkpoints after every single test.</w:t>
      </w: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B7285"/>
          <w:sz w:val="25"/>
          <w:szCs w:val="25"/>
        </w:rPr>
        <w:t xml:space="preserve">1.5 Verifying the skill</w:t>
      </w:r>
    </w:p>
    <w:tbl>
      <w:tblPr>
        <w:tblW w:type="pct" w:w="100%"/>
        <w:tblBorders>
          <w:top w:val="single" w:color="CBD6DE" w:sz="3"/>
          <w:left w:val="single" w:color="0B7285" w:sz="18"/>
          <w:bottom w:val="single" w:color="CBD6DE" w:sz="3"/>
          <w:right w:val="single" w:color="CBD6DE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6F8" w:color="auto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# from the repository root, with relative paths only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scripts/check-skill.mjs          # every config path quoted in the docs exists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npm test                              # check-skill + 74 runtime tests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scripts/sync-skill.mjs           # report drift between repo and deployed copy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scripts/sync-skill.mjs --push    # repo -&gt; deployed  (config.root never travels)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scripts/sync-skill.mjs --pull    # deployed -&gt; repo</w:t>
            </w:r>
          </w:p>
        </w:tc>
      </w:tr>
    </w:tbl>
    <w:p>
      <w:pPr>
        <w:spacing w:after="150" w:before="0"/>
      </w:pPr>
    </w:p>
    <w:p>
      <w:pPr>
        <w:pStyle w:val="Heading2"/>
        <w:keepNext/>
        <w:spacing w:after="120" w:before="300"/>
      </w:pPr>
      <w:r>
        <w:rPr>
          <w:rFonts w:ascii="Calibri" w:cs="Calibri" w:eastAsia="Calibri" w:hAnsi="Calibri"/>
          <w:b/>
          <w:bCs/>
          <w:color w:val="0B7285"/>
          <w:sz w:val="25"/>
          <w:szCs w:val="25"/>
        </w:rPr>
        <w:t xml:space="preserve">1.6 Stage entry points, for running a stage by hand</w:t>
      </w:r>
    </w:p>
    <w:tbl>
      <w:tblPr>
        <w:tblW w:type="pct" w:w="100%"/>
        <w:tblBorders>
          <w:top w:val="single" w:color="CBD6DE" w:sz="3"/>
          <w:left w:val="single" w:color="0B7285" w:sz="18"/>
          <w:bottom w:val="single" w:color="CBD6DE" w:sz="3"/>
          <w:right w:val="single" w:color="CBD6DE" w:sz="3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6F8" w:color="auto" w:val="clear"/>
            <w:tcMar>
              <w:top w:type="dxa" w:w="120"/>
              <w:left w:type="dxa" w:w="160"/>
              <w:bottom w:type="dxa" w:w="120"/>
              <w:right w:type="dxa" w:w="140"/>
            </w:tcMar>
            <w:vAlign w:val="top"/>
          </w:tcPr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# Paths are relative to the repository. $CONNECTOR_QA_ROOT points at your output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# folder; &lt;C&gt; below stands for the connector name, e.g. Asana or NetSuite.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DIR="$CONNECTOR_QA_ROOT/&lt;C&gt;"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 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scripts/detect-stage.mjs      --dir "$DIR"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scripts/tier-objects.mjs      --dir "$DIR"            # add --apply to write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scripts/validate-model.mjs    --dir "$DIR" --stage 5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scripts/compute-gaps.mjs      --knowledge "$DIR/&lt;C&gt;_knowledge.json" \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                                   --coverage  "$DIR/&lt;C&gt;_coverage.json" \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                                   --out       "$DIR/&lt;C&gt;_gaps.json" --round 0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scripts/score-gaps.mjs        --gaps      "$DIR/&lt;C&gt;_gaps.json" \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                                   --knowledge "$DIR/&lt;C&gt;_knowledge.json"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scripts/generate-tests.mjs    --dir "$DIR"            # --no-write to preview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scripts/review-prep.mjs       --dir "$DIR"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scripts/review-merge.mjs      --dir "$DIR" --patch "&lt;patch file or dir&gt;" --model opus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scripts/export-jdbc-suite.mjs --dir "$DIR"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scripts/credit-coverage.mjs   --checkpoint "$DIR/&lt;C&gt;_checkpoint.jsonl" \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                                   --coverage   "$DIR/&lt;C&gt;_coverage.json" \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                                   --gaps       "$DIR/&lt;C&gt;_gaps.json" \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                                   --knowledge  "$DIR/&lt;C&gt;_knowledge.json"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scripts/merge-checkpoint.mjs  --jsonl "$DIR/&lt;C&gt;_checkpoint.jsonl" \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                                   --out   "$DIR/&lt;C&gt;_checkpoint.json" \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                                   --plan  "$DIR/&lt;C&gt;_plan.json"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scripts/build-report.mjs      --dir "$DIR" --template assets/report-template.html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scripts/validate-report.mjs   "$DIR/&lt;C&gt;_dynamic_test_report.html"</w:t>
            </w:r>
          </w:p>
          <w:p>
            <w:pPr>
              <w:spacing w:after="0" w:before="0" w:line="216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</w:rPr>
              <w:t xml:space="preserve">node scripts/finish-run.mjs        --dir "$DIR"</w:t>
            </w:r>
          </w:p>
        </w:tc>
      </w:tr>
    </w:tbl>
    <w:p>
      <w:pPr>
        <w:spacing w:after="150" w:before="0"/>
      </w:pPr>
    </w:p>
    <w:p>
      <w:pPr>
        <w:spacing w:after="130" w:before="0" w:line="268"/>
      </w:pP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Exit codes are one convention across every script: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0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 success,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2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 usage error,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3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 data error — an artifact missing, malformed, or failing a gate.</w:t>
      </w:r>
    </w:p>
    <w:p>
      <w:r>
        <w:br w:type="page"/>
      </w:r>
    </w:p>
    <w:p>
      <w:pPr>
        <w:pStyle w:val="Heading1"/>
        <w:keepNext/>
        <w:pBdr>
          <w:bottom w:val="single" w:color="1F4E68" w:sz="10" w:space="6"/>
        </w:pBdr>
        <w:spacing w:after="180" w:before="420"/>
      </w:pPr>
      <w:r>
        <w:rPr>
          <w:rFonts w:ascii="Calibri" w:cs="Calibri" w:eastAsia="Calibri" w:hAnsi="Calibri"/>
          <w:b/>
          <w:bCs/>
          <w:color w:val="1F4E68"/>
          <w:sz w:val="32"/>
          <w:szCs w:val="32"/>
        </w:rPr>
        <w:t xml:space="preserve">2. Configuration reference</w:t>
      </w: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5B6B7C"/>
          <w:sz w:val="18"/>
          <w:szCs w:val="18"/>
        </w:rPr>
        <w:t xml:space="preserve">The configurable surface (</w:t>
      </w:r>
      <w:r>
        <w:rPr>
          <w:rFonts w:ascii="Consolas" w:cs="Consolas" w:eastAsia="Consolas" w:hAnsi="Consolas"/>
          <w:color w:val="1B3240"/>
          <w:sz w:val="16"/>
          <w:szCs w:val="16"/>
          <w:shd w:fill="E8F1F4" w:val="clear"/>
        </w:rPr>
        <w:t xml:space="preserve">config.json</w:t>
      </w:r>
      <w:r>
        <w:rPr>
          <w:rFonts w:ascii="Calibri" w:cs="Calibri" w:eastAsia="Calibri" w:hAnsi="Calibri"/>
          <w:b/>
          <w:bCs/>
          <w:color w:val="5B6B7C"/>
          <w:sz w:val="18"/>
          <w:szCs w:val="18"/>
        </w:rPr>
        <w:t xml:space="preserve">)</w:t>
      </w:r>
    </w:p>
    <w:tbl>
      <w:tblPr>
        <w:tblW w:type="pct" w:w="100%"/>
        <w:tblBorders>
          <w:top w:val="single" w:color="CBD6DE" w:sz="3"/>
          <w:left w:val="single" w:color="CBD6DE" w:sz="3"/>
          <w:bottom w:val="single" w:color="CBD6DE" w:sz="3"/>
          <w:right w:val="single" w:color="CBD6DE" w:sz="3"/>
          <w:insideH w:val="single" w:color="CBD6DE" w:sz="3"/>
          <w:insideV w:val="single" w:color="CBD6DE" w:sz="3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1F4E6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pct" w:w="14%"/>
            <w:shd w:fill="1F4E6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pct" w:w="54%"/>
            <w:shd w:fill="1F4E6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root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2212F"/>
                <w:sz w:val="18"/>
                <w:szCs w:val="18"/>
              </w:rPr>
              <w:t xml:space="preserve">(empty)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Output folder. Filled per machine by the installer; </w:t>
            </w:r>
            <w:r>
              <w:rPr>
                <w:rFonts w:ascii="Calibri" w:cs="Calibri" w:eastAsia="Calibri" w:hAnsi="Calibri"/>
                <w:b/>
                <w:bCs/>
                <w:color w:val="12212F"/>
                <w:sz w:val="18"/>
                <w:szCs w:val="18"/>
              </w:rPr>
              <w:t xml:space="preserve">the shared copy keeps it empty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sync-skill.mjs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never propagates it</w:t>
            </w:r>
          </w:p>
        </w:tc>
      </w:tr>
      <w:tr>
        <w:tc>
          <w:tcPr>
            <w:tcW w:type="pct" w:w="32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defaults.write_policy.execute_reversible</w:t>
            </w:r>
          </w:p>
        </w:tc>
        <w:tc>
          <w:tcPr>
            <w:tcW w:type="pct" w:w="1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true</w:t>
            </w:r>
          </w:p>
        </w:tc>
        <w:tc>
          <w:tcPr>
            <w:tcW w:type="pct" w:w="5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Whether UPDATEs and procedures with a paired undo execute</w:t>
            </w:r>
          </w:p>
        </w:tc>
      </w:tr>
      <w:t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defaults.write_policy.execute_irreversible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false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recommended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The most consequential switch in the file. True means the run creates records it cannot remove</w:t>
            </w:r>
          </w:p>
        </w:tc>
      </w:tr>
      <w:tr>
        <w:tc>
          <w:tcPr>
            <w:tcW w:type="pct" w:w="32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defaults.write_policy.write_workspace</w:t>
            </w:r>
          </w:p>
        </w:tc>
        <w:tc>
          <w:tcPr>
            <w:tcW w:type="pct" w:w="1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—</w:t>
            </w:r>
          </w:p>
        </w:tc>
        <w:tc>
          <w:tcPr>
            <w:tcW w:type="pct" w:w="5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Names the environment writes are permitted against. Stage 1 compares it with what it observes and stops on a mismatch</w:t>
            </w:r>
          </w:p>
        </w:tc>
      </w:tr>
      <w:t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defaults.retry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3 attempts, 2/8/30s, 120s timeout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Transient-error handling before an infra failure cascades</w:t>
            </w:r>
          </w:p>
        </w:tc>
      </w:tr>
      <w:tr>
        <w:tc>
          <w:tcPr>
            <w:tcW w:type="pct" w:w="32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defaults.persist_every_n_items</w:t>
            </w:r>
          </w:p>
        </w:tc>
        <w:tc>
          <w:tcPr>
            <w:tcW w:type="pct" w:w="1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10</w:t>
            </w:r>
          </w:p>
        </w:tc>
        <w:tc>
          <w:tcPr>
            <w:tcW w:type="pct" w:w="5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How often mid-stage progress is written, so a compaction loses minutes rather than a stage</w:t>
            </w:r>
          </w:p>
        </w:tc>
      </w:tr>
      <w:t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defaults.parallel_batch_size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5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Stage 9 concurrency</w:t>
            </w:r>
          </w:p>
        </w:tc>
      </w:tr>
      <w:tr>
        <w:tc>
          <w:tcPr>
            <w:tcW w:type="pct" w:w="32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defaults.max_tcs</w:t>
            </w:r>
          </w:p>
        </w:tc>
        <w:tc>
          <w:tcPr>
            <w:tcW w:type="pct" w:w="1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400</w:t>
            </w:r>
          </w:p>
        </w:tc>
        <w:tc>
          <w:tcPr>
            <w:tcW w:type="pct" w:w="5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12212F"/>
                <w:sz w:val="18"/>
                <w:szCs w:val="18"/>
              </w:rPr>
              <w:t xml:space="preserve">Advisory, not a limit.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Exceeding it prints a breakdown and keeps every test</w:t>
            </w:r>
          </w:p>
        </w:tc>
      </w:tr>
      <w:t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defaults.min_dimension_coverage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0.8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The completeness gate. A dimension planned below this share stops the run</w:t>
            </w:r>
          </w:p>
        </w:tc>
      </w:tr>
      <w:tr>
        <w:tc>
          <w:tcPr>
            <w:tcW w:type="pct" w:w="32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defaults.skip_tc_review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skip_post_exec_review</w:t>
            </w:r>
          </w:p>
        </w:tc>
        <w:tc>
          <w:tcPr>
            <w:tcW w:type="pct" w:w="1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false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false</w:t>
            </w:r>
          </w:p>
        </w:tc>
        <w:tc>
          <w:tcPr>
            <w:tcW w:type="pct" w:w="5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Skipping removes the independent judgement that catches prompt blind spots and misattributed verdicts</w:t>
            </w:r>
          </w:p>
        </w:tc>
      </w:tr>
      <w:t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models.research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models.semantic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sonnet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Search-and-extract work; does not need the orchestrator's model</w:t>
            </w:r>
          </w:p>
        </w:tc>
      </w:tr>
      <w:tr>
        <w:tc>
          <w:tcPr>
            <w:tcW w:type="pct" w:w="32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models.under_test</w:t>
            </w:r>
          </w:p>
        </w:tc>
        <w:tc>
          <w:tcPr>
            <w:tcW w:type="pct" w:w="1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sonnet</w:t>
            </w:r>
          </w:p>
        </w:tc>
        <w:tc>
          <w:tcPr>
            <w:tcW w:type="pct" w:w="5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12212F"/>
                <w:sz w:val="18"/>
                <w:szCs w:val="18"/>
              </w:rPr>
              <w:t xml:space="preserve">The agent being measured.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Set it to whatever your production agents run on — choosing it for cost measures the wrong thing</w:t>
            </w:r>
          </w:p>
        </w:tc>
      </w:tr>
      <w:t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models.tc_review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opus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Stage 8.5 audits the plan and writes the tests it is missing — judgement under ambiguity, so it earns the stronger model</w:t>
            </w:r>
          </w:p>
        </w:tc>
      </w:tr>
      <w:tr>
        <w:tc>
          <w:tcPr>
            <w:tcW w:type="pct" w:w="32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models.post_exec_review</w:t>
            </w:r>
          </w:p>
        </w:tc>
        <w:tc>
          <w:tcPr>
            <w:tcW w:type="pct" w:w="1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sonnet</w:t>
            </w:r>
          </w:p>
        </w:tc>
        <w:tc>
          <w:tcPr>
            <w:tcW w:type="pct" w:w="5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Stage 10.5 narrates results that already exist and is far more constrained</w:t>
            </w:r>
          </w:p>
        </w:tc>
      </w:tr>
      <w:t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models.isolate_execution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true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False runs Stage 9 in the main thread; recorded in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run_meta.execution_mode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and flagged in the report as a weaker measurement</w:t>
            </w:r>
          </w:p>
        </w:tc>
      </w:tr>
      <w:tr>
        <w:tc>
          <w:tcPr>
            <w:tcW w:type="pct" w:w="32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models.required_orchestrator</w:t>
            </w:r>
          </w:p>
        </w:tc>
        <w:tc>
          <w:tcPr>
            <w:tcW w:type="pct" w:w="1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null</w:t>
            </w:r>
          </w:p>
        </w:tc>
        <w:tc>
          <w:tcPr>
            <w:tcW w:type="pct" w:w="5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Gates rather than assigns: Step 0 reads the real session model and halts if it does not match.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null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accepts any</w:t>
            </w:r>
          </w:p>
        </w:tc>
      </w:tr>
      <w:t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delegation.tier_before_columns_above_objects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100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Above this, Stage 3 goes tier-first</w:t>
            </w:r>
          </w:p>
        </w:tc>
      </w:tr>
      <w:tr>
        <w:tc>
          <w:tcPr>
            <w:tcW w:type="pct" w:w="32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delegation.shard_semantic_schema_above_objects</w:t>
            </w:r>
          </w:p>
        </w:tc>
        <w:tc>
          <w:tcPr>
            <w:tcW w:type="pct" w:w="1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40</w:t>
            </w:r>
          </w:p>
        </w:tc>
        <w:tc>
          <w:tcPr>
            <w:tcW w:type="pct" w:w="54%"/>
            <w:shd w:fill="F7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Above this many T1+T2 objects, the semantic model is sharded</w:t>
            </w:r>
          </w:p>
        </w:tc>
      </w:tr>
      <w:tr>
        <w:tc>
          <w:tcPr>
            <w:tcW w:type="pct" w:w="32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query_dumps.shared_dir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per_connector_dir</w:t>
            </w:r>
          </w:p>
        </w:tc>
        <w:tc>
          <w:tcPr>
            <w:tcW w:type="pct" w:w="1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_querydumps</w:t>
            </w: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B3240"/>
                <w:sz w:val="16"/>
                <w:szCs w:val="16"/>
                <w:shd w:fill="E8F1F4" w:val="clear"/>
              </w:rPr>
              <w:t xml:space="preserve">querydump</w:t>
            </w:r>
          </w:p>
        </w:tc>
        <w:tc>
          <w:tcPr>
            <w:tcW w:type="pct" w:w="54%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2212F"/>
                <w:sz w:val="18"/>
                <w:szCs w:val="18"/>
              </w:rPr>
              <w:t xml:space="preserve">Where dumps are auto-discovered. Rows are matched to a connector by catalog/schema in the query text, </w:t>
            </w:r>
            <w:r>
              <w:rPr>
                <w:rFonts w:ascii="Calibri" w:cs="Calibri" w:eastAsia="Calibri" w:hAnsi="Calibri"/>
                <w:b/>
                <w:bCs/>
                <w:color w:val="12212F"/>
                <w:sz w:val="18"/>
                <w:szCs w:val="18"/>
              </w:rPr>
              <w:t xml:space="preserve">never by filename</w:t>
            </w:r>
          </w:p>
        </w:tc>
      </w:tr>
    </w:tbl>
    <w:p>
      <w:pPr>
        <w:spacing w:after="140" w:before="0"/>
      </w:pPr>
    </w:p>
    <w:p>
      <w:pPr>
        <w:spacing w:after="130" w:before="0" w:line="268"/>
      </w:pP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Models are </w:t>
      </w:r>
      <w:r>
        <w:rPr>
          <w:rFonts w:ascii="Calibri" w:cs="Calibri" w:eastAsia="Calibri" w:hAnsi="Calibri"/>
          <w:b/>
          <w:bCs/>
          <w:color w:val="12212F"/>
          <w:sz w:val="21"/>
          <w:szCs w:val="21"/>
        </w:rPr>
        <w:t xml:space="preserve">family aliases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sonnet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opus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haiku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fable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), not versions. A specific release cannot be pinned here because the Agent tool exposes families only, and claiming one in </w:t>
      </w:r>
      <w:r>
        <w:rPr>
          <w:rFonts w:ascii="Consolas" w:cs="Consolas" w:eastAsia="Consolas" w:hAnsi="Consolas"/>
          <w:color w:val="1B3240"/>
          <w:sz w:val="19"/>
          <w:szCs w:val="19"/>
          <w:shd w:fill="E8F1F4" w:val="clear"/>
        </w:rPr>
        <w:t xml:space="preserve">run_meta</w:t>
      </w:r>
      <w:r>
        <w:rPr>
          <w:rFonts w:ascii="Calibri" w:cs="Calibri" w:eastAsia="Calibri" w:hAnsi="Calibri"/>
          <w:b w:val="false"/>
          <w:bCs w:val="false"/>
          <w:color w:val="12212F"/>
          <w:sz w:val="21"/>
          <w:szCs w:val="21"/>
        </w:rPr>
        <w:t xml:space="preserve"> would be inventing precision the runtime does not have.</w:t>
      </w:r>
    </w:p>
    <w:sectPr>
      <w:headerReference w:type="default" r:id="rId7"/>
      <w:footerReference w:type="default" r:id="rId8"/>
      <w:pgSz w:w="12240" w:h="15840" w:orient="portrait"/>
      <w:pgMar w:top="1296" w:right="1224" w:bottom="1224" w:left="1224" w:header="648" w:footer="6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B7C"/>
        <w:sz w:val="15"/>
        <w:szCs w:val="15"/>
      </w:rPr>
      <w:t xml:space="preserve">CData Software — internal  ·  </w:t>
    </w:r>
    <w:r>
      <w:rPr>
        <w:b/>
        <w:bCs/>
        <w:color w:val="5B6B7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B7C"/>
        <w:sz w:val="15"/>
        <w:szCs w:val="15"/>
      </w:rPr>
      <w:t xml:space="preserve"> / </w:t>
    </w:r>
    <w:r>
      <w:rPr>
        <w:color w:val="5B6B7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6DE" w:sz="3" w:space="4"/>
      </w:pBdr>
      <w:spacing w:after="40" w:before="0"/>
    </w:pPr>
    <w:r>
      <w:rPr>
        <w:color w:val="5B6B7C"/>
        <w:sz w:val="15"/>
        <w:szCs w:val="15"/>
      </w:rPr>
      <w:t xml:space="preserve">Installation &amp; Configuration Reference  ·  connector-qa 2.1.0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12F"/>
        <w:sz w:val="21"/>
        <w:szCs w:val="21"/>
      </w:rPr>
    </w:rPrDefault>
    <w:pPrDefault>
      <w:pPr>
        <w:spacing w:line="26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68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B728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2212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&amp; Configuration Reference</dc:title>
  <dc:creator>CData Software — Connector QA</dc:creator>
  <dc:description>connector-qa — obtaining, installing, configuring and running the skill</dc:description>
  <cp:lastModifiedBy>Un-named</cp:lastModifiedBy>
  <cp:revision>1</cp:revision>
  <dcterms:created xsi:type="dcterms:W3CDTF">2026-10-01T11:01:44.846Z</dcterms:created>
  <dcterms:modified xsi:type="dcterms:W3CDTF">2026-10-01T11:01:44.848Z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