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INERTIA WEALTH CREATORS</w:t>
      </w:r>
    </w:p>
    <w:p>
      <w:r>
        <w:rPr>
          <w:b/>
        </w:rPr>
        <w:t>Suitability Report prepared for Mr Abhijit ray</w:t>
      </w:r>
    </w:p>
    <w:p>
      <w:r>
        <w:rPr>
          <w:b w:val="0"/>
        </w:rPr>
        <w:t>The contents of this report and the recommendation was provided by Mr. Shobhit Khare.</w:t>
      </w:r>
    </w:p>
    <w:p>
      <w:pPr>
        <w:pStyle w:val="Heading1"/>
      </w:pPr>
      <w:r>
        <w:t>Asset types explained</w:t>
      </w:r>
    </w:p>
    <w:p>
      <w:r>
        <w:rPr>
          <w:b w:val="0"/>
        </w:rPr>
        <w:t>Based on current holdings, the client’s portfolio uses the following asset classes: Equity, Equity ETF, Debt Mutual Funds, Fixed Income, REITs.</w:t>
      </w:r>
    </w:p>
    <w:p>
      <w:pPr>
        <w:pStyle w:val="Heading2"/>
      </w:pPr>
      <w:r>
        <w:t>Equity</w:t>
      </w:r>
    </w:p>
    <w:p>
      <w:r>
        <w:rPr>
          <w:b w:val="0"/>
        </w:rPr>
        <w:t>Equities are company shares. Limited companies can sell their shares to raise capital, paying a share of their profit (known as a dividend) to the buyer in return. Shares are bought and sold on the stock exchange and their prices can go up as well as down.</w:t>
      </w:r>
    </w:p>
    <w:p>
      <w:pPr>
        <w:pStyle w:val="Heading2"/>
      </w:pPr>
      <w:r>
        <w:t>Equity ETF</w:t>
      </w:r>
    </w:p>
    <w:p>
      <w:r>
        <w:rPr>
          <w:b w:val="0"/>
        </w:rPr>
        <w:t>Equity ETFs track an index or basket of stocks and trade on the exchange, typically offering low-cost, liquid access to broad or thematic equity exposure.</w:t>
      </w:r>
    </w:p>
    <w:p>
      <w:pPr>
        <w:pStyle w:val="Heading2"/>
      </w:pPr>
      <w:r>
        <w:t>Debt Mutual Funds</w:t>
      </w:r>
    </w:p>
    <w:p>
      <w:r>
        <w:rPr>
          <w:b w:val="0"/>
        </w:rPr>
        <w:t>A debt mutual funds and ETFs invests in fixed income instruments, such as Corporate and Government Bonds, corporate debt securities, and money market instruments etc. that offer capital appreciation.</w:t>
      </w:r>
    </w:p>
    <w:p>
      <w:r>
        <w:rPr>
          <w:b w:val="0"/>
        </w:rPr>
        <w:t>A few major advantages of investing in this asset type are low-cost structure, relatively stable returns, relatively high liquidity, and reasonable safety.</w:t>
      </w:r>
    </w:p>
    <w:p>
      <w:pPr>
        <w:pStyle w:val="Heading2"/>
      </w:pPr>
      <w:r>
        <w:t>Fixed Income</w:t>
      </w:r>
    </w:p>
    <w:p>
      <w:r>
        <w:rPr>
          <w:b w:val="0"/>
        </w:rPr>
        <w:t>Fixed income instruments such as bonds, NCDs and related securities provide contractual cash flows and can help dampen overall portfolio volatility relative to equities.</w:t>
      </w:r>
    </w:p>
    <w:p>
      <w:pPr>
        <w:pStyle w:val="Heading2"/>
      </w:pPr>
      <w:r>
        <w:t>REITs</w:t>
      </w:r>
    </w:p>
    <w:p>
      <w:r>
        <w:rPr>
          <w:b w:val="0"/>
        </w:rPr>
        <w:t>REITs and InvITs provide exposure to income-producing real estate or infrastructure assets through listed units, combining potential yield with market liquidity.</w:t>
      </w:r>
    </w:p>
    <w:p>
      <w:pPr>
        <w:pStyle w:val="Heading1"/>
      </w:pPr>
      <w:r>
        <w:t>INVESTMENT OPTIONS</w:t>
      </w:r>
    </w:p>
    <w:p>
      <w:pPr>
        <w:pStyle w:val="Heading2"/>
      </w:pPr>
      <w:r>
        <w:t>Equity</w:t>
      </w:r>
    </w:p>
    <w:p>
      <w:r>
        <w:rPr>
          <w:b w:val="0"/>
        </w:rPr>
        <w:t>An equity portfolio of high-quality companies with a leadership position in non-challenged sectors with the sector growing at a healthy rate. The following stocks are currently held by the client:</w:t>
      </w:r>
    </w:p>
    <w:tbl>
      <w:tblPr>
        <w:tblStyle w:val="TableGrid"/>
        <w:tblW w:type="auto" w:w="0"/>
        <w:tblLook w:firstColumn="1" w:firstRow="1" w:lastColumn="0" w:lastRow="0" w:noHBand="0" w:noVBand="1" w:val="04A0"/>
      </w:tblPr>
      <w:tblGrid>
        <w:gridCol w:w="2880"/>
        <w:gridCol w:w="2880"/>
        <w:gridCol w:w="2880"/>
      </w:tblGrid>
      <w:tr>
        <w:tc>
          <w:tcPr>
            <w:tcW w:type="dxa" w:w="2880"/>
          </w:tcPr>
          <w:p>
            <w:r>
              <w:t>APL Apollo Tubes Limited</w:t>
            </w:r>
          </w:p>
        </w:tc>
        <w:tc>
          <w:tcPr>
            <w:tcW w:type="dxa" w:w="2880"/>
          </w:tcPr>
          <w:p>
            <w:r>
              <w:t>Asian Paints Limited</w:t>
            </w:r>
          </w:p>
        </w:tc>
        <w:tc>
          <w:tcPr>
            <w:tcW w:type="dxa" w:w="2880"/>
          </w:tcPr>
          <w:p>
            <w:r>
              <w:t>AU Small Finance Bank Limited</w:t>
            </w:r>
          </w:p>
        </w:tc>
      </w:tr>
      <w:tr>
        <w:tc>
          <w:tcPr>
            <w:tcW w:type="dxa" w:w="2880"/>
          </w:tcPr>
          <w:p>
            <w:r>
              <w:t>Aurobindo Pharma Limited</w:t>
            </w:r>
          </w:p>
        </w:tc>
        <w:tc>
          <w:tcPr>
            <w:tcW w:type="dxa" w:w="2880"/>
          </w:tcPr>
          <w:p>
            <w:r>
              <w:t>Bajaj Finance Limited</w:t>
            </w:r>
          </w:p>
        </w:tc>
        <w:tc>
          <w:tcPr>
            <w:tcW w:type="dxa" w:w="2880"/>
          </w:tcPr>
          <w:p>
            <w:r>
              <w:t>Divi's Laboratories Limited</w:t>
            </w:r>
          </w:p>
        </w:tc>
      </w:tr>
      <w:tr>
        <w:tc>
          <w:tcPr>
            <w:tcW w:type="dxa" w:w="2880"/>
          </w:tcPr>
          <w:p>
            <w:r>
              <w:t>Dr. Lal Path Labs Ltd.</w:t>
            </w:r>
          </w:p>
        </w:tc>
        <w:tc>
          <w:tcPr>
            <w:tcW w:type="dxa" w:w="2880"/>
          </w:tcPr>
          <w:p>
            <w:r>
              <w:t>ETERNAL LIMITED</w:t>
            </w:r>
          </w:p>
        </w:tc>
        <w:tc>
          <w:tcPr>
            <w:tcW w:type="dxa" w:w="2880"/>
          </w:tcPr>
          <w:p>
            <w:r>
              <w:t>HDFC Asset Management Company Limited</w:t>
            </w:r>
          </w:p>
        </w:tc>
      </w:tr>
      <w:tr>
        <w:tc>
          <w:tcPr>
            <w:tcW w:type="dxa" w:w="2880"/>
          </w:tcPr>
          <w:p>
            <w:r>
              <w:t>HDFC Bank Limited</w:t>
            </w:r>
          </w:p>
        </w:tc>
        <w:tc>
          <w:tcPr>
            <w:tcW w:type="dxa" w:w="2880"/>
          </w:tcPr>
          <w:p>
            <w:r>
              <w:t>HDFC Life Insurance Company Limited</w:t>
            </w:r>
          </w:p>
        </w:tc>
        <w:tc>
          <w:tcPr>
            <w:tcW w:type="dxa" w:w="2880"/>
          </w:tcPr>
          <w:p>
            <w:r>
              <w:t>ICICI Lombard General Insurance Company Limited</w:t>
            </w:r>
          </w:p>
        </w:tc>
      </w:tr>
      <w:tr>
        <w:tc>
          <w:tcPr>
            <w:tcW w:type="dxa" w:w="2880"/>
          </w:tcPr>
          <w:p>
            <w:r>
              <w:t>Indiamart Intermesh Limited</w:t>
            </w:r>
          </w:p>
        </w:tc>
        <w:tc>
          <w:tcPr>
            <w:tcW w:type="dxa" w:w="2880"/>
          </w:tcPr>
          <w:p>
            <w:r>
              <w:t>Indian Energy Exchange Limited</w:t>
            </w:r>
          </w:p>
        </w:tc>
        <w:tc>
          <w:tcPr>
            <w:tcW w:type="dxa" w:w="2880"/>
          </w:tcPr>
          <w:p>
            <w:r>
              <w:t>Info Edge (India) Limited</w:t>
            </w:r>
          </w:p>
        </w:tc>
      </w:tr>
      <w:tr>
        <w:tc>
          <w:tcPr>
            <w:tcW w:type="dxa" w:w="2880"/>
          </w:tcPr>
          <w:p>
            <w:r>
              <w:t>Jio Financial Services Limited</w:t>
            </w:r>
          </w:p>
        </w:tc>
        <w:tc>
          <w:tcPr>
            <w:tcW w:type="dxa" w:w="2880"/>
          </w:tcPr>
          <w:p>
            <w:r>
              <w:t>Kotak Mahindra Bank Limited</w:t>
            </w:r>
          </w:p>
        </w:tc>
        <w:tc>
          <w:tcPr>
            <w:tcW w:type="dxa" w:w="2880"/>
          </w:tcPr>
          <w:p>
            <w:r>
              <w:t>Larsen &amp; Toubro Limited</w:t>
            </w:r>
          </w:p>
        </w:tc>
      </w:tr>
      <w:tr>
        <w:tc>
          <w:tcPr>
            <w:tcW w:type="dxa" w:w="2880"/>
          </w:tcPr>
          <w:p>
            <w:r>
              <w:t>LTIMindtree Limited</w:t>
            </w:r>
          </w:p>
        </w:tc>
        <w:tc>
          <w:tcPr>
            <w:tcW w:type="dxa" w:w="2880"/>
          </w:tcPr>
          <w:p>
            <w:r>
              <w:t>Marico Limited</w:t>
            </w:r>
          </w:p>
        </w:tc>
        <w:tc>
          <w:tcPr>
            <w:tcW w:type="dxa" w:w="2880"/>
          </w:tcPr>
          <w:p>
            <w:r>
              <w:t>Maruti Suzuki India Limited</w:t>
            </w:r>
          </w:p>
        </w:tc>
      </w:tr>
      <w:tr>
        <w:tc>
          <w:tcPr>
            <w:tcW w:type="dxa" w:w="2880"/>
          </w:tcPr>
          <w:p>
            <w:r>
              <w:t>One 97 Communications Limited</w:t>
            </w:r>
          </w:p>
        </w:tc>
        <w:tc>
          <w:tcPr>
            <w:tcW w:type="dxa" w:w="2880"/>
          </w:tcPr>
          <w:p>
            <w:r>
              <w:t>Page Industries Limited</w:t>
            </w:r>
          </w:p>
        </w:tc>
        <w:tc>
          <w:tcPr>
            <w:tcW w:type="dxa" w:w="2880"/>
          </w:tcPr>
          <w:p>
            <w:r>
              <w:t>PB Fintech Limited</w:t>
            </w:r>
          </w:p>
        </w:tc>
      </w:tr>
      <w:tr>
        <w:tc>
          <w:tcPr>
            <w:tcW w:type="dxa" w:w="2880"/>
          </w:tcPr>
          <w:p>
            <w:r>
              <w:t>PI Industries Limited</w:t>
            </w:r>
          </w:p>
        </w:tc>
        <w:tc>
          <w:tcPr>
            <w:tcW w:type="dxa" w:w="2880"/>
          </w:tcPr>
          <w:p>
            <w:r>
              <w:t>Pidilite Industries Limited</w:t>
            </w:r>
          </w:p>
        </w:tc>
        <w:tc>
          <w:tcPr>
            <w:tcW w:type="dxa" w:w="2880"/>
          </w:tcPr>
          <w:p>
            <w:r>
              <w:t>Redington Limited</w:t>
            </w:r>
          </w:p>
        </w:tc>
      </w:tr>
      <w:tr>
        <w:tc>
          <w:tcPr>
            <w:tcW w:type="dxa" w:w="2880"/>
          </w:tcPr>
          <w:p>
            <w:r>
              <w:t>SHREE CEMENT LIMITED</w:t>
            </w:r>
          </w:p>
        </w:tc>
        <w:tc>
          <w:tcPr>
            <w:tcW w:type="dxa" w:w="2880"/>
          </w:tcPr>
          <w:p>
            <w:r>
              <w:t>Tata Consultancy Services Limited</w:t>
            </w:r>
          </w:p>
        </w:tc>
        <w:tc>
          <w:tcPr>
            <w:tcW w:type="dxa" w:w="2880"/>
          </w:tcPr>
          <w:p>
            <w:r>
              <w:t>Titan Company Limited</w:t>
            </w:r>
          </w:p>
        </w:tc>
      </w:tr>
    </w:tbl>
    <w:p>
      <w:pPr>
        <w:pStyle w:val="Heading2"/>
      </w:pPr>
      <w:r>
        <w:t>Equity Mutual Funds</w:t>
      </w:r>
    </w:p>
    <w:p>
      <w:r>
        <w:rPr>
          <w:b w:val="0"/>
        </w:rPr>
        <w:t>Equity mutual fund schemes currently held by the client:</w:t>
      </w:r>
    </w:p>
    <w:p>
      <w:r>
        <w:rPr>
          <w:b w:val="0"/>
        </w:rPr>
        <w:t>No equity mutual fund holdings currently recorded for this client.</w:t>
      </w:r>
    </w:p>
    <w:p>
      <w:pPr>
        <w:pStyle w:val="Heading2"/>
      </w:pPr>
      <w:r>
        <w:t>Equity ETF</w:t>
      </w:r>
    </w:p>
    <w:p>
      <w:r>
        <w:rPr>
          <w:b w:val="0"/>
        </w:rPr>
        <w:t>JUNIORBEES (Historical - Merged/Delisted)</w:t>
      </w:r>
    </w:p>
    <w:p>
      <w:r>
        <w:rPr>
          <w:b w:val="0"/>
        </w:rPr>
        <w:t>NIFTYBEES (Historical - Merged/Delisted)</w:t>
      </w:r>
    </w:p>
    <w:p>
      <w:pPr>
        <w:pStyle w:val="Heading2"/>
      </w:pPr>
      <w:r>
        <w:t>Debt Funds</w:t>
      </w:r>
    </w:p>
    <w:p>
      <w:r>
        <w:rPr>
          <w:b w:val="0"/>
        </w:rPr>
        <w:t>Debt mutual funds investing in debt securities including bonds issued by corporates, banks and Government, and money market instruments.</w:t>
      </w:r>
    </w:p>
    <w:p>
      <w:r>
        <w:rPr>
          <w:b w:val="0"/>
        </w:rPr>
        <w:t>HDFC Medium Term Debt Fund Direct Plan Growth Option</w:t>
      </w:r>
    </w:p>
    <w:p>
      <w:pPr>
        <w:pStyle w:val="Heading2"/>
      </w:pPr>
      <w:r>
        <w:t>Debt ETF</w:t>
      </w:r>
    </w:p>
    <w:p>
      <w:r>
        <w:rPr>
          <w:b w:val="0"/>
        </w:rPr>
        <w:t>Bharat Bond ETF – April 2030</w:t>
      </w:r>
    </w:p>
    <w:p>
      <w:pPr>
        <w:pStyle w:val="Heading2"/>
      </w:pPr>
      <w:r>
        <w:t>REITs / InvITs</w:t>
      </w:r>
    </w:p>
    <w:p>
      <w:r>
        <w:rPr>
          <w:b w:val="0"/>
        </w:rPr>
        <w:t>Brookfield India Real Estate Trust</w:t>
      </w:r>
    </w:p>
    <w:p>
      <w:r>
        <w:rPr>
          <w:b w:val="0"/>
        </w:rPr>
        <w:t>Embassy REIT</w:t>
      </w:r>
    </w:p>
    <w:p>
      <w:r>
        <w:rPr>
          <w:b w:val="0"/>
        </w:rPr>
        <w:t>Mindspace Business Parks REIT</w:t>
      </w:r>
    </w:p>
    <w:p>
      <w:pPr>
        <w:pStyle w:val="Heading1"/>
      </w:pPr>
      <w:r>
        <w:t>Assessed risk profile is Moderate</w:t>
      </w:r>
    </w:p>
    <w:p>
      <w:r>
        <w:rPr>
          <w:b w:val="0"/>
        </w:rPr>
        <w:t>Moderate profile represents investors who seek a balance of growth and stability. The portfolio typically mixes equities and debt to moderate volatility while still aiming for long-term appreciation.</w:t>
      </w:r>
    </w:p>
    <w:p>
      <w:pPr>
        <w:pStyle w:val="Heading1"/>
      </w:pPr>
      <w:r>
        <w:t>Investment Objective</w:t>
      </w:r>
    </w:p>
    <w:p>
      <w:r>
        <w:rPr>
          <w:b w:val="0"/>
        </w:rPr>
        <w:t>Investment objective is to generate above inflation returns on a long-term basis and build long term wealth.</w:t>
      </w:r>
    </w:p>
    <w:p>
      <w:pPr>
        <w:pStyle w:val="Heading1"/>
      </w:pPr>
      <w:r>
        <w:t>Other Aspects considered for arriving at investment advice:</w:t>
      </w:r>
    </w:p>
    <w:tbl>
      <w:tblPr>
        <w:tblStyle w:val="TableGrid"/>
        <w:tblW w:type="auto" w:w="0"/>
        <w:tblLook w:firstColumn="1" w:firstRow="1" w:lastColumn="0" w:lastRow="0" w:noHBand="0" w:noVBand="1" w:val="04A0"/>
      </w:tblPr>
      <w:tblGrid>
        <w:gridCol w:w="4320"/>
        <w:gridCol w:w="4320"/>
      </w:tblGrid>
      <w:tr>
        <w:tc>
          <w:tcPr>
            <w:tcW w:type="dxa" w:w="4320"/>
          </w:tcPr>
          <w:p>
            <w:r>
              <w:t>Age</w:t>
            </w:r>
          </w:p>
        </w:tc>
        <w:tc>
          <w:tcPr>
            <w:tcW w:type="dxa" w:w="4320"/>
          </w:tcPr>
          <w:p>
            <w:r>
              <w:t>49</w:t>
            </w:r>
          </w:p>
        </w:tc>
      </w:tr>
      <w:tr>
        <w:tc>
          <w:tcPr>
            <w:tcW w:type="dxa" w:w="4320"/>
          </w:tcPr>
          <w:p>
            <w:r>
              <w:t>Income</w:t>
            </w:r>
          </w:p>
        </w:tc>
        <w:tc>
          <w:tcPr>
            <w:tcW w:type="dxa" w:w="4320"/>
          </w:tcPr>
          <w:p>
            <w:r>
              <w:t>25-50 Lakhs</w:t>
            </w:r>
          </w:p>
        </w:tc>
      </w:tr>
      <w:tr>
        <w:tc>
          <w:tcPr>
            <w:tcW w:type="dxa" w:w="4320"/>
          </w:tcPr>
          <w:p>
            <w:r>
              <w:t>Liability</w:t>
            </w:r>
          </w:p>
        </w:tc>
        <w:tc>
          <w:tcPr>
            <w:tcW w:type="dxa" w:w="4320"/>
          </w:tcPr>
          <w:p>
            <w:r>
              <w:t>None</w:t>
            </w:r>
          </w:p>
        </w:tc>
      </w:tr>
    </w:tbl>
    <w:p>
      <w:pPr>
        <w:pStyle w:val="Heading1"/>
      </w:pPr>
      <w:r>
        <w:t>Comments</w:t>
      </w:r>
    </w:p>
    <w:p>
      <w:r>
        <w:rPr>
          <w:b w:val="0"/>
        </w:rPr>
        <w:t>Based on the assessed risk profile and subsequent discussion with the client, a mix of equity and debt is most appropriate. Overall equity exposure is determined after considering other assets as well which are not directly managed by the adviser. Overall exposure to equity and equity-based investments should be maintained within the band of 40%–95%, which keeps the current exposure within this band.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