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Federated Continual Learning Through Distillation in Pervasive Computing</w:t>
      </w:r>
    </w:p>
    <w:p>
      <w:pPr>
        <w:jc w:val="center"/>
      </w:pPr>
      <w:r>
        <w:rPr>
          <w:b/>
        </w:rPr>
        <w:t>Anshul Chauhan</w:t>
        <w:br/>
      </w:r>
      <w:r>
        <w:t>Indian Institute of Technology Patna</w:t>
      </w:r>
    </w:p>
    <w:p>
      <w:pPr>
        <w:pStyle w:val="Heading1"/>
      </w:pPr>
      <w:r>
        <w:t>Abstract</w:t>
      </w:r>
    </w:p>
    <w:p>
      <w:r>
        <w:t>This report presents a Federated Continual Learning framework inspired by FedKDC. The implementation was performed using the Flower framework and synthetic SEED-like EEG datasets. Real experiment outputs generated during the project are analyzed using communication metrics, convergence behavior, and federated training statistics. The framework investigates the impact of knowledge distillation and heterogeneous client learning under pervasive computing environments.</w:t>
      </w:r>
    </w:p>
    <w:p>
      <w:pPr>
        <w:pStyle w:val="Heading1"/>
      </w:pPr>
      <w:r>
        <w:t>Introduction</w:t>
      </w:r>
    </w:p>
    <w:p>
      <w:r>
        <w:t>Federated Learning enables collaborative training without sharing raw data. However, heterogeneous clients and continual learning environments create significant challenges. This work studies knowledge distillation based federated continual learning inspired by FedKDC and evaluates communication efficiency, convergence stability, and continual learning behavior.</w:t>
      </w:r>
    </w:p>
    <w:p>
      <w:pPr>
        <w:pStyle w:val="Heading1"/>
      </w:pPr>
      <w:r>
        <w:t>Related Work</w:t>
      </w:r>
    </w:p>
    <w:p>
      <w:r>
        <w:t>The work is inspired by FedAvg, FedProx, FedMD, and FedKDC. FedAvg provides the baseline aggregation method while FedKDC introduces clustered knowledge distillation for personalized federated learning.</w:t>
      </w:r>
    </w:p>
    <w:p>
      <w:pPr>
        <w:pStyle w:val="Heading1"/>
      </w:pPr>
      <w:r>
        <w:t>Dataset and Experimental Setup</w:t>
      </w:r>
    </w:p>
    <w:p>
      <w:r>
        <w:t>Synthetic EEG-like datasets were generated to emulate SEED dataset characteristics. Experiments were implemented using Flower and PyTorch with standardized federated learning settings. Multiple clients participated under IID and non-IID settings.</w:t>
      </w:r>
    </w:p>
    <w:p>
      <w:pPr>
        <w:pStyle w:val="Heading1"/>
      </w:pPr>
      <w:r>
        <w:t>Methodology</w:t>
      </w:r>
    </w:p>
    <w:p>
      <w:r>
        <w:t>The workflow consists of local client training, server aggregation, continual learning adaptation, and knowledge distillation. Clients train local models independently and exchange collaborative knowledge through federated aggregation.</w:t>
      </w:r>
    </w:p>
    <w:p>
      <w:pPr>
        <w:pStyle w:val="Heading1"/>
      </w:pPr>
      <w:r>
        <w:t>Results and Discussion</w:t>
      </w:r>
    </w:p>
    <w:p>
      <w:r>
        <w:t>The generated outputs demonstrate successful federated training convergence. Global accuracy improved steadily across communication rounds while communication cost increased linearly. The framework remained stable under heterogeneous settings.</w:t>
      </w:r>
    </w:p>
    <w:p>
      <w:pPr>
        <w:pStyle w:val="Heading1"/>
      </w:pPr>
      <w:r>
        <w:t>Real Experimental Outputs</w:t>
      </w:r>
    </w:p>
    <w:p>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seed_label_distribution.png"/>
                    <pic:cNvPicPr/>
                  </pic:nvPicPr>
                  <pic:blipFill>
                    <a:blip r:embed="rId9"/>
                    <a:stretch>
                      <a:fillRect/>
                    </a:stretch>
                  </pic:blipFill>
                  <pic:spPr>
                    <a:xfrm>
                      <a:off x="0" y="0"/>
                      <a:ext cx="5303520" cy="2651760"/>
                    </a:xfrm>
                    <a:prstGeom prst="rect"/>
                  </pic:spPr>
                </pic:pic>
              </a:graphicData>
            </a:graphic>
          </wp:inline>
        </w:drawing>
      </w:r>
    </w:p>
    <w:p>
      <w:r>
        <w:t>SEED Label Distribution</w:t>
      </w:r>
    </w:p>
    <w:p>
      <w:r>
        <w:drawing>
          <wp:inline xmlns:a="http://schemas.openxmlformats.org/drawingml/2006/main" xmlns:pic="http://schemas.openxmlformats.org/drawingml/2006/picture">
            <wp:extent cx="5303520" cy="4545874"/>
            <wp:docPr id="2" name="Picture 2"/>
            <wp:cNvGraphicFramePr>
              <a:graphicFrameLocks noChangeAspect="1"/>
            </wp:cNvGraphicFramePr>
            <a:graphic>
              <a:graphicData uri="http://schemas.openxmlformats.org/drawingml/2006/picture">
                <pic:pic>
                  <pic:nvPicPr>
                    <pic:cNvPr id="0" name="seed_subject_pca.png"/>
                    <pic:cNvPicPr/>
                  </pic:nvPicPr>
                  <pic:blipFill>
                    <a:blip r:embed="rId10"/>
                    <a:stretch>
                      <a:fillRect/>
                    </a:stretch>
                  </pic:blipFill>
                  <pic:spPr>
                    <a:xfrm>
                      <a:off x="0" y="0"/>
                      <a:ext cx="5303520" cy="4545874"/>
                    </a:xfrm>
                    <a:prstGeom prst="rect"/>
                  </pic:spPr>
                </pic:pic>
              </a:graphicData>
            </a:graphic>
          </wp:inline>
        </w:drawing>
      </w:r>
    </w:p>
    <w:p>
      <w:r>
        <w:t>SEED Subject PCA Visualization</w:t>
      </w:r>
    </w:p>
    <w:p>
      <w:r>
        <w:drawing>
          <wp:inline xmlns:a="http://schemas.openxmlformats.org/drawingml/2006/main" xmlns:pic="http://schemas.openxmlformats.org/drawingml/2006/picture">
            <wp:extent cx="5303520" cy="1325880"/>
            <wp:docPr id="3" name="Picture 3"/>
            <wp:cNvGraphicFramePr>
              <a:graphicFrameLocks noChangeAspect="1"/>
            </wp:cNvGraphicFramePr>
            <a:graphic>
              <a:graphicData uri="http://schemas.openxmlformats.org/drawingml/2006/picture">
                <pic:pic>
                  <pic:nvPicPr>
                    <pic:cNvPr id="0" name="seed_dirichlet_grid.png"/>
                    <pic:cNvPicPr/>
                  </pic:nvPicPr>
                  <pic:blipFill>
                    <a:blip r:embed="rId11"/>
                    <a:stretch>
                      <a:fillRect/>
                    </a:stretch>
                  </pic:blipFill>
                  <pic:spPr>
                    <a:xfrm>
                      <a:off x="0" y="0"/>
                      <a:ext cx="5303520" cy="1325880"/>
                    </a:xfrm>
                    <a:prstGeom prst="rect"/>
                  </pic:spPr>
                </pic:pic>
              </a:graphicData>
            </a:graphic>
          </wp:inline>
        </w:drawing>
      </w:r>
    </w:p>
    <w:p>
      <w:r>
        <w:t>Dirichlet Non-IID Partition Distribution</w:t>
      </w:r>
    </w:p>
    <w:p>
      <w:r>
        <w:drawing>
          <wp:inline xmlns:a="http://schemas.openxmlformats.org/drawingml/2006/main" xmlns:pic="http://schemas.openxmlformats.org/drawingml/2006/picture">
            <wp:extent cx="5303520" cy="3814642"/>
            <wp:docPr id="4" name="Picture 4"/>
            <wp:cNvGraphicFramePr>
              <a:graphicFrameLocks noChangeAspect="1"/>
            </wp:cNvGraphicFramePr>
            <a:graphic>
              <a:graphicData uri="http://schemas.openxmlformats.org/drawingml/2006/picture">
                <pic:pic>
                  <pic:nvPicPr>
                    <pic:cNvPr id="0" name="real_accuracy.png"/>
                    <pic:cNvPicPr/>
                  </pic:nvPicPr>
                  <pic:blipFill>
                    <a:blip r:embed="rId12"/>
                    <a:stretch>
                      <a:fillRect/>
                    </a:stretch>
                  </pic:blipFill>
                  <pic:spPr>
                    <a:xfrm>
                      <a:off x="0" y="0"/>
                      <a:ext cx="5303520" cy="3814642"/>
                    </a:xfrm>
                    <a:prstGeom prst="rect"/>
                  </pic:spPr>
                </pic:pic>
              </a:graphicData>
            </a:graphic>
          </wp:inline>
        </w:drawing>
      </w:r>
    </w:p>
    <w:p>
      <w:r>
        <w:t>Global Accuracy vs Communication Rounds</w:t>
      </w:r>
    </w:p>
    <w:p>
      <w:r>
        <w:drawing>
          <wp:inline xmlns:a="http://schemas.openxmlformats.org/drawingml/2006/main" xmlns:pic="http://schemas.openxmlformats.org/drawingml/2006/picture">
            <wp:extent cx="5303520" cy="3814642"/>
            <wp:docPr id="5" name="Picture 5"/>
            <wp:cNvGraphicFramePr>
              <a:graphicFrameLocks noChangeAspect="1"/>
            </wp:cNvGraphicFramePr>
            <a:graphic>
              <a:graphicData uri="http://schemas.openxmlformats.org/drawingml/2006/picture">
                <pic:pic>
                  <pic:nvPicPr>
                    <pic:cNvPr id="0" name="real_loss.png"/>
                    <pic:cNvPicPr/>
                  </pic:nvPicPr>
                  <pic:blipFill>
                    <a:blip r:embed="rId13"/>
                    <a:stretch>
                      <a:fillRect/>
                    </a:stretch>
                  </pic:blipFill>
                  <pic:spPr>
                    <a:xfrm>
                      <a:off x="0" y="0"/>
                      <a:ext cx="5303520" cy="3814642"/>
                    </a:xfrm>
                    <a:prstGeom prst="rect"/>
                  </pic:spPr>
                </pic:pic>
              </a:graphicData>
            </a:graphic>
          </wp:inline>
        </w:drawing>
      </w:r>
    </w:p>
    <w:p>
      <w:r>
        <w:t>Global Loss vs Communication Rounds</w:t>
      </w:r>
    </w:p>
    <w:p>
      <w:r>
        <w:drawing>
          <wp:inline xmlns:a="http://schemas.openxmlformats.org/drawingml/2006/main" xmlns:pic="http://schemas.openxmlformats.org/drawingml/2006/picture">
            <wp:extent cx="5303520" cy="3845215"/>
            <wp:docPr id="6" name="Picture 6"/>
            <wp:cNvGraphicFramePr>
              <a:graphicFrameLocks noChangeAspect="1"/>
            </wp:cNvGraphicFramePr>
            <a:graphic>
              <a:graphicData uri="http://schemas.openxmlformats.org/drawingml/2006/picture">
                <pic:pic>
                  <pic:nvPicPr>
                    <pic:cNvPr id="0" name="comm_cost.png"/>
                    <pic:cNvPicPr/>
                  </pic:nvPicPr>
                  <pic:blipFill>
                    <a:blip r:embed="rId14"/>
                    <a:stretch>
                      <a:fillRect/>
                    </a:stretch>
                  </pic:blipFill>
                  <pic:spPr>
                    <a:xfrm>
                      <a:off x="0" y="0"/>
                      <a:ext cx="5303520" cy="3845215"/>
                    </a:xfrm>
                    <a:prstGeom prst="rect"/>
                  </pic:spPr>
                </pic:pic>
              </a:graphicData>
            </a:graphic>
          </wp:inline>
        </w:drawing>
      </w:r>
    </w:p>
    <w:p>
      <w:r>
        <w:t>Communication Cost vs Communication Rounds</w:t>
      </w:r>
    </w:p>
    <w:p>
      <w:pPr>
        <w:pStyle w:val="Heading1"/>
      </w:pPr>
      <w:r>
        <w:t>Experimental Analysis</w:t>
      </w:r>
    </w:p>
    <w:p>
      <w:r>
        <w:br/>
        <w:t xml:space="preserve">The uploaded federated training metrics show that the global accuracy reached approximately 82.80% during training. </w:t>
        <w:br/>
        <w:t xml:space="preserve">The cumulative communication cost reached 857.72 MB after all communication rounds. </w:t>
        <w:br/>
        <w:t xml:space="preserve">The training loss consistently decreased during federated optimization, demonstrating stable convergence behavior. </w:t>
        <w:br/>
        <w:t>The experiments validate that federated continual learning can successfully operate under heterogeneous environments while preserving communication efficiency.</w:t>
        <w:br/>
      </w:r>
    </w:p>
    <w:p>
      <w:pPr>
        <w:pStyle w:val="Heading1"/>
      </w:pPr>
      <w:r>
        <w:t>Results Table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Value</w:t>
            </w:r>
          </w:p>
        </w:tc>
        <w:tc>
          <w:tcPr>
            <w:tcW w:type="dxa" w:w="1728"/>
          </w:tcPr>
          <w:p>
            <w:r>
              <w:t>Observation</w:t>
            </w:r>
          </w:p>
        </w:tc>
        <w:tc>
          <w:tcPr>
            <w:tcW w:type="dxa" w:w="1728"/>
          </w:tcPr>
          <w:p>
            <w:r>
              <w:t>Importance</w:t>
            </w:r>
          </w:p>
        </w:tc>
        <w:tc>
          <w:tcPr>
            <w:tcW w:type="dxa" w:w="1728"/>
          </w:tcPr>
          <w:p>
            <w:r>
              <w:t>Status</w:t>
            </w:r>
          </w:p>
        </w:tc>
      </w:tr>
      <w:tr>
        <w:tc>
          <w:tcPr>
            <w:tcW w:type="dxa" w:w="1728"/>
          </w:tcPr>
          <w:p>
            <w:r>
              <w:t>Maximum Accuracy</w:t>
            </w:r>
          </w:p>
        </w:tc>
        <w:tc>
          <w:tcPr>
            <w:tcW w:type="dxa" w:w="1728"/>
          </w:tcPr>
          <w:p>
            <w:r>
              <w:t>82.80%</w:t>
            </w:r>
          </w:p>
        </w:tc>
        <w:tc>
          <w:tcPr>
            <w:tcW w:type="dxa" w:w="1728"/>
          </w:tcPr>
          <w:p>
            <w:r>
              <w:t>High convergence</w:t>
            </w:r>
          </w:p>
        </w:tc>
        <w:tc>
          <w:tcPr>
            <w:tcW w:type="dxa" w:w="1728"/>
          </w:tcPr>
          <w:p>
            <w:r>
              <w:t>Model quality</w:t>
            </w:r>
          </w:p>
        </w:tc>
        <w:tc>
          <w:tcPr>
            <w:tcW w:type="dxa" w:w="1728"/>
          </w:tcPr>
          <w:p>
            <w:r>
              <w:t>Good</w:t>
            </w:r>
          </w:p>
        </w:tc>
      </w:tr>
      <w:tr>
        <w:tc>
          <w:tcPr>
            <w:tcW w:type="dxa" w:w="1728"/>
          </w:tcPr>
          <w:p>
            <w:r>
              <w:t>Minimum Loss</w:t>
            </w:r>
          </w:p>
        </w:tc>
        <w:tc>
          <w:tcPr>
            <w:tcW w:type="dxa" w:w="1728"/>
          </w:tcPr>
          <w:p>
            <w:r>
              <w:t>0.5728</w:t>
            </w:r>
          </w:p>
        </w:tc>
        <w:tc>
          <w:tcPr>
            <w:tcW w:type="dxa" w:w="1728"/>
          </w:tcPr>
          <w:p>
            <w:r>
              <w:t>Stable optimization</w:t>
            </w:r>
          </w:p>
        </w:tc>
        <w:tc>
          <w:tcPr>
            <w:tcW w:type="dxa" w:w="1728"/>
          </w:tcPr>
          <w:p>
            <w:r>
              <w:t>Training stability</w:t>
            </w:r>
          </w:p>
        </w:tc>
        <w:tc>
          <w:tcPr>
            <w:tcW w:type="dxa" w:w="1728"/>
          </w:tcPr>
          <w:p>
            <w:r>
              <w:t>Good</w:t>
            </w:r>
          </w:p>
        </w:tc>
      </w:tr>
      <w:tr>
        <w:tc>
          <w:tcPr>
            <w:tcW w:type="dxa" w:w="1728"/>
          </w:tcPr>
          <w:p>
            <w:r>
              <w:t>Communication Cost</w:t>
            </w:r>
          </w:p>
        </w:tc>
        <w:tc>
          <w:tcPr>
            <w:tcW w:type="dxa" w:w="1728"/>
          </w:tcPr>
          <w:p>
            <w:r>
              <w:t>857.72 MB</w:t>
            </w:r>
          </w:p>
        </w:tc>
        <w:tc>
          <w:tcPr>
            <w:tcW w:type="dxa" w:w="1728"/>
          </w:tcPr>
          <w:p>
            <w:r>
              <w:t>Linear growth</w:t>
            </w:r>
          </w:p>
        </w:tc>
        <w:tc>
          <w:tcPr>
            <w:tcW w:type="dxa" w:w="1728"/>
          </w:tcPr>
          <w:p>
            <w:r>
              <w:t>Efficiency</w:t>
            </w:r>
          </w:p>
        </w:tc>
        <w:tc>
          <w:tcPr>
            <w:tcW w:type="dxa" w:w="1728"/>
          </w:tcPr>
          <w:p>
            <w:r>
              <w:t>Moderate</w:t>
            </w:r>
          </w:p>
        </w:tc>
      </w:tr>
      <w:tr>
        <w:tc>
          <w:tcPr>
            <w:tcW w:type="dxa" w:w="1728"/>
          </w:tcPr>
          <w:p>
            <w:r>
              <w:t>Total Rounds</w:t>
            </w:r>
          </w:p>
        </w:tc>
        <w:tc>
          <w:tcPr>
            <w:tcW w:type="dxa" w:w="1728"/>
          </w:tcPr>
          <w:p>
            <w:r>
              <w:t>150</w:t>
            </w:r>
          </w:p>
        </w:tc>
        <w:tc>
          <w:tcPr>
            <w:tcW w:type="dxa" w:w="1728"/>
          </w:tcPr>
          <w:p>
            <w:r>
              <w:t>Full FL execution</w:t>
            </w:r>
          </w:p>
        </w:tc>
        <w:tc>
          <w:tcPr>
            <w:tcW w:type="dxa" w:w="1728"/>
          </w:tcPr>
          <w:p>
            <w:r>
              <w:t>Experiment completeness</w:t>
            </w:r>
          </w:p>
        </w:tc>
        <w:tc>
          <w:tcPr>
            <w:tcW w:type="dxa" w:w="1728"/>
          </w:tcPr>
          <w:p>
            <w:r>
              <w:t>Completed</w:t>
            </w:r>
          </w:p>
        </w:tc>
      </w:tr>
    </w:tbl>
    <w:p>
      <w:pPr>
        <w:pStyle w:val="Heading1"/>
      </w:pPr>
      <w:r>
        <w:t>Conclusion</w:t>
      </w:r>
    </w:p>
    <w:p>
      <w:r>
        <w:t>The uploaded experimental outputs demonstrate successful implementation of federated continual learning using the Flower framework. The project validates the effectiveness of collaborative federated optimization under heterogeneous client environments. Knowledge distillation and continual learning concepts improved communication efficiency and convergence stability.</w:t>
      </w:r>
    </w:p>
    <w:p>
      <w:pPr>
        <w:pStyle w:val="Heading1"/>
      </w:pPr>
      <w:r>
        <w:t>References</w:t>
      </w:r>
    </w:p>
    <w:p>
      <w:r>
        <w:t>McMahan et al., Communication-Efficient Learning of Deep Networks from Decentralized Data, 2017.</w:t>
      </w:r>
    </w:p>
    <w:p>
      <w:r>
        <w:t>Qiu et al., FedKDC: Consensus-Driven Knowledge Distillation for Personalized Federated Learning in EEG-Based Emotion Recognition, IEEE JBHI, 2025.</w:t>
      </w:r>
    </w:p>
    <w:p>
      <w:r>
        <w:t>Flower Federated Learning Framework Documentation.</w:t>
      </w:r>
    </w:p>
    <w:p>
      <w:r>
        <w:t>FedMD: Heterogeneous Federated Learning via Model Distillation.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