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2F2F2" w:themeColor="background1" w:themeShade="F2"/>
  <w:body>
    <w:p w14:paraId="6FBD824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# N100 Financial Intelligence Platform</w:t>
      </w:r>
    </w:p>
    <w:p w14:paraId="1C412530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19FEA6D7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# Sprint 2 Technical Report</w:t>
      </w:r>
    </w:p>
    <w:p w14:paraId="24A3DF6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21C941C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## Days 08–10 — Financial Ratio and CAGR Engine</w:t>
      </w:r>
    </w:p>
    <w:p w14:paraId="3E309BF0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30CFC5C1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---</w:t>
      </w:r>
    </w:p>
    <w:p w14:paraId="31BF1C3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79AAC7ED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## Project Information</w:t>
      </w:r>
    </w:p>
    <w:p w14:paraId="78D75AF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7EDE675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| Field | Details |</w:t>
      </w:r>
    </w:p>
    <w:p w14:paraId="1BE397C7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|---|---|</w:t>
      </w:r>
    </w:p>
    <w:p w14:paraId="32AB5FA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| Project | N100 Financial Intelligence Platform |</w:t>
      </w:r>
    </w:p>
    <w:p w14:paraId="3D6680AA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| Sprint | Sprint 2 |</w:t>
      </w:r>
    </w:p>
    <w:p w14:paraId="7EA19962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| Epic | Epic 02 — Financial Ratio Engine |</w:t>
      </w:r>
    </w:p>
    <w:p w14:paraId="1FBEA788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| Reporting Period | Day 08–Day 10 |</w:t>
      </w:r>
    </w:p>
    <w:p w14:paraId="0A02259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| Developer | Anshul Deep Bajpai |</w:t>
      </w:r>
    </w:p>
    <w:p w14:paraId="5A02384D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| Domain | Financial Technology and Financial Analytics |</w:t>
      </w:r>
    </w:p>
    <w:p w14:paraId="5BC97C34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| Status | Completed Successfully |</w:t>
      </w:r>
    </w:p>
    <w:p w14:paraId="0172D96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E83DDE0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---</w:t>
      </w:r>
    </w:p>
    <w:p w14:paraId="549BB24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30EF057A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# 1. Executive Summary</w:t>
      </w:r>
    </w:p>
    <w:p w14:paraId="6F234E4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358CD01A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Sprint 2 Days 08–10 focused on developing the core formula layer of the Financial Ratio Engine.</w:t>
      </w:r>
    </w:p>
    <w:p w14:paraId="087873D8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143AB85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The implementation introduced reusable calculations for profitability, shareholder returns, capital efficiency, financial leverage, interest-payment capacity, operating efficiency, and long-term financial growth.</w:t>
      </w:r>
    </w:p>
    <w:p w14:paraId="7029906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0748550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The ratio engine was designed with explicit financial edge-case handling. Zero denominators, negative shareholder equity, debt-free companies, financial-sector leverage, loss-making companies, financial turnarounds, zero CAGR bases, and insufficient historical data are handled without generating misleading values.</w:t>
      </w:r>
    </w:p>
    <w:p w14:paraId="68B74F5B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0CFF773B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The completed implementation consists of two primary analytical modules:</w:t>
      </w:r>
    </w:p>
    <w:p w14:paraId="1B5D2F2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51AFB685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```text</w:t>
      </w:r>
    </w:p>
    <w:p w14:paraId="206D526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src/analytics/ratios.py</w:t>
      </w:r>
    </w:p>
    <w:p w14:paraId="0280453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79109CB1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src/analytics/cagr.py</w:t>
      </w:r>
    </w:p>
    <w:p w14:paraId="7E245821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 dedicated KPI unit-test suite was also developed to validate formulas and edge-case behavior.</w:t>
      </w:r>
    </w:p>
    <w:p w14:paraId="5AA2873C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8761A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2. Objectives</w:t>
      </w:r>
    </w:p>
    <w:p w14:paraId="7A965FC3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objectives for Days 08–10 were:</w:t>
      </w:r>
    </w:p>
    <w:p w14:paraId="006D28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 reusable profitability ratio formulas. </w:t>
      </w:r>
    </w:p>
    <w:p w14:paraId="2BF295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 OPM source-value validation. </w:t>
      </w:r>
    </w:p>
    <w:p w14:paraId="157F83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Calculate ROE, ROCE, and ROA. </w:t>
      </w:r>
    </w:p>
    <w:p w14:paraId="44A8BF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Protect return calculations from invalid equity bases. </w:t>
      </w:r>
    </w:p>
    <w:p w14:paraId="7FD558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 leverage and efficiency ratios. </w:t>
      </w:r>
    </w:p>
    <w:p w14:paraId="5FDDA3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Correctly classify debt-free companies. </w:t>
      </w:r>
    </w:p>
    <w:p w14:paraId="499475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Suppress inappropriate leverage warnings for financial companies. </w:t>
      </w:r>
    </w:p>
    <w:p w14:paraId="1F705A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 Interest Coverage Ratio risk logic. </w:t>
      </w:r>
    </w:p>
    <w:p w14:paraId="58EBD3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Calculate Net Debt and Asset Turnover. </w:t>
      </w:r>
    </w:p>
    <w:p w14:paraId="71BC17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 a reusable CAGR engine. </w:t>
      </w:r>
    </w:p>
    <w:p w14:paraId="241A71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Support 3-year, 5-year, and 10-year growth calculations. </w:t>
      </w:r>
    </w:p>
    <w:p w14:paraId="03AAAF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Handle all required CAGR edge cases. </w:t>
      </w:r>
    </w:p>
    <w:p w14:paraId="73ECE5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 automated formula unit tests. </w:t>
      </w:r>
    </w:p>
    <w:p w14:paraId="2BEA0D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Achieve zero test failures. </w:t>
      </w:r>
    </w:p>
    <w:p w14:paraId="09136CC3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26DA0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 Day 08 — Profitability Ratio Engine</w:t>
      </w:r>
    </w:p>
    <w:p w14:paraId="3E2CDB62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08 introduced the profitability and return-measurement layer.</w:t>
      </w:r>
    </w:p>
    <w:p w14:paraId="27F56D8B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Implemented metrics:</w:t>
      </w:r>
    </w:p>
    <w:p w14:paraId="4D9A473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Net Profit Margin</w:t>
      </w:r>
    </w:p>
    <w:p w14:paraId="4282E02D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253D3858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Operating Profit Margin</w:t>
      </w:r>
    </w:p>
    <w:p w14:paraId="4E09A59B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6E000A87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Return on Equity</w:t>
      </w:r>
    </w:p>
    <w:p w14:paraId="29D22CC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1F1D301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Return on Capital Employed</w:t>
      </w:r>
    </w:p>
    <w:p w14:paraId="788D727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AC4CA40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Return on Assets</w:t>
      </w:r>
    </w:p>
    <w:p w14:paraId="780DBBC2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Additional features:</w:t>
      </w:r>
    </w:p>
    <w:p w14:paraId="34F5206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OPM source cross-check</w:t>
      </w:r>
    </w:p>
    <w:p w14:paraId="6FD1ADD8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1D4F4F87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One-percentage-point mismatch tolerance</w:t>
      </w:r>
    </w:p>
    <w:p w14:paraId="5E403A94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9D6856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Financial-sector ROCE benchmark classification</w:t>
      </w:r>
    </w:p>
    <w:p w14:paraId="73BA967D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13372AB0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Safe denominator handling</w:t>
      </w:r>
    </w:p>
    <w:p w14:paraId="3C55716D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2652E7DE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Negative-equity protection</w:t>
      </w:r>
    </w:p>
    <w:p w14:paraId="5D59DDAA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Key Formula Decisions</w:t>
      </w:r>
    </w:p>
    <w:p w14:paraId="3F718ECF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Net Profit Margin:</w:t>
      </w:r>
    </w:p>
    <w:p w14:paraId="2913620B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Net Profit / Sales × 100</w:t>
      </w:r>
    </w:p>
    <w:p w14:paraId="16D36123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Operating Profit Margin:</w:t>
      </w:r>
    </w:p>
    <w:p w14:paraId="529982E9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Operating Profit / Sales × 100</w:t>
      </w:r>
    </w:p>
    <w:p w14:paraId="38A45B9C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ROE:</w:t>
      </w:r>
    </w:p>
    <w:p w14:paraId="3A8BB42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Net Profit</w:t>
      </w:r>
    </w:p>
    <w:p w14:paraId="2A43639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/</w:t>
      </w:r>
    </w:p>
    <w:p w14:paraId="2100EBDA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(Equity Capital + Reserves)</w:t>
      </w:r>
    </w:p>
    <w:p w14:paraId="7039BB2B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× 100</w:t>
      </w:r>
    </w:p>
    <w:p w14:paraId="54A84556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ROCE:</w:t>
      </w:r>
    </w:p>
    <w:p w14:paraId="4B7A7D1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EBIT</w:t>
      </w:r>
    </w:p>
    <w:p w14:paraId="49AF819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/</w:t>
      </w:r>
    </w:p>
    <w:p w14:paraId="1959E64B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(</w:t>
      </w:r>
    </w:p>
    <w:p w14:paraId="621C4D74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Equity Capital</w:t>
      </w:r>
    </w:p>
    <w:p w14:paraId="1B756B1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+ Reserves</w:t>
      </w:r>
    </w:p>
    <w:p w14:paraId="6D75C59B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+ Borrowings</w:t>
      </w:r>
    </w:p>
    <w:p w14:paraId="043B34E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)</w:t>
      </w:r>
    </w:p>
    <w:p w14:paraId="1635F12E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× 100</w:t>
      </w:r>
    </w:p>
    <w:p w14:paraId="691509F1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ROA:</w:t>
      </w:r>
    </w:p>
    <w:p w14:paraId="181259C5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Net Profit / Total Assets × 100</w:t>
      </w:r>
    </w:p>
    <w:p w14:paraId="5E020CF0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08 test result:</w:t>
      </w:r>
    </w:p>
    <w:p w14:paraId="6A022884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12 Passed</w:t>
      </w:r>
    </w:p>
    <w:p w14:paraId="6FD413D2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5DB814A9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0 Failed</w:t>
      </w:r>
    </w:p>
    <w:p w14:paraId="330B02DD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94DBF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4. Day 09 — Leverage and Efficiency Ratios</w:t>
      </w:r>
    </w:p>
    <w:p w14:paraId="7C5BEDBE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09 extended the ratio engine with capital-structure, debt-servicing, liquidity-proxy, and operating-efficiency calculations.</w:t>
      </w:r>
    </w:p>
    <w:p w14:paraId="200DF36A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Implemented metrics:</w:t>
      </w:r>
    </w:p>
    <w:p w14:paraId="5457AF3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Debt-to-Equity</w:t>
      </w:r>
    </w:p>
    <w:p w14:paraId="5861DEE2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32C575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Interest Coverage Ratio</w:t>
      </w:r>
    </w:p>
    <w:p w14:paraId="3A1F68C8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1FC2A435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Net Debt</w:t>
      </w:r>
    </w:p>
    <w:p w14:paraId="303E0034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137202EA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Asset Turnover</w:t>
      </w:r>
    </w:p>
    <w:p w14:paraId="21DF6376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Implemented classifications:</w:t>
      </w:r>
    </w:p>
    <w:p w14:paraId="5B187E41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High-Leverage Flag</w:t>
      </w:r>
    </w:p>
    <w:p w14:paraId="7555083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5D7121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Interest-Coverage Warning</w:t>
      </w:r>
    </w:p>
    <w:p w14:paraId="52EE9295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063FA882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Debt-Free ICR Label</w:t>
      </w:r>
    </w:p>
    <w:p w14:paraId="6B38AF72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Key Formula Decisions</w:t>
      </w:r>
    </w:p>
    <w:p w14:paraId="6AB5B50E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Debt-to-Equity:</w:t>
      </w:r>
    </w:p>
    <w:p w14:paraId="196C615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Borrowings</w:t>
      </w:r>
    </w:p>
    <w:p w14:paraId="051DC097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/</w:t>
      </w:r>
    </w:p>
    <w:p w14:paraId="01925D84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(Equity Capital + Reserves)</w:t>
      </w:r>
    </w:p>
    <w:p w14:paraId="5BD4DCD8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Debt-free rule:</w:t>
      </w:r>
    </w:p>
    <w:p w14:paraId="7580CBD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Borrowings = 0</w:t>
      </w:r>
    </w:p>
    <w:p w14:paraId="0D023B5F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→ D/E = 0.0</w:t>
      </w:r>
    </w:p>
    <w:p w14:paraId="2760CC3A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Interest Coverage:</w:t>
      </w:r>
    </w:p>
    <w:p w14:paraId="3086DB38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(</w:t>
      </w:r>
    </w:p>
    <w:p w14:paraId="50123DA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Operating Profit</w:t>
      </w:r>
    </w:p>
    <w:p w14:paraId="081F853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+ Other Income</w:t>
      </w:r>
    </w:p>
    <w:p w14:paraId="1875C74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)</w:t>
      </w:r>
    </w:p>
    <w:p w14:paraId="2A88410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/</w:t>
      </w:r>
    </w:p>
    <w:p w14:paraId="44E79802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Interest</w:t>
      </w:r>
    </w:p>
    <w:p w14:paraId="22AD09E4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Zero-interest rule:</w:t>
      </w:r>
    </w:p>
    <w:p w14:paraId="46286C08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Interest = 0</w:t>
      </w:r>
    </w:p>
    <w:p w14:paraId="3EA55F32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0D89945A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ICR Value:</w:t>
      </w:r>
    </w:p>
    <w:p w14:paraId="317A3D41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None</w:t>
      </w:r>
    </w:p>
    <w:p w14:paraId="6A2E84DD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09DC903D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ICR Label:</w:t>
      </w:r>
    </w:p>
    <w:p w14:paraId="394F30FF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Debt Free</w:t>
      </w:r>
    </w:p>
    <w:p w14:paraId="3D8D711D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High-leverage rule:</w:t>
      </w:r>
    </w:p>
    <w:p w14:paraId="135BEB74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D/E &gt; 5</w:t>
      </w:r>
    </w:p>
    <w:p w14:paraId="1F248FC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AND</w:t>
      </w:r>
    </w:p>
    <w:p w14:paraId="373C2B9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Sector != Financials</w:t>
      </w:r>
    </w:p>
    <w:p w14:paraId="0CA82A5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8ADB739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→ High-Leverage Flag</w:t>
      </w:r>
    </w:p>
    <w:p w14:paraId="1059096E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Net Debt:</w:t>
      </w:r>
    </w:p>
    <w:p w14:paraId="424765C3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Borrowings - Investments</w:t>
      </w:r>
    </w:p>
    <w:p w14:paraId="30125ED7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Asset Turnover:</w:t>
      </w:r>
    </w:p>
    <w:p w14:paraId="0CB6D5A5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Sales / Total Assets</w:t>
      </w:r>
    </w:p>
    <w:p w14:paraId="5171A473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09 test result:</w:t>
      </w:r>
    </w:p>
    <w:p w14:paraId="3237FC00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14 Passed</w:t>
      </w:r>
    </w:p>
    <w:p w14:paraId="238A490B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32492F20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0 Failed</w:t>
      </w:r>
    </w:p>
    <w:p w14:paraId="545AB16A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FCFBA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 Day 10 — CAGR Growth Engine</w:t>
      </w:r>
    </w:p>
    <w:p w14:paraId="7AC56D1D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10 introduced a reusable CAGR engine for financial growth analysis.</w:t>
      </w:r>
    </w:p>
    <w:p w14:paraId="29B09997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Supported financial metrics:</w:t>
      </w:r>
    </w:p>
    <w:p w14:paraId="5FB9524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Revenue</w:t>
      </w:r>
    </w:p>
    <w:p w14:paraId="1DAD1FC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8A517C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Profit After Tax</w:t>
      </w:r>
    </w:p>
    <w:p w14:paraId="0D3D7395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7FAFE726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Earnings Per Share</w:t>
      </w:r>
    </w:p>
    <w:p w14:paraId="2C60141C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Supported growth windows:</w:t>
      </w:r>
    </w:p>
    <w:p w14:paraId="2432FEB7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3-Year CAGR</w:t>
      </w:r>
    </w:p>
    <w:p w14:paraId="2057E38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003FD895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5-Year CAGR</w:t>
      </w:r>
    </w:p>
    <w:p w14:paraId="31C2A89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74620DC6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10-Year CAGR</w:t>
      </w:r>
    </w:p>
    <w:p w14:paraId="7B909C51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Standard formula:</w:t>
      </w:r>
    </w:p>
    <w:p w14:paraId="684DC9D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CAGR</w:t>
      </w:r>
    </w:p>
    <w:p w14:paraId="2861F17A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=</w:t>
      </w:r>
    </w:p>
    <w:p w14:paraId="34A83D15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(</w:t>
      </w:r>
    </w:p>
    <w:p w14:paraId="6AEC48C0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(End / Start)</w:t>
      </w:r>
    </w:p>
    <w:p w14:paraId="1E434E9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^ (1 / Years)</w:t>
      </w:r>
    </w:p>
    <w:p w14:paraId="71115F0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- 1</w:t>
      </w:r>
    </w:p>
    <w:p w14:paraId="732BCC25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)</w:t>
      </w:r>
    </w:p>
    <w:p w14:paraId="7E0EB414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× 100</w:t>
      </w:r>
    </w:p>
    <w:p w14:paraId="2FA00CE1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Edge-Case Classification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5"/>
        <w:gridCol w:w="1505"/>
        <w:gridCol w:w="2314"/>
      </w:tblGrid>
      <w:tr w14:paraId="6BC2E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5A8D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alatino Linotype" w:hAnsi="Palatino Linotype" w:cs="Palatino Linotype"/>
                <w:b/>
                <w:bCs/>
              </w:rPr>
            </w:pPr>
            <w:r>
              <w:rPr>
                <w:rFonts w:hint="default" w:ascii="Palatino Linotype" w:hAnsi="Palatino Linotype" w:eastAsia="SimSun" w:cs="Palatino Linotype"/>
                <w:b/>
                <w:bCs/>
                <w:kern w:val="0"/>
                <w:sz w:val="24"/>
                <w:szCs w:val="24"/>
                <w:lang w:val="en-US" w:eastAsia="zh-CN" w:bidi="ar"/>
              </w:rPr>
              <w:t>Financial Condition</w:t>
            </w:r>
          </w:p>
        </w:tc>
        <w:tc>
          <w:tcPr>
            <w:tcW w:w="0" w:type="auto"/>
            <w:shd w:val="clear"/>
            <w:vAlign w:val="center"/>
          </w:tcPr>
          <w:p w14:paraId="7F7CF4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alatino Linotype" w:hAnsi="Palatino Linotype" w:cs="Palatino Linotype"/>
                <w:b/>
                <w:bCs/>
              </w:rPr>
            </w:pPr>
            <w:r>
              <w:rPr>
                <w:rFonts w:hint="default" w:ascii="Palatino Linotype" w:hAnsi="Palatino Linotype" w:eastAsia="SimSun" w:cs="Palatino Linotype"/>
                <w:b/>
                <w:bCs/>
                <w:kern w:val="0"/>
                <w:sz w:val="24"/>
                <w:szCs w:val="24"/>
                <w:lang w:val="en-US" w:eastAsia="zh-CN" w:bidi="ar"/>
              </w:rPr>
              <w:t>CAGR Value</w:t>
            </w:r>
          </w:p>
        </w:tc>
        <w:tc>
          <w:tcPr>
            <w:tcW w:w="0" w:type="auto"/>
            <w:shd w:val="clear"/>
            <w:vAlign w:val="center"/>
          </w:tcPr>
          <w:p w14:paraId="71EF7E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alatino Linotype" w:hAnsi="Palatino Linotype" w:cs="Palatino Linotype"/>
                <w:b/>
                <w:bCs/>
              </w:rPr>
            </w:pPr>
            <w:r>
              <w:rPr>
                <w:rFonts w:hint="default" w:ascii="Palatino Linotype" w:hAnsi="Palatino Linotype" w:eastAsia="SimSun" w:cs="Palatino Linotype"/>
                <w:b/>
                <w:bCs/>
                <w:kern w:val="0"/>
                <w:sz w:val="24"/>
                <w:szCs w:val="24"/>
                <w:lang w:val="en-US" w:eastAsia="zh-CN" w:bidi="ar"/>
              </w:rPr>
              <w:t>Flag</w:t>
            </w:r>
          </w:p>
        </w:tc>
      </w:tr>
      <w:tr w14:paraId="6BC17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145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Positive to Positive</w:t>
            </w:r>
          </w:p>
        </w:tc>
        <w:tc>
          <w:tcPr>
            <w:tcW w:w="0" w:type="auto"/>
            <w:shd w:val="clear"/>
            <w:vAlign w:val="center"/>
          </w:tcPr>
          <w:p w14:paraId="223DD0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Calculated</w:t>
            </w:r>
          </w:p>
        </w:tc>
        <w:tc>
          <w:tcPr>
            <w:tcW w:w="0" w:type="auto"/>
            <w:shd w:val="clear"/>
            <w:vAlign w:val="center"/>
          </w:tcPr>
          <w:p w14:paraId="45DEE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Style w:val="6"/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CALCULATED</w:t>
            </w:r>
          </w:p>
        </w:tc>
      </w:tr>
      <w:tr w14:paraId="610A2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F1C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Positive to Negative</w:t>
            </w:r>
          </w:p>
        </w:tc>
        <w:tc>
          <w:tcPr>
            <w:tcW w:w="0" w:type="auto"/>
            <w:shd w:val="clear"/>
            <w:vAlign w:val="center"/>
          </w:tcPr>
          <w:p w14:paraId="623DC6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0C03E8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Style w:val="6"/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DECLINE_TO_LOSS</w:t>
            </w:r>
          </w:p>
        </w:tc>
      </w:tr>
      <w:tr w14:paraId="6FEAB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F9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Negative to Positive</w:t>
            </w:r>
          </w:p>
        </w:tc>
        <w:tc>
          <w:tcPr>
            <w:tcW w:w="0" w:type="auto"/>
            <w:shd w:val="clear"/>
            <w:vAlign w:val="center"/>
          </w:tcPr>
          <w:p w14:paraId="1C219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265B0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Style w:val="6"/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TURNAROUND</w:t>
            </w:r>
          </w:p>
        </w:tc>
      </w:tr>
      <w:tr w14:paraId="5ACEC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C16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Negative to Negative</w:t>
            </w:r>
          </w:p>
        </w:tc>
        <w:tc>
          <w:tcPr>
            <w:tcW w:w="0" w:type="auto"/>
            <w:shd w:val="clear"/>
            <w:vAlign w:val="center"/>
          </w:tcPr>
          <w:p w14:paraId="59472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2F043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Style w:val="6"/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BOTH_NEGATIVE</w:t>
            </w:r>
          </w:p>
        </w:tc>
      </w:tr>
      <w:tr w14:paraId="4D763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F2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Zero Beginning Value</w:t>
            </w:r>
          </w:p>
        </w:tc>
        <w:tc>
          <w:tcPr>
            <w:tcW w:w="0" w:type="auto"/>
            <w:shd w:val="clear"/>
            <w:vAlign w:val="center"/>
          </w:tcPr>
          <w:p w14:paraId="4664E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1E37D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Style w:val="6"/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ZERO_BASE</w:t>
            </w:r>
          </w:p>
        </w:tc>
      </w:tr>
      <w:tr w14:paraId="63834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3D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Insufficient History</w:t>
            </w:r>
          </w:p>
        </w:tc>
        <w:tc>
          <w:tcPr>
            <w:tcW w:w="0" w:type="auto"/>
            <w:shd w:val="clear"/>
            <w:vAlign w:val="center"/>
          </w:tcPr>
          <w:p w14:paraId="52571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4F890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Style w:val="6"/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INSUFFICIENT</w:t>
            </w:r>
          </w:p>
        </w:tc>
      </w:tr>
      <w:tr w14:paraId="122AD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46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Missing or Invalid Input</w:t>
            </w:r>
          </w:p>
        </w:tc>
        <w:tc>
          <w:tcPr>
            <w:tcW w:w="0" w:type="auto"/>
            <w:shd w:val="clear"/>
            <w:vAlign w:val="center"/>
          </w:tcPr>
          <w:p w14:paraId="3DFAF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7BBE0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Style w:val="6"/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INVALID_INPUT</w:t>
            </w:r>
          </w:p>
        </w:tc>
      </w:tr>
      <w:tr w14:paraId="4607E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0F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Positive to Zero</w:t>
            </w:r>
          </w:p>
        </w:tc>
        <w:tc>
          <w:tcPr>
            <w:tcW w:w="0" w:type="auto"/>
            <w:shd w:val="clear"/>
            <w:vAlign w:val="center"/>
          </w:tcPr>
          <w:p w14:paraId="33710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-100%</w:t>
            </w:r>
          </w:p>
        </w:tc>
        <w:tc>
          <w:tcPr>
            <w:tcW w:w="0" w:type="auto"/>
            <w:shd w:val="clear"/>
            <w:vAlign w:val="center"/>
          </w:tcPr>
          <w:p w14:paraId="7FA32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Style w:val="6"/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CALCULATED</w:t>
            </w:r>
          </w:p>
        </w:tc>
      </w:tr>
    </w:tbl>
    <w:p w14:paraId="07E7024B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10 test result:</w:t>
      </w:r>
    </w:p>
    <w:p w14:paraId="77D144F4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13 Passed</w:t>
      </w:r>
    </w:p>
    <w:p w14:paraId="61DA7CF8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6B7AB20A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0 Failed</w:t>
      </w:r>
    </w:p>
    <w:p w14:paraId="30023E7A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D8147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6. Combined Test Summary</w:t>
      </w:r>
    </w:p>
    <w:p w14:paraId="12577154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Day 08 Tests : 12 Passed</w:t>
      </w:r>
    </w:p>
    <w:p w14:paraId="4C99E8F5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296739E4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Day 09 Tests : 14 Passed</w:t>
      </w:r>
    </w:p>
    <w:p w14:paraId="1CED305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505584A1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Day 10 Tests : 13 Passed</w:t>
      </w:r>
    </w:p>
    <w:p w14:paraId="186EB3F7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37074771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Total Tests  : 39</w:t>
      </w:r>
    </w:p>
    <w:p w14:paraId="43420118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BEB961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Passed       : 39</w:t>
      </w:r>
    </w:p>
    <w:p w14:paraId="48EAE1D1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E168413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Failed       : 0</w:t>
      </w:r>
    </w:p>
    <w:p w14:paraId="05B81C82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implementation exceeds the Sprint 2 minimum requirement of 20 formula tests.</w:t>
      </w:r>
    </w:p>
    <w:p w14:paraId="3DDDFF58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2935F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7. Files Created or Updated</w:t>
      </w:r>
    </w:p>
    <w:p w14:paraId="5915FD2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src/</w:t>
      </w:r>
    </w:p>
    <w:p w14:paraId="2FCB55C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└── analytics/</w:t>
      </w:r>
    </w:p>
    <w:p w14:paraId="43502E4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 xml:space="preserve">    ├── __init__.py</w:t>
      </w:r>
    </w:p>
    <w:p w14:paraId="03E4D28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 xml:space="preserve">    ├── ratios.py</w:t>
      </w:r>
    </w:p>
    <w:p w14:paraId="6140E67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 xml:space="preserve">    └── cagr.py</w:t>
      </w:r>
    </w:p>
    <w:p w14:paraId="022F21D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36AC2C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tests/</w:t>
      </w:r>
    </w:p>
    <w:p w14:paraId="596FED7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└── kpi/</w:t>
      </w:r>
    </w:p>
    <w:p w14:paraId="351712CA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 xml:space="preserve">    ├── __init__.py</w:t>
      </w:r>
    </w:p>
    <w:p w14:paraId="3498EAFD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 xml:space="preserve">    ├── test_profitability_ratios.py</w:t>
      </w:r>
    </w:p>
    <w:p w14:paraId="35CC0AF0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 xml:space="preserve">    ├── test_leverage_efficiency_ratios.py</w:t>
      </w:r>
    </w:p>
    <w:p w14:paraId="608B8D2D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 xml:space="preserve">    └── test_cagr.py</w:t>
      </w:r>
    </w:p>
    <w:p w14:paraId="4EAB6080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AA323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8. Technical Design Principles</w:t>
      </w:r>
    </w:p>
    <w:p w14:paraId="22F9BBD7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implementation follows these principles:</w:t>
      </w:r>
    </w:p>
    <w:p w14:paraId="7DBD72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Formula functions are reusable. </w:t>
      </w:r>
    </w:p>
    <w:p w14:paraId="2F69D5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Calculation logic is independent of database code. </w:t>
      </w:r>
    </w:p>
    <w:p w14:paraId="39F136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Zero denominators do not cause runtime failures. </w:t>
      </w:r>
    </w:p>
    <w:p w14:paraId="78D11B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Invalid calculations return </w:t>
      </w:r>
      <w:r>
        <w:rPr>
          <w:rStyle w:val="6"/>
          <w:rFonts w:hint="default" w:ascii="Palatino Linotype" w:hAnsi="Palatino Linotype" w:cs="Palatino Linotype"/>
        </w:rPr>
        <w:t>None</w:t>
      </w:r>
      <w:r>
        <w:rPr>
          <w:rFonts w:hint="default" w:ascii="Palatino Linotype" w:hAnsi="Palatino Linotype" w:cs="Palatino Linotype"/>
        </w:rPr>
        <w:t xml:space="preserve">. </w:t>
      </w:r>
    </w:p>
    <w:p w14:paraId="5C53B5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Financially meaningful zero values are preserved. </w:t>
      </w:r>
    </w:p>
    <w:p w14:paraId="234F49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Debt-free companies are distinguished from missing data. </w:t>
      </w:r>
    </w:p>
    <w:p w14:paraId="5AEEAE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Negative Net Debt is retained. </w:t>
      </w:r>
    </w:p>
    <w:p w14:paraId="2CDAB5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Financial-sector leverage is handled separately. </w:t>
      </w:r>
    </w:p>
    <w:p w14:paraId="4F409C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CAGR transition cases receive explicit flags. </w:t>
      </w:r>
    </w:p>
    <w:p w14:paraId="339D71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Calculation values and interpretation flags remain separate. </w:t>
      </w:r>
    </w:p>
    <w:p w14:paraId="6E016B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Formula behavior is validated through unit tests. </w:t>
      </w:r>
    </w:p>
    <w:p w14:paraId="3D2C9100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F0C76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9. Current Sprint 2 Progress</w:t>
      </w:r>
    </w:p>
    <w:p w14:paraId="20BBB81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Day 08</w:t>
      </w:r>
    </w:p>
    <w:p w14:paraId="14B8E44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Profitability Ratios</w:t>
      </w:r>
    </w:p>
    <w:p w14:paraId="1CB84433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→ COMPLETED</w:t>
      </w:r>
    </w:p>
    <w:p w14:paraId="77687B81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0E58251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Day 09</w:t>
      </w:r>
    </w:p>
    <w:p w14:paraId="102236D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Leverage and Efficiency Ratios</w:t>
      </w:r>
    </w:p>
    <w:p w14:paraId="10A87A82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→ COMPLETED</w:t>
      </w:r>
      <w:bookmarkStart w:id="0" w:name="_GoBack"/>
      <w:bookmarkEnd w:id="0"/>
    </w:p>
    <w:p w14:paraId="27AA9B5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455BE160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Day 10</w:t>
      </w:r>
    </w:p>
    <w:p w14:paraId="20F39AFC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CAGR Growth Engine</w:t>
      </w:r>
    </w:p>
    <w:p w14:paraId="3302913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→ COMPLETED</w:t>
      </w:r>
    </w:p>
    <w:p w14:paraId="10C77B68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30BC6FD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Days 08–10 Status</w:t>
      </w:r>
    </w:p>
    <w:p w14:paraId="6C561653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→ COMPLETED SUCCESSFULLY</w:t>
      </w:r>
    </w:p>
    <w:p w14:paraId="66D4CDD6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83B40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10. Next Development Stage</w:t>
      </w:r>
    </w:p>
    <w:p w14:paraId="1B726B3B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11 will implement:</w:t>
      </w:r>
    </w:p>
    <w:p w14:paraId="7D29D217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Free Cash Flow</w:t>
      </w:r>
    </w:p>
    <w:p w14:paraId="238C9B4E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3E867679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CFO Quality Score</w:t>
      </w:r>
    </w:p>
    <w:p w14:paraId="7B1AC76A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2B1EAEB0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CapEx Intensity</w:t>
      </w:r>
    </w:p>
    <w:p w14:paraId="4E9C54EB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60CB12EF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FCF Conversion Rate</w:t>
      </w:r>
    </w:p>
    <w:p w14:paraId="410184A6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227121ED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Eight-Pattern Capital-Allocation Classifier</w:t>
      </w:r>
    </w:p>
    <w:p w14:paraId="4E462E71">
      <w:pPr>
        <w:pStyle w:val="7"/>
        <w:keepNext w:val="0"/>
        <w:keepLines w:val="0"/>
        <w:widowControl/>
        <w:suppressLineNumbers w:val="0"/>
        <w:rPr>
          <w:rStyle w:val="6"/>
          <w:rFonts w:hint="default" w:ascii="Palatino Linotype" w:hAnsi="Palatino Linotype" w:cs="Palatino Linotype"/>
        </w:rPr>
      </w:pPr>
    </w:p>
    <w:p w14:paraId="674ED57C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6"/>
          <w:rFonts w:hint="default" w:ascii="Palatino Linotype" w:hAnsi="Palatino Linotype" w:cs="Palatino Linotype"/>
        </w:rPr>
        <w:t>output/capital_allocation.csv</w:t>
      </w:r>
    </w:p>
    <w:p w14:paraId="51FF7A5E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Day 12 will integrate the completed ratio modules and populate the SQLite </w:t>
      </w:r>
      <w:r>
        <w:rPr>
          <w:rStyle w:val="6"/>
          <w:rFonts w:hint="default" w:ascii="Palatino Linotype" w:hAnsi="Palatino Linotype" w:cs="Palatino Linotype"/>
        </w:rPr>
        <w:t>financial_ratios</w:t>
      </w:r>
      <w:r>
        <w:rPr>
          <w:rFonts w:hint="default" w:ascii="Palatino Linotype" w:hAnsi="Palatino Linotype" w:cs="Palatino Linotype"/>
        </w:rPr>
        <w:t xml:space="preserve"> table.</w:t>
      </w:r>
    </w:p>
    <w:p w14:paraId="218F1826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EBB34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11. Conclusion</w:t>
      </w:r>
    </w:p>
    <w:p w14:paraId="46845915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Sprint 2 Days 08–10 successfully established the core formula layer for the N100 Financial Intelligence Platform.</w:t>
      </w:r>
    </w:p>
    <w:p w14:paraId="5F1E5757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completed engine provides tested profitability, return, leverage, debt-servicing, efficiency, and growth calculations with explicit financial edge-case handling.</w:t>
      </w:r>
    </w:p>
    <w:p w14:paraId="3C3BDFFF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All 39 implemented formula tests passed with zero failures. The platform is now ready for cash-flow KPI development and full financial-ratio database integration.</w:t>
      </w:r>
    </w:p>
    <w:p w14:paraId="6AE112DE">
      <w:pPr>
        <w:rPr>
          <w:rFonts w:hint="default" w:ascii="Palatino Linotype" w:hAnsi="Palatino Linotype" w:cs="Palatino Linotype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A18CE"/>
    <w:multiLevelType w:val="multilevel"/>
    <w:tmpl w:val="DFFA1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6E23215"/>
    <w:multiLevelType w:val="multilevel"/>
    <w:tmpl w:val="36E23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02F20"/>
    <w:rsid w:val="4730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2026-07-15T03:55:00Z</dcterms:created>
  <dc:creator>Anshul deep Bajpai</dc:creator>
  <cp:lastModifiedBy>Anshul deep Bajpai</cp:lastModifiedBy>
  <dcterms:modified xsi:type="dcterms:W3CDTF">2026-07-15T03:57:36Z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3D4BFDF73E294C60BD3A773F5F6224EA_11</vt:lpwstr>
  </property>
</Properties>
</file>