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stealth;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@author Joi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Health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XLOC,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Health()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this.XLOC = (int) (Math.random() *2700);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this.YLOC = (int) (Math.random() *1700);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final String[] healthbox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"--------------",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"|                 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"|       H       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"|                 |",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"--------------"};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boolean collidesWith(Player 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[] a = p.getHITBOX();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boolean hit = (this. XLOC -250&gt; a[0]) &amp;&amp; (this. XLOC-250 &lt; a[1]) &amp;&amp; (this. YLOC &gt; a[2]) &amp;&amp; (this. YLOC &lt; a[3]);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if(hit)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Stealth.first.health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hit;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render(Graphics2D g,int x,int y,boolean tx,boolean 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g.setColor(Color.red);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x = XLOC-x +1000;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 = YLOC-y +500;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if(tx == true){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x =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if(ty == true){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y =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for(int i = 0; i &lt; healthbox.length;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g.drawString(healthbox[i], x,  y + (i * 13));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