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@author Arnold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Wall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Wall(int x, int 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String wall = "■";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render(Graphics2D g){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g.drawString(wall, x,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