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tbl>
      <w:tblPr>
        <w:tblStyle w:val="Table1"/>
        <w:tblW w:w="10008.0" w:type="dxa"/>
        <w:jc w:val="left"/>
        <w:tblInd w:w="0.0" w:type="dxa"/>
        <w:tblLayout w:type="fixed"/>
        <w:tblLook w:val="0000"/>
      </w:tblPr>
      <w:tblGrid>
        <w:gridCol w:w="2538"/>
        <w:gridCol w:w="630"/>
        <w:gridCol w:w="3060"/>
        <w:gridCol w:w="360"/>
        <w:gridCol w:w="3060"/>
        <w:gridCol w:w="360"/>
        <w:tblGridChange w:id="0">
          <w:tblGrid>
            <w:gridCol w:w="2538"/>
            <w:gridCol w:w="630"/>
            <w:gridCol w:w="3060"/>
            <w:gridCol w:w="360"/>
            <w:gridCol w:w="3060"/>
            <w:gridCol w:w="360"/>
          </w:tblGrid>
        </w:tblGridChange>
      </w:tblGrid>
      <w:tr>
        <w:trPr>
          <w:trHeight w:val="562" w:hRule="atLeast"/>
        </w:trPr>
        <w:tc>
          <w:tcPr>
            <w:tcBorders>
              <w:top w:color="000000" w:space="0" w:sz="12" w:val="single"/>
              <w:left w:color="000000" w:space="0" w:sz="12" w:val="single"/>
              <w:bottom w:color="000000" w:space="0" w:sz="8" w:val="single"/>
              <w:right w:color="000000" w:space="0" w:sz="6" w:val="single"/>
            </w:tcBorders>
            <w:vAlign w:val="cente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Requested by Plaintiffs </w:t>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Requested by Defendant </w:t>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Requested by Cross-Complainants </w:t>
            </w:r>
          </w:p>
        </w:tc>
        <w:tc>
          <w:tcPr>
            <w:tcBorders>
              <w:top w:color="000000" w:space="0" w:sz="12" w:val="single"/>
              <w:left w:color="000000" w:space="0" w:sz="6" w:val="single"/>
              <w:bottom w:color="000000" w:space="0" w:sz="8" w:val="single"/>
              <w:right w:color="000000" w:space="0" w:sz="12"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02" w:hRule="atLeast"/>
        </w:trPr>
        <w:tc>
          <w:tcPr>
            <w:tcBorders>
              <w:top w:color="000000" w:space="0" w:sz="8" w:val="single"/>
              <w:left w:color="000000" w:space="0" w:sz="12" w:val="single"/>
              <w:bottom w:color="000000" w:space="0" w:sz="8" w:val="single"/>
              <w:right w:color="000000" w:space="0" w:sz="6" w:val="single"/>
            </w:tcBorders>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as Requested </w:t>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as Modified </w:t>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on Court’s Motion </w:t>
            </w:r>
          </w:p>
        </w:tc>
        <w:tc>
          <w:tcPr>
            <w:tcBorders>
              <w:top w:color="000000" w:space="0" w:sz="8" w:val="single"/>
              <w:left w:color="000000" w:space="0" w:sz="6" w:val="single"/>
              <w:bottom w:color="000000" w:space="0" w:sz="8" w:val="single"/>
              <w:right w:color="000000" w:space="0" w:sz="12"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00" w:hRule="atLeast"/>
        </w:trPr>
        <w:tc>
          <w:tcPr>
            <w:vMerge w:val="restart"/>
            <w:tcBorders>
              <w:top w:color="000000" w:space="0" w:sz="8" w:val="single"/>
              <w:left w:color="000000" w:space="0" w:sz="12" w:val="single"/>
              <w:right w:color="000000" w:space="0" w:sz="6" w:val="single"/>
            </w:tcBorders>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Refused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vMerge w:val="restart"/>
            <w:tcBorders>
              <w:top w:color="000000" w:space="0" w:sz="8" w:val="single"/>
              <w:left w:color="000000" w:space="0" w:sz="6" w:val="single"/>
              <w:right w:color="000000" w:space="0" w:sz="12" w:val="single"/>
            </w:tcBorders>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Judge </w:t>
            </w:r>
          </w:p>
        </w:tc>
      </w:tr>
      <w:tr>
        <w:trPr>
          <w:trHeight w:val="394" w:hRule="atLeast"/>
        </w:trPr>
        <w:tc>
          <w:tcPr>
            <w:vMerge w:val="continue"/>
            <w:tcBorders>
              <w:top w:color="000000" w:space="0" w:sz="8" w:val="single"/>
              <w:left w:color="000000" w:space="0" w:sz="12" w:val="single"/>
              <w:right w:color="000000" w:space="0" w:sz="6" w:val="single"/>
            </w:tcBorders>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12" w:val="single"/>
              <w:right w:color="000000" w:space="0" w:sz="6"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vMerge w:val="continue"/>
            <w:tcBorders>
              <w:top w:color="000000" w:space="0" w:sz="8" w:val="single"/>
              <w:left w:color="000000" w:space="0" w:sz="6" w:val="single"/>
              <w:right w:color="000000" w:space="0" w:sz="12" w:val="single"/>
            </w:tcBorders>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0">
      <w:pPr>
        <w:widowControl w:val="0"/>
        <w:spacing w:after="500" w:before="760" w:line="240" w:lineRule="auto"/>
        <w:jc w:val="center"/>
        <w:rPr>
          <w:rFonts w:ascii="Georgia" w:cs="Georgia" w:eastAsia="Georgia" w:hAnsi="Georgia"/>
          <w:color w:val="252525"/>
          <w:sz w:val="24"/>
          <w:szCs w:val="24"/>
        </w:rPr>
      </w:pPr>
      <w:bookmarkStart w:colFirst="0" w:colLast="0" w:name="_gjdgxs" w:id="0"/>
      <w:bookmarkEnd w:id="0"/>
      <w:r w:rsidDel="00000000" w:rsidR="00000000" w:rsidRPr="00000000">
        <w:rPr>
          <w:rFonts w:ascii="Georgia" w:cs="Georgia" w:eastAsia="Georgia" w:hAnsi="Georgia"/>
          <w:color w:val="252525"/>
          <w:sz w:val="24"/>
          <w:szCs w:val="24"/>
          <w:rtl w:val="0"/>
        </w:rPr>
        <w:t xml:space="preserve">100 Preliminary Admonitions</w:t>
      </w:r>
    </w:p>
    <w:p w:rsidR="00000000" w:rsidDel="00000000" w:rsidP="00000000" w:rsidRDefault="00000000" w:rsidRPr="00000000" w14:paraId="00000021">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You have now been sworn as jurors in this case. I want to impress on you the seriousness and importance of serving on a jury. Trial by jury is a fundamental right in California. The parties have a right to a jury that is selected fairly, that comes to the case without bias, and that will attempt to reach a verdict based on the evidence presented. Before we begin, I need to explain how you must conduct yourselves during the trial.</w:t>
      </w:r>
    </w:p>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 not allow anything that happens outside this courtroom to affect your decision. During the trial do not talk about this case or the people involved in it with anyone, including family and persons living in your household, friends and coworkers, spiritual leaders, advisors, or therapists. You may say you are on a jury and how long the trial may take, but that is all. You must not even talk about the case with the other jurors until after I tell you that it is time for you to decide the case.</w:t>
      </w:r>
    </w:p>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prohibition is not limited to face-to-face conversations. It also extends to all forms of electronic communications. Do not use any electronic device or media, such as a cell phone or smart phone, PDA, computer, the Internet, any Internet service, any text or instant-messaging service, any Internet chat room, blog, or website, including social networking websites or online diaries, to send or receive any information to or from anyone about this case or your experience as a juror until after you have been discharged from your jury duty.</w:t>
      </w:r>
    </w:p>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During the trial you must not listen to anyone else talk about the case or the people involved in the case. You must avoid any contact with the parties, the lawyers, the witnesses, and anyone else who may have a connection to the case. If anyone tries to talk to you about this case, tell that person that you cannot discuss it because you are a juror. If that person keeps talking to you, simply walk away and report the incident to the court [attendant/bailiff] as soon as you can.</w:t>
      </w:r>
    </w:p>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the trial is over and I have released you from jury duty, you may discuss the case with anyone, but you are not required to do so.</w:t>
      </w:r>
    </w:p>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During the trial, do not read, listen to, or watch any news reports about this case. [I have no information that there will be news reports concerning this case.] This prohibition extends to the use of the Internet in any way, including reading any blog about the case or about anyone involved with it. If you receive any information about this case from any source outside of the courtroom, promptly report it to the court [attendant/bailiff]. It is important that all jurors see and hear the same evidence at the same time.</w:t>
      </w:r>
    </w:p>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D">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 not do any research on your own or as a group. Do not use dictionaries, the Internet, or other reference materials. Do not investigate the case or conduct any experiments. Do not contact anyone to assist you, such as a family accountant, doctor, or lawyer. Do not visit or view the scene of any event involved in this case or use any Internet maps or mapping programs or any other program or device to search for or to view any place discussed in the testimony. If you happen to pass by the scene, do not stop or investigate. If you do need to view the scene during the trial, you will be taken there as a group under proper supervision.</w:t>
      </w:r>
    </w:p>
    <w:p w:rsidR="00000000" w:rsidDel="00000000" w:rsidP="00000000" w:rsidRDefault="00000000" w:rsidRPr="00000000" w14:paraId="0000002E">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F">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you violate any of these prohibitions on communications and research, including prohibitions on electronic communications and research, you may be held in contempt of court or face other sanctions. That means that you may have to serve time in jail, pay a fine, or face other punishment for that violation.]</w:t>
      </w:r>
    </w:p>
    <w:p w:rsidR="00000000" w:rsidDel="00000000" w:rsidP="00000000" w:rsidRDefault="00000000" w:rsidRPr="00000000" w14:paraId="00000030">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is important that you keep an open mind throughout this trial. Evidence can only be presented a piece at a time. Do not form or express an opinion about this case while the trial is going on. You must not decide on a verdict until after you have heard all the evidence and have discussed it thoroughly with your fellow jurors in your deliberations.</w:t>
      </w:r>
    </w:p>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 not concern yourselves with the reasons for the rulings I will make during the course of the trial. Do not guess what I may think your verdict should be from anything I might say or do.</w:t>
      </w:r>
    </w:p>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When you begin your deliberations, you may discuss the case only in the jury room and only when all the jurors are present.</w:t>
      </w:r>
    </w:p>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You must decide what the facts are in this case. Do not let bias, sympathy, prejudice, or public opinion influence your verdict.</w:t>
      </w:r>
    </w:p>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 the end of the trial, I will explain the law that you must follow to reach your verdict. You must follow the law as I explain it to you, even if you do not agree with the law.</w:t>
      </w:r>
    </w:p>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bookmarkStart w:colFirst="0" w:colLast="0" w:name="30j0zll" w:id="1"/>
    <w:bookmarkEnd w:id="1"/>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tbl>
      <w:tblPr>
        <w:tblStyle w:val="Table2"/>
        <w:tblW w:w="10080.0" w:type="dxa"/>
        <w:jc w:val="left"/>
        <w:tblInd w:w="30.0" w:type="pct"/>
        <w:tblLayout w:type="fixed"/>
        <w:tblLook w:val="0400"/>
      </w:tblPr>
      <w:tblGrid>
        <w:gridCol w:w="10080"/>
        <w:tblGridChange w:id="0">
          <w:tblGrid>
            <w:gridCol w:w="10080"/>
          </w:tblGrid>
        </w:tblGridChange>
      </w:tblGrid>
      <w:tr>
        <w:tc>
          <w:tcPr>
            <w:tcMar>
              <w:top w:w="0.0" w:type="dxa"/>
              <w:left w:w="30.0" w:type="dxa"/>
              <w:bottom w:w="0.0" w:type="dxa"/>
              <w:right w:w="30.0" w:type="dxa"/>
            </w:tcMar>
          </w:tcPr>
          <w:p w:rsidR="00000000" w:rsidDel="00000000" w:rsidP="00000000" w:rsidRDefault="00000000" w:rsidRPr="00000000" w14:paraId="0000003C">
            <w:pPr>
              <w:widowControl w:val="0"/>
              <w:spacing w:after="0" w:line="240" w:lineRule="auto"/>
              <w:ind w:left="30" w:right="30"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New September 2003; Revised April 2004, October 2004, February 2005, June 2005, December 2007, December 2009, December 2011, December 2012, May 2020</w:t>
            </w:r>
          </w:p>
          <w:p w:rsidR="00000000" w:rsidDel="00000000" w:rsidP="00000000" w:rsidRDefault="00000000" w:rsidRPr="00000000" w14:paraId="0000003D">
            <w:pPr>
              <w:widowControl w:val="0"/>
              <w:spacing w:after="0" w:line="240" w:lineRule="auto"/>
              <w:ind w:left="30" w:right="30" w:firstLine="0"/>
              <w:rPr>
                <w:rFonts w:ascii="Times New Roman" w:cs="Times New Roman" w:eastAsia="Times New Roman" w:hAnsi="Times New Roman"/>
                <w:i w:val="1"/>
                <w:color w:val="000000"/>
                <w:sz w:val="20"/>
                <w:szCs w:val="20"/>
              </w:rPr>
            </w:pPr>
            <w:r w:rsidDel="00000000" w:rsidR="00000000" w:rsidRPr="00000000">
              <w:rPr>
                <w:rtl w:val="0"/>
              </w:rPr>
            </w:r>
          </w:p>
        </w:tc>
      </w:tr>
    </w:tbl>
    <w:p w:rsidR="00000000" w:rsidDel="00000000" w:rsidP="00000000" w:rsidRDefault="00000000" w:rsidRPr="00000000" w14:paraId="0000003E">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F">
      <w:pPr>
        <w:widowControl w:val="0"/>
        <w:spacing w:before="20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Directions for Use</w:t>
      </w:r>
    </w:p>
    <w:p w:rsidR="00000000" w:rsidDel="00000000" w:rsidP="00000000" w:rsidRDefault="00000000" w:rsidRPr="00000000" w14:paraId="00000040">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instruction should be given at the outset of every case, even as early as when the jury panel enters the courtroom (without the first sentence).</w:t>
      </w:r>
    </w:p>
    <w:p w:rsidR="00000000" w:rsidDel="00000000" w:rsidP="00000000" w:rsidRDefault="00000000" w:rsidRPr="00000000" w14:paraId="00000041">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42">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jury is allowed to separate, </w:t>
      </w:r>
      <w:hyperlink r:id="rId6">
        <w:r w:rsidDel="00000000" w:rsidR="00000000" w:rsidRPr="00000000">
          <w:rPr>
            <w:rFonts w:ascii="Times New Roman" w:cs="Times New Roman" w:eastAsia="Times New Roman" w:hAnsi="Times New Roman"/>
            <w:color w:val="0000ff"/>
            <w:sz w:val="20"/>
            <w:szCs w:val="20"/>
            <w:u w:val="single"/>
            <w:rtl w:val="0"/>
          </w:rPr>
          <w:t xml:space="preserve">Code of Civil Procedure section 611</w:t>
        </w:r>
      </w:hyperlink>
      <w:r w:rsidDel="00000000" w:rsidR="00000000" w:rsidRPr="00000000">
        <w:rPr>
          <w:rFonts w:ascii="Times New Roman" w:cs="Times New Roman" w:eastAsia="Times New Roman" w:hAnsi="Times New Roman"/>
          <w:color w:val="000000"/>
          <w:sz w:val="20"/>
          <w:szCs w:val="20"/>
          <w:rtl w:val="0"/>
        </w:rPr>
        <w:t xml:space="preserve"> requires the judge to admonish the jury that “it is their duty not to converse with, or suffer themselves to be addressed by any other person, on any subject of the trial, and that it is their duty not to form or express an opinion thereon until the case is finally submitted to them.” </w:t>
      </w:r>
    </w:p>
    <w:sectPr>
      <w:headerReference r:id="rId7" w:type="default"/>
      <w:footerReference r:id="rId8"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widowControl w:val="0"/>
      <w:spacing w:after="0" w:line="240" w:lineRule="auto"/>
      <w:rPr>
        <w:rFonts w:ascii="Arial" w:cs="Arial" w:eastAsia="Arial" w:hAnsi="Arial"/>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widowControl w:val="0"/>
      <w:spacing w:after="0" w:line="240" w:lineRule="auto"/>
      <w:rPr>
        <w:rFonts w:ascii="Arial" w:cs="Arial" w:eastAsia="Arial" w:hAnsi="Arial"/>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estlaw.com/Link/Document/FullText?findType=L&amp;pubNum=1000201&amp;cite=CACPS611&amp;originatingDoc=I904a877bf98d11db97c9c9e44fb98cc8&amp;refType=LQ&amp;originationContext=document&amp;vr=3.0&amp;rs=cblt1.0&amp;transitionType=DocumentItem&amp;contextData=(sc.Defaul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