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both"/>
        <w:rPr>
          <w:rFonts w:ascii="Times New Roman" w:cs="Times New Roman" w:eastAsia="Times New Roman" w:hAnsi="Times New Roman"/>
          <w:color w:val="000000"/>
          <w:sz w:val="20"/>
          <w:szCs w:val="20"/>
        </w:rPr>
        <w:sectPr>
          <w:headerReference r:id="rId6" w:type="default"/>
          <w:footerReference r:id="rId7" w:type="default"/>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bl>
      <w:tblPr>
        <w:tblStyle w:val="Table1"/>
        <w:tblW w:w="10008.0" w:type="dxa"/>
        <w:jc w:val="left"/>
        <w:tblInd w:w="0.0" w:type="dxa"/>
        <w:tblLayout w:type="fixed"/>
        <w:tblLook w:val="0000"/>
      </w:tblPr>
      <w:tblGrid>
        <w:gridCol w:w="2538"/>
        <w:gridCol w:w="630"/>
        <w:gridCol w:w="3060"/>
        <w:gridCol w:w="360"/>
        <w:gridCol w:w="3060"/>
        <w:gridCol w:w="360"/>
        <w:tblGridChange w:id="0">
          <w:tblGrid>
            <w:gridCol w:w="2538"/>
            <w:gridCol w:w="630"/>
            <w:gridCol w:w="3060"/>
            <w:gridCol w:w="360"/>
            <w:gridCol w:w="3060"/>
            <w:gridCol w:w="360"/>
          </w:tblGrid>
        </w:tblGridChange>
      </w:tblGrid>
      <w:tr>
        <w:trPr>
          <w:trHeight w:val="562" w:hRule="atLeast"/>
        </w:trPr>
        <w:tc>
          <w:tcPr>
            <w:tcBorders>
              <w:top w:color="000000" w:space="0" w:sz="12" w:val="single"/>
              <w:left w:color="000000" w:space="0" w:sz="12" w:val="single"/>
              <w:bottom w:color="000000" w:space="0" w:sz="8" w:val="single"/>
              <w:right w:color="000000" w:space="0" w:sz="6" w:val="single"/>
            </w:tcBorders>
            <w:vAlign w:val="center"/>
          </w:tcPr>
          <w:bookmarkStart w:colFirst="0" w:colLast="0" w:name="30j0zll" w:id="0"/>
          <w:bookmarkEnd w:id="0"/>
          <w:bookmarkStart w:colFirst="0" w:colLast="0" w:name="gjdgxs" w:id="1"/>
          <w:bookmarkEnd w:id="1"/>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by Plaintiffs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Defendant </w:t>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Requested by Cross-Complainants </w:t>
            </w:r>
          </w:p>
        </w:tc>
        <w:tc>
          <w:tcPr>
            <w:tcBorders>
              <w:top w:color="000000" w:space="0" w:sz="12" w:val="single"/>
              <w:left w:color="000000" w:space="0" w:sz="6" w:val="single"/>
              <w:bottom w:color="000000" w:space="0" w:sz="8" w:val="single"/>
              <w:right w:color="000000" w:space="0" w:sz="12" w:val="single"/>
            </w:tcBorders>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02" w:hRule="atLeast"/>
        </w:trPr>
        <w:tc>
          <w:tcPr>
            <w:tcBorders>
              <w:top w:color="000000" w:space="0" w:sz="8" w:val="single"/>
              <w:left w:color="000000" w:space="0" w:sz="12" w:val="single"/>
              <w:bottom w:color="000000" w:space="0" w:sz="8" w:val="single"/>
              <w:right w:color="000000" w:space="0" w:sz="6" w:val="single"/>
            </w:tcBorders>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Requested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as Modified </w:t>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on Court’s Motion </w:t>
            </w:r>
          </w:p>
        </w:tc>
        <w:tc>
          <w:tcPr>
            <w:tcBorders>
              <w:top w:color="000000" w:space="0" w:sz="8" w:val="single"/>
              <w:left w:color="000000" w:space="0" w:sz="6" w:val="single"/>
              <w:bottom w:color="000000" w:space="0" w:sz="8" w:val="single"/>
              <w:right w:color="000000" w:space="0" w:sz="12"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700" w:hRule="atLeast"/>
        </w:trPr>
        <w:tc>
          <w:tcPr>
            <w:vMerge w:val="restart"/>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Refused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8" w:val="single"/>
              <w:right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restart"/>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Judge </w:t>
            </w:r>
          </w:p>
        </w:tc>
      </w:tr>
      <w:tr>
        <w:trPr>
          <w:trHeight w:val="394" w:hRule="atLeast"/>
        </w:trPr>
        <w:tc>
          <w:tcPr>
            <w:vMerge w:val="continue"/>
            <w:tcBorders>
              <w:top w:color="000000" w:space="0" w:sz="8" w:val="single"/>
              <w:left w:color="000000" w:space="0" w:sz="12" w:val="single"/>
              <w:right w:color="000000" w:space="0" w:sz="6" w:val="single"/>
            </w:tcBorders>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6" w:val="single"/>
              <w:bottom w:color="000000" w:space="0" w:sz="12" w:val="single"/>
              <w:right w:color="000000" w:space="0" w:sz="6" w:val="single"/>
            </w:tcBorders>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vMerge w:val="continue"/>
            <w:tcBorders>
              <w:top w:color="000000" w:space="0" w:sz="8" w:val="single"/>
              <w:left w:color="000000" w:space="0" w:sz="6" w:val="single"/>
              <w:right w:color="000000" w:space="0" w:sz="12" w:val="single"/>
            </w:tcBorders>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widowControl w:val="0"/>
        <w:spacing w:after="500" w:before="760" w:line="240" w:lineRule="auto"/>
        <w:jc w:val="center"/>
        <w:rPr>
          <w:rFonts w:ascii="Georgia" w:cs="Georgia" w:eastAsia="Georgia" w:hAnsi="Georgia"/>
          <w:color w:val="252525"/>
          <w:sz w:val="24"/>
          <w:szCs w:val="24"/>
        </w:rPr>
      </w:pPr>
      <w:r w:rsidDel="00000000" w:rsidR="00000000" w:rsidRPr="00000000">
        <w:rPr>
          <w:rFonts w:ascii="Georgia" w:cs="Georgia" w:eastAsia="Georgia" w:hAnsi="Georgia"/>
          <w:color w:val="252525"/>
          <w:sz w:val="24"/>
          <w:szCs w:val="24"/>
          <w:rtl w:val="0"/>
        </w:rPr>
        <w:t xml:space="preserve">101 Overview of Trial</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 assist you in your tasks as jurors, I will now explain how the trial will proceed. I will begin by identifying the parties to the case. [</w:t>
      </w:r>
      <w:r w:rsidDel="00000000" w:rsidR="00000000" w:rsidRPr="00000000">
        <w:rPr>
          <w:rFonts w:ascii="Times New Roman" w:cs="Times New Roman" w:eastAsia="Times New Roman" w:hAnsi="Times New Roman"/>
          <w:i w:val="1"/>
          <w:color w:val="000000"/>
          <w:sz w:val="20"/>
          <w:szCs w:val="20"/>
          <w:rtl w:val="0"/>
        </w:rPr>
        <w:t xml:space="preserve">Name of plaintiff</w:t>
      </w:r>
      <w:r w:rsidDel="00000000" w:rsidR="00000000" w:rsidRPr="00000000">
        <w:rPr>
          <w:rFonts w:ascii="Times New Roman" w:cs="Times New Roman" w:eastAsia="Times New Roman" w:hAnsi="Times New Roman"/>
          <w:color w:val="000000"/>
          <w:sz w:val="20"/>
          <w:szCs w:val="20"/>
          <w:rtl w:val="0"/>
        </w:rPr>
        <w:t xml:space="preserve">] filed this lawsuit. [He/She/</w:t>
      </w:r>
      <w:r w:rsidDel="00000000" w:rsidR="00000000" w:rsidRPr="00000000">
        <w:rPr>
          <w:rFonts w:ascii="Times New Roman" w:cs="Times New Roman" w:eastAsia="Times New Roman" w:hAnsi="Times New Roman"/>
          <w:i w:val="1"/>
          <w:color w:val="000000"/>
          <w:sz w:val="20"/>
          <w:szCs w:val="20"/>
          <w:rtl w:val="0"/>
        </w:rPr>
        <w:t xml:space="preserve">Nonbinary pronoun</w:t>
      </w:r>
      <w:r w:rsidDel="00000000" w:rsidR="00000000" w:rsidRPr="00000000">
        <w:rPr>
          <w:rFonts w:ascii="Times New Roman" w:cs="Times New Roman" w:eastAsia="Times New Roman" w:hAnsi="Times New Roman"/>
          <w:color w:val="000000"/>
          <w:sz w:val="20"/>
          <w:szCs w:val="20"/>
          <w:rtl w:val="0"/>
        </w:rPr>
        <w:t xml:space="preserve">/It] is called a [plaintiff/petitioner]. [He/She/</w:t>
      </w:r>
      <w:r w:rsidDel="00000000" w:rsidR="00000000" w:rsidRPr="00000000">
        <w:rPr>
          <w:rFonts w:ascii="Times New Roman" w:cs="Times New Roman" w:eastAsia="Times New Roman" w:hAnsi="Times New Roman"/>
          <w:i w:val="1"/>
          <w:color w:val="000000"/>
          <w:sz w:val="20"/>
          <w:szCs w:val="20"/>
          <w:rtl w:val="0"/>
        </w:rPr>
        <w:t xml:space="preserve">Nonbinary pronoun</w:t>
      </w:r>
      <w:r w:rsidDel="00000000" w:rsidR="00000000" w:rsidRPr="00000000">
        <w:rPr>
          <w:rFonts w:ascii="Times New Roman" w:cs="Times New Roman" w:eastAsia="Times New Roman" w:hAnsi="Times New Roman"/>
          <w:color w:val="000000"/>
          <w:sz w:val="20"/>
          <w:szCs w:val="20"/>
          <w:rtl w:val="0"/>
        </w:rPr>
        <w:t xml:space="preserve">/It] seeks [damages/[</w:t>
      </w:r>
      <w:r w:rsidDel="00000000" w:rsidR="00000000" w:rsidRPr="00000000">
        <w:rPr>
          <w:rFonts w:ascii="Times New Roman" w:cs="Times New Roman" w:eastAsia="Times New Roman" w:hAnsi="Times New Roman"/>
          <w:i w:val="1"/>
          <w:color w:val="000000"/>
          <w:sz w:val="20"/>
          <w:szCs w:val="20"/>
          <w:rtl w:val="0"/>
        </w:rPr>
        <w:t xml:space="preserve">specify other relief</w:t>
      </w:r>
      <w:r w:rsidDel="00000000" w:rsidR="00000000" w:rsidRPr="00000000">
        <w:rPr>
          <w:rFonts w:ascii="Times New Roman" w:cs="Times New Roman" w:eastAsia="Times New Roman" w:hAnsi="Times New Roman"/>
          <w:color w:val="000000"/>
          <w:sz w:val="20"/>
          <w:szCs w:val="20"/>
          <w:rtl w:val="0"/>
        </w:rPr>
        <w:t xml:space="preserve">] from [</w:t>
      </w:r>
      <w:r w:rsidDel="00000000" w:rsidR="00000000" w:rsidRPr="00000000">
        <w:rPr>
          <w:rFonts w:ascii="Times New Roman" w:cs="Times New Roman" w:eastAsia="Times New Roman" w:hAnsi="Times New Roman"/>
          <w:i w:val="1"/>
          <w:color w:val="000000"/>
          <w:sz w:val="20"/>
          <w:szCs w:val="20"/>
          <w:rtl w:val="0"/>
        </w:rPr>
        <w:t xml:space="preserve">name of defendant</w:t>
      </w:r>
      <w:r w:rsidDel="00000000" w:rsidR="00000000" w:rsidRPr="00000000">
        <w:rPr>
          <w:rFonts w:ascii="Times New Roman" w:cs="Times New Roman" w:eastAsia="Times New Roman" w:hAnsi="Times New Roman"/>
          <w:color w:val="000000"/>
          <w:sz w:val="20"/>
          <w:szCs w:val="20"/>
          <w:rtl w:val="0"/>
        </w:rPr>
        <w:t xml:space="preserve">], who is called a [defendant/respondent].</w:t>
      </w:r>
    </w:p>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Name of plaintiff</w:t>
      </w:r>
      <w:r w:rsidDel="00000000" w:rsidR="00000000" w:rsidRPr="00000000">
        <w:rPr>
          <w:rFonts w:ascii="Times New Roman" w:cs="Times New Roman" w:eastAsia="Times New Roman" w:hAnsi="Times New Roman"/>
          <w:color w:val="000000"/>
          <w:sz w:val="20"/>
          <w:szCs w:val="20"/>
          <w:rtl w:val="0"/>
        </w:rPr>
        <w:t xml:space="preserve">] claims [</w:t>
      </w:r>
      <w:r w:rsidDel="00000000" w:rsidR="00000000" w:rsidRPr="00000000">
        <w:rPr>
          <w:rFonts w:ascii="Times New Roman" w:cs="Times New Roman" w:eastAsia="Times New Roman" w:hAnsi="Times New Roman"/>
          <w:i w:val="1"/>
          <w:color w:val="000000"/>
          <w:sz w:val="20"/>
          <w:szCs w:val="20"/>
          <w:rtl w:val="0"/>
        </w:rPr>
        <w:t xml:space="preserve">insert description of the plaintiff’s claim(s)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Name of defendant</w:t>
      </w:r>
      <w:r w:rsidDel="00000000" w:rsidR="00000000" w:rsidRPr="00000000">
        <w:rPr>
          <w:rFonts w:ascii="Times New Roman" w:cs="Times New Roman" w:eastAsia="Times New Roman" w:hAnsi="Times New Roman"/>
          <w:color w:val="000000"/>
          <w:sz w:val="20"/>
          <w:szCs w:val="20"/>
          <w:rtl w:val="0"/>
        </w:rPr>
        <w:t xml:space="preserve">] denies those claims. [[</w:t>
      </w:r>
      <w:r w:rsidDel="00000000" w:rsidR="00000000" w:rsidRPr="00000000">
        <w:rPr>
          <w:rFonts w:ascii="Times New Roman" w:cs="Times New Roman" w:eastAsia="Times New Roman" w:hAnsi="Times New Roman"/>
          <w:i w:val="1"/>
          <w:color w:val="000000"/>
          <w:sz w:val="20"/>
          <w:szCs w:val="20"/>
          <w:rtl w:val="0"/>
        </w:rPr>
        <w:t xml:space="preserve">Name of defendant</w:t>
      </w:r>
      <w:r w:rsidDel="00000000" w:rsidR="00000000" w:rsidRPr="00000000">
        <w:rPr>
          <w:rFonts w:ascii="Times New Roman" w:cs="Times New Roman" w:eastAsia="Times New Roman" w:hAnsi="Times New Roman"/>
          <w:color w:val="000000"/>
          <w:sz w:val="20"/>
          <w:szCs w:val="20"/>
          <w:rtl w:val="0"/>
        </w:rPr>
        <w:t xml:space="preserve">] also contends that [</w:t>
      </w:r>
      <w:r w:rsidDel="00000000" w:rsidR="00000000" w:rsidRPr="00000000">
        <w:rPr>
          <w:rFonts w:ascii="Times New Roman" w:cs="Times New Roman" w:eastAsia="Times New Roman" w:hAnsi="Times New Roman"/>
          <w:i w:val="1"/>
          <w:color w:val="000000"/>
          <w:sz w:val="20"/>
          <w:szCs w:val="20"/>
          <w:rtl w:val="0"/>
        </w:rPr>
        <w:t xml:space="preserve">insert description of the defendant’s affirmative defense(s)</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i w:val="1"/>
          <w:color w:val="000000"/>
          <w:sz w:val="20"/>
          <w:szCs w:val="20"/>
          <w:rtl w:val="0"/>
        </w:rPr>
        <w:t xml:space="preserve">Name of cross-complainant</w:t>
      </w:r>
      <w:r w:rsidDel="00000000" w:rsidR="00000000" w:rsidRPr="00000000">
        <w:rPr>
          <w:rFonts w:ascii="Times New Roman" w:cs="Times New Roman" w:eastAsia="Times New Roman" w:hAnsi="Times New Roman"/>
          <w:color w:val="000000"/>
          <w:sz w:val="20"/>
          <w:szCs w:val="20"/>
          <w:rtl w:val="0"/>
        </w:rPr>
        <w:t xml:space="preserve">] has also filed what is called a cross complaint against [</w:t>
      </w:r>
      <w:r w:rsidDel="00000000" w:rsidR="00000000" w:rsidRPr="00000000">
        <w:rPr>
          <w:rFonts w:ascii="Times New Roman" w:cs="Times New Roman" w:eastAsia="Times New Roman" w:hAnsi="Times New Roman"/>
          <w:i w:val="1"/>
          <w:color w:val="000000"/>
          <w:sz w:val="20"/>
          <w:szCs w:val="20"/>
          <w:rtl w:val="0"/>
        </w:rPr>
        <w:t xml:space="preserve">name of cross-defendant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Name of cross-complainant</w:t>
      </w:r>
      <w:r w:rsidDel="00000000" w:rsidR="00000000" w:rsidRPr="00000000">
        <w:rPr>
          <w:rFonts w:ascii="Times New Roman" w:cs="Times New Roman" w:eastAsia="Times New Roman" w:hAnsi="Times New Roman"/>
          <w:color w:val="000000"/>
          <w:sz w:val="20"/>
          <w:szCs w:val="20"/>
          <w:rtl w:val="0"/>
        </w:rPr>
        <w:t xml:space="preserve">] is the [defendant/respondent], but also is called the cross-complainant. [</w:t>
      </w:r>
      <w:r w:rsidDel="00000000" w:rsidR="00000000" w:rsidRPr="00000000">
        <w:rPr>
          <w:rFonts w:ascii="Times New Roman" w:cs="Times New Roman" w:eastAsia="Times New Roman" w:hAnsi="Times New Roman"/>
          <w:i w:val="1"/>
          <w:color w:val="000000"/>
          <w:sz w:val="20"/>
          <w:szCs w:val="20"/>
          <w:rtl w:val="0"/>
        </w:rPr>
        <w:t xml:space="preserve">Name of cross-defendant</w:t>
      </w:r>
      <w:r w:rsidDel="00000000" w:rsidR="00000000" w:rsidRPr="00000000">
        <w:rPr>
          <w:rFonts w:ascii="Times New Roman" w:cs="Times New Roman" w:eastAsia="Times New Roman" w:hAnsi="Times New Roman"/>
          <w:color w:val="000000"/>
          <w:sz w:val="20"/>
          <w:szCs w:val="20"/>
          <w:rtl w:val="0"/>
        </w:rPr>
        <w:t xml:space="preserve">] is called a cross-defendant.]</w:t>
      </w:r>
    </w:p>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[his/her/</w:t>
      </w:r>
      <w:r w:rsidDel="00000000" w:rsidR="00000000" w:rsidRPr="00000000">
        <w:rPr>
          <w:rFonts w:ascii="Times New Roman" w:cs="Times New Roman" w:eastAsia="Times New Roman" w:hAnsi="Times New Roman"/>
          <w:i w:val="1"/>
          <w:color w:val="000000"/>
          <w:sz w:val="20"/>
          <w:szCs w:val="20"/>
          <w:rtl w:val="0"/>
        </w:rPr>
        <w:t xml:space="preserve">nonbinary pronoun</w:t>
      </w:r>
      <w:r w:rsidDel="00000000" w:rsidR="00000000" w:rsidRPr="00000000">
        <w:rPr>
          <w:rFonts w:ascii="Times New Roman" w:cs="Times New Roman" w:eastAsia="Times New Roman" w:hAnsi="Times New Roman"/>
          <w:color w:val="000000"/>
          <w:sz w:val="20"/>
          <w:szCs w:val="20"/>
          <w:rtl w:val="0"/>
        </w:rPr>
        <w:t xml:space="preserve">/its] cross-complaint, [</w:t>
      </w:r>
      <w:r w:rsidDel="00000000" w:rsidR="00000000" w:rsidRPr="00000000">
        <w:rPr>
          <w:rFonts w:ascii="Times New Roman" w:cs="Times New Roman" w:eastAsia="Times New Roman" w:hAnsi="Times New Roman"/>
          <w:i w:val="1"/>
          <w:color w:val="000000"/>
          <w:sz w:val="20"/>
          <w:szCs w:val="20"/>
          <w:rtl w:val="0"/>
        </w:rPr>
        <w:t xml:space="preserve">name of cross-complainant</w:t>
      </w:r>
      <w:r w:rsidDel="00000000" w:rsidR="00000000" w:rsidRPr="00000000">
        <w:rPr>
          <w:rFonts w:ascii="Times New Roman" w:cs="Times New Roman" w:eastAsia="Times New Roman" w:hAnsi="Times New Roman"/>
          <w:color w:val="000000"/>
          <w:sz w:val="20"/>
          <w:szCs w:val="20"/>
          <w:rtl w:val="0"/>
        </w:rPr>
        <w:t xml:space="preserve">] claims [</w:t>
      </w:r>
      <w:r w:rsidDel="00000000" w:rsidR="00000000" w:rsidRPr="00000000">
        <w:rPr>
          <w:rFonts w:ascii="Times New Roman" w:cs="Times New Roman" w:eastAsia="Times New Roman" w:hAnsi="Times New Roman"/>
          <w:i w:val="1"/>
          <w:color w:val="000000"/>
          <w:sz w:val="20"/>
          <w:szCs w:val="20"/>
          <w:rtl w:val="0"/>
        </w:rPr>
        <w:t xml:space="preserve">insert description of the cross-complainant’s claim(s)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Name of cross-defendant</w:t>
      </w:r>
      <w:r w:rsidDel="00000000" w:rsidR="00000000" w:rsidRPr="00000000">
        <w:rPr>
          <w:rFonts w:ascii="Times New Roman" w:cs="Times New Roman" w:eastAsia="Times New Roman" w:hAnsi="Times New Roman"/>
          <w:color w:val="000000"/>
          <w:sz w:val="20"/>
          <w:szCs w:val="20"/>
          <w:rtl w:val="0"/>
        </w:rPr>
        <w:t xml:space="preserve">] denies those claims. [[</w:t>
      </w:r>
      <w:r w:rsidDel="00000000" w:rsidR="00000000" w:rsidRPr="00000000">
        <w:rPr>
          <w:rFonts w:ascii="Times New Roman" w:cs="Times New Roman" w:eastAsia="Times New Roman" w:hAnsi="Times New Roman"/>
          <w:i w:val="1"/>
          <w:color w:val="000000"/>
          <w:sz w:val="20"/>
          <w:szCs w:val="20"/>
          <w:rtl w:val="0"/>
        </w:rPr>
        <w:t xml:space="preserve">Name of cross-defendant</w:t>
      </w:r>
      <w:r w:rsidDel="00000000" w:rsidR="00000000" w:rsidRPr="00000000">
        <w:rPr>
          <w:rFonts w:ascii="Times New Roman" w:cs="Times New Roman" w:eastAsia="Times New Roman" w:hAnsi="Times New Roman"/>
          <w:color w:val="000000"/>
          <w:sz w:val="20"/>
          <w:szCs w:val="20"/>
          <w:rtl w:val="0"/>
        </w:rPr>
        <w:t xml:space="preserve">] also contends that [</w:t>
      </w:r>
      <w:r w:rsidDel="00000000" w:rsidR="00000000" w:rsidRPr="00000000">
        <w:rPr>
          <w:rFonts w:ascii="Times New Roman" w:cs="Times New Roman" w:eastAsia="Times New Roman" w:hAnsi="Times New Roman"/>
          <w:i w:val="1"/>
          <w:color w:val="000000"/>
          <w:sz w:val="20"/>
          <w:szCs w:val="20"/>
          <w:rtl w:val="0"/>
        </w:rPr>
        <w:t xml:space="preserve">insert description of the cross-defendant’s affirmative defense(s) to the cross-complaint</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First, each side may make an opening statement, but neither side is required to do so. An opening statement is not evidence. It is simply an outline to help you understand what that party expects the evidence will show. Also, because it is often difficult to give you the evidence in the order we would prefer, the opening statement allows you to keep an overview of the case in mind during the presentation of the evidence.</w:t>
      </w:r>
    </w:p>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Next, the jury will hear the evidence. [</w:t>
      </w:r>
      <w:r w:rsidDel="00000000" w:rsidR="00000000" w:rsidRPr="00000000">
        <w:rPr>
          <w:rFonts w:ascii="Times New Roman" w:cs="Times New Roman" w:eastAsia="Times New Roman" w:hAnsi="Times New Roman"/>
          <w:i w:val="1"/>
          <w:color w:val="000000"/>
          <w:sz w:val="20"/>
          <w:szCs w:val="20"/>
          <w:rtl w:val="0"/>
        </w:rPr>
        <w:t xml:space="preserve">Name of plaintiff</w:t>
      </w:r>
      <w:r w:rsidDel="00000000" w:rsidR="00000000" w:rsidRPr="00000000">
        <w:rPr>
          <w:rFonts w:ascii="Times New Roman" w:cs="Times New Roman" w:eastAsia="Times New Roman" w:hAnsi="Times New Roman"/>
          <w:color w:val="000000"/>
          <w:sz w:val="20"/>
          <w:szCs w:val="20"/>
          <w:rtl w:val="0"/>
        </w:rPr>
        <w:t xml:space="preserve">] will present evidence first. When [</w:t>
      </w:r>
      <w:r w:rsidDel="00000000" w:rsidR="00000000" w:rsidRPr="00000000">
        <w:rPr>
          <w:rFonts w:ascii="Times New Roman" w:cs="Times New Roman" w:eastAsia="Times New Roman" w:hAnsi="Times New Roman"/>
          <w:i w:val="1"/>
          <w:color w:val="000000"/>
          <w:sz w:val="20"/>
          <w:szCs w:val="20"/>
          <w:rtl w:val="0"/>
        </w:rPr>
        <w:t xml:space="preserve">name of plaintiff</w:t>
      </w:r>
      <w:r w:rsidDel="00000000" w:rsidR="00000000" w:rsidRPr="00000000">
        <w:rPr>
          <w:rFonts w:ascii="Times New Roman" w:cs="Times New Roman" w:eastAsia="Times New Roman" w:hAnsi="Times New Roman"/>
          <w:color w:val="000000"/>
          <w:sz w:val="20"/>
          <w:szCs w:val="20"/>
          <w:rtl w:val="0"/>
        </w:rPr>
        <w:t xml:space="preserve">] is finished, [</w:t>
      </w:r>
      <w:r w:rsidDel="00000000" w:rsidR="00000000" w:rsidRPr="00000000">
        <w:rPr>
          <w:rFonts w:ascii="Times New Roman" w:cs="Times New Roman" w:eastAsia="Times New Roman" w:hAnsi="Times New Roman"/>
          <w:i w:val="1"/>
          <w:color w:val="000000"/>
          <w:sz w:val="20"/>
          <w:szCs w:val="20"/>
          <w:rtl w:val="0"/>
        </w:rPr>
        <w:t xml:space="preserve">name of defendant</w:t>
      </w:r>
      <w:r w:rsidDel="00000000" w:rsidR="00000000" w:rsidRPr="00000000">
        <w:rPr>
          <w:rFonts w:ascii="Times New Roman" w:cs="Times New Roman" w:eastAsia="Times New Roman" w:hAnsi="Times New Roman"/>
          <w:color w:val="000000"/>
          <w:sz w:val="20"/>
          <w:szCs w:val="20"/>
          <w:rtl w:val="0"/>
        </w:rPr>
        <w:t xml:space="preserve">] will have an opportunity to present evidence. [Then [</w:t>
      </w:r>
      <w:r w:rsidDel="00000000" w:rsidR="00000000" w:rsidRPr="00000000">
        <w:rPr>
          <w:rFonts w:ascii="Times New Roman" w:cs="Times New Roman" w:eastAsia="Times New Roman" w:hAnsi="Times New Roman"/>
          <w:i w:val="1"/>
          <w:color w:val="000000"/>
          <w:sz w:val="20"/>
          <w:szCs w:val="20"/>
          <w:rtl w:val="0"/>
        </w:rPr>
        <w:t xml:space="preserve">name of cross-complainant</w:t>
      </w:r>
      <w:r w:rsidDel="00000000" w:rsidR="00000000" w:rsidRPr="00000000">
        <w:rPr>
          <w:rFonts w:ascii="Times New Roman" w:cs="Times New Roman" w:eastAsia="Times New Roman" w:hAnsi="Times New Roman"/>
          <w:color w:val="000000"/>
          <w:sz w:val="20"/>
          <w:szCs w:val="20"/>
          <w:rtl w:val="0"/>
        </w:rPr>
        <w:t xml:space="preserve">] will present evidence. Finally, [</w:t>
      </w:r>
      <w:r w:rsidDel="00000000" w:rsidR="00000000" w:rsidRPr="00000000">
        <w:rPr>
          <w:rFonts w:ascii="Times New Roman" w:cs="Times New Roman" w:eastAsia="Times New Roman" w:hAnsi="Times New Roman"/>
          <w:i w:val="1"/>
          <w:color w:val="000000"/>
          <w:sz w:val="20"/>
          <w:szCs w:val="20"/>
          <w:rtl w:val="0"/>
        </w:rPr>
        <w:t xml:space="preserve">name of cross-defendant</w:t>
      </w:r>
      <w:r w:rsidDel="00000000" w:rsidR="00000000" w:rsidRPr="00000000">
        <w:rPr>
          <w:rFonts w:ascii="Times New Roman" w:cs="Times New Roman" w:eastAsia="Times New Roman" w:hAnsi="Times New Roman"/>
          <w:color w:val="000000"/>
          <w:sz w:val="20"/>
          <w:szCs w:val="20"/>
          <w:rtl w:val="0"/>
        </w:rPr>
        <w:t xml:space="preserve">] will present evidence.]</w:t>
      </w:r>
    </w:p>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witness will first be questioned by the side that asked the witness to testify. This is called direct examination. Then the other side is permitted to question the witness. This is called cross-examination.</w:t>
      </w:r>
    </w:p>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Documents or objects referred to during the trial are called exhibits. Exhibits are given a [number/letter] so that they may be clearly identified. Exhibits are not evidence until I admit them into evidence. During your deliberations, you will be able to look at all exhibits admitted into evidence.</w:t>
      </w:r>
    </w:p>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are many rules that govern whether something will be admitted into evidence. As one side presents evidence, the other side has the right to object and to ask me to decide if the evidence is permitted by the rules. Usually, I will decide immediately, but sometimes I may have to hear arguments outside of your presence.</w:t>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the evidence has been presented, I will instruct you on the law that applies to the case and the attorneys will make closing arguments. What the parties say in closing argument is not evidence. The arguments are offered to help you understand the evidence and how the law applies to it.</w:t>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bookmarkStart w:colFirst="0" w:colLast="0" w:name="1fob9te" w:id="2"/>
    <w:bookmarkEnd w:id="2"/>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tbl>
      <w:tblPr>
        <w:tblStyle w:val="Table2"/>
        <w:tblW w:w="10080.0" w:type="dxa"/>
        <w:jc w:val="left"/>
        <w:tblInd w:w="30.0" w:type="pct"/>
        <w:tblLayout w:type="fixed"/>
        <w:tblLook w:val="0400"/>
      </w:tblPr>
      <w:tblGrid>
        <w:gridCol w:w="10080"/>
        <w:tblGridChange w:id="0">
          <w:tblGrid>
            <w:gridCol w:w="10080"/>
          </w:tblGrid>
        </w:tblGridChange>
      </w:tblGrid>
      <w:tr>
        <w:tc>
          <w:tcPr>
            <w:tcMar>
              <w:top w:w="0.0" w:type="dxa"/>
              <w:left w:w="30.0" w:type="dxa"/>
              <w:bottom w:w="0.0" w:type="dxa"/>
              <w:right w:w="30.0" w:type="dxa"/>
            </w:tcMar>
          </w:tcPr>
          <w:p w:rsidR="00000000" w:rsidDel="00000000" w:rsidP="00000000" w:rsidRDefault="00000000" w:rsidRPr="00000000" w14:paraId="00000037">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New September 2003; Revised February 2007, June 2010, May 2019, May 2020</w:t>
            </w:r>
          </w:p>
          <w:p w:rsidR="00000000" w:rsidDel="00000000" w:rsidP="00000000" w:rsidRDefault="00000000" w:rsidRPr="00000000" w14:paraId="00000038">
            <w:pPr>
              <w:widowControl w:val="0"/>
              <w:spacing w:after="0" w:line="240" w:lineRule="auto"/>
              <w:ind w:left="30" w:right="30" w:firstLine="0"/>
              <w:rPr>
                <w:rFonts w:ascii="Times New Roman" w:cs="Times New Roman" w:eastAsia="Times New Roman" w:hAnsi="Times New Roman"/>
                <w:i w:val="1"/>
                <w:color w:val="000000"/>
                <w:sz w:val="20"/>
                <w:szCs w:val="20"/>
              </w:rPr>
            </w:pPr>
            <w:r w:rsidDel="00000000" w:rsidR="00000000" w:rsidRPr="00000000">
              <w:rPr>
                <w:rtl w:val="0"/>
              </w:rPr>
            </w:r>
          </w:p>
        </w:tc>
      </w:tr>
    </w:tbl>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A">
      <w:pPr>
        <w:widowControl w:val="0"/>
        <w:spacing w:before="20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Directions for Use</w:t>
      </w:r>
    </w:p>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instruction is intended to provide a “road map” for the jurors. This instruction should be read in conjunction with </w:t>
      </w:r>
      <w:hyperlink r:id="rId8">
        <w:r w:rsidDel="00000000" w:rsidR="00000000" w:rsidRPr="00000000">
          <w:rPr>
            <w:rFonts w:ascii="Times New Roman" w:cs="Times New Roman" w:eastAsia="Times New Roman" w:hAnsi="Times New Roman"/>
            <w:color w:val="0000ff"/>
            <w:sz w:val="20"/>
            <w:szCs w:val="20"/>
            <w:u w:val="single"/>
            <w:rtl w:val="0"/>
          </w:rPr>
          <w:t xml:space="preserve">CACI No. 100, Preliminary Admonitions</w:t>
        </w:r>
      </w:hyperlink>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D">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bracketed second, third, and fourth paragraphs are optional. The court may wish to use these paragraphs to provide the jurors with an explanation of the claims and defenses that are at issue in the case. Include the third and fourth paragraphs if a cross-complaint is also being tried. Include the last sentence in the second and fourth paragraphs if affirmative defenses are asserted on the complaint or cross-complaint.</w:t>
      </w:r>
    </w:p>
    <w:p w:rsidR="00000000" w:rsidDel="00000000" w:rsidP="00000000" w:rsidRDefault="00000000" w:rsidRPr="00000000" w14:paraId="0000003E">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sixth paragraph presents the order of proof. If there is a cross-complaint, include the last two sentences. Alternatively, the parties may stipulate to a different order of proof—for example, by agreeing that some evidence will apply to both the complaint and the cross-complaint. In this case, customize this paragraph to correspond to the stipulation.</w:t>
      </w:r>
    </w:p>
    <w:p w:rsidR="00000000" w:rsidDel="00000000" w:rsidP="00000000" w:rsidRDefault="00000000" w:rsidRPr="00000000" w14:paraId="00000040">
      <w:pPr>
        <w:widowControl w:val="0"/>
        <w:spacing w:after="500" w:before="760" w:line="240" w:lineRule="auto"/>
        <w:jc w:val="center"/>
        <w:rPr>
          <w:rFonts w:ascii="Times New Roman" w:cs="Times New Roman" w:eastAsia="Times New Roman" w:hAnsi="Times New Roman"/>
          <w:color w:val="000000"/>
          <w:sz w:val="20"/>
          <w:szCs w:val="20"/>
        </w:rPr>
      </w:pPr>
      <w:bookmarkStart w:colFirst="0" w:colLast="0" w:name="_3znysh7" w:id="3"/>
      <w:bookmarkEnd w:id="3"/>
      <w:r w:rsidDel="00000000" w:rsidR="00000000" w:rsidRPr="00000000">
        <w:rPr>
          <w:rtl w:val="0"/>
        </w:rPr>
      </w:r>
    </w:p>
    <w:sectPr>
      <w:type w:val="continuous"/>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widowControl w:val="0"/>
      <w:spacing w:after="0" w:line="240" w:lineRule="auto"/>
      <w:rPr>
        <w:rFonts w:ascii="Arial" w:cs="Arial" w:eastAsia="Arial" w:hAnsi="Arial"/>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widowControl w:val="0"/>
      <w:spacing w:after="0" w:line="240" w:lineRule="auto"/>
      <w:rPr>
        <w:rFonts w:ascii="Arial" w:cs="Arial" w:eastAsia="Arial" w:hAnsi="Arial"/>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westlaw.com/Link/Document/FullText?findType=Y&amp;pubNum=164298&amp;cite=CACI100&amp;originatingDoc=I904aae82f98d11db97c9c9e44fb98cc8&amp;refType=NA&amp;originationContext=document&amp;vr=3.0&amp;rs=cblt1.0&amp;transitionType=DocumentItem&amp;contextData=(sc.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