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88" w:rsidRDefault="00DB53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B5388" w:rsidRDefault="00DB53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DB5388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cols w:space="720"/>
          <w:noEndnote/>
        </w:sectPr>
      </w:pPr>
    </w:p>
    <w:p w:rsidR="00DB5388" w:rsidRDefault="00DB53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bookmarkStart w:id="0" w:name="co_document_2"/>
      <w:bookmarkStart w:id="1" w:name="I904b71d5f98d11db97c9c9e44fb98cc8_I904b7"/>
      <w:bookmarkEnd w:id="0"/>
      <w:bookmarkEnd w:id="1"/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2538"/>
        <w:gridCol w:w="630"/>
        <w:gridCol w:w="3060"/>
        <w:gridCol w:w="360"/>
        <w:gridCol w:w="3060"/>
        <w:gridCol w:w="360"/>
      </w:tblGrid>
      <w:tr w:rsidR="007D01C4" w:rsidRPr="00510985" w:rsidTr="00A23EFF">
        <w:trPr>
          <w:trHeight w:val="562"/>
        </w:trPr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10985" w:rsidRDefault="007D01C4" w:rsidP="00A23E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</w:rPr>
            </w:pPr>
            <w:r w:rsidRPr="00510985">
              <w:rPr>
                <w:rFonts w:ascii="Times New Roman" w:eastAsia="SimSun" w:hAnsi="Times New Roman"/>
                <w:sz w:val="24"/>
                <w:szCs w:val="24"/>
              </w:rPr>
              <w:t xml:space="preserve">Requested by Plaintiffs 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Requested by Defendant 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Requested by Cross-Complainants 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D01C4" w:rsidRPr="00510985" w:rsidTr="00A23EFF">
        <w:trPr>
          <w:trHeight w:val="502"/>
        </w:trPr>
        <w:tc>
          <w:tcPr>
            <w:tcW w:w="2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Given as Requested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Given as Modified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Given on Court’s Motion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D01C4" w:rsidRPr="00510985" w:rsidTr="00A23EFF">
        <w:trPr>
          <w:trHeight w:val="700"/>
        </w:trPr>
        <w:tc>
          <w:tcPr>
            <w:tcW w:w="2538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vAlign w:val="bottom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</w:p>
          <w:p w:rsidR="007D01C4" w:rsidRPr="00565D1E" w:rsidRDefault="007D01C4" w:rsidP="00A23EFF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Refused </w:t>
            </w:r>
          </w:p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</w:p>
          <w:p w:rsidR="007D01C4" w:rsidRPr="00565D1E" w:rsidRDefault="007D01C4" w:rsidP="00A23EFF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Withdrawn </w:t>
            </w:r>
          </w:p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7D01C4" w:rsidRDefault="007D01C4" w:rsidP="00A23EF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7D01C4" w:rsidRPr="00565D1E" w:rsidRDefault="007D01C4" w:rsidP="00A23EF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40" w:type="dxa"/>
            <w:gridSpan w:val="4"/>
            <w:vMerge w:val="restart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7D01C4" w:rsidRPr="00565D1E" w:rsidRDefault="007D01C4" w:rsidP="00A23EFF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  <w:r w:rsidRPr="00565D1E">
              <w:rPr>
                <w:rFonts w:ascii="Times New Roman" w:hAnsi="Times New Roman" w:cs="Times New Roman"/>
              </w:rPr>
              <w:t xml:space="preserve">________________________ </w:t>
            </w:r>
          </w:p>
          <w:p w:rsidR="007D01C4" w:rsidRPr="00565D1E" w:rsidRDefault="007D01C4" w:rsidP="00A23EFF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Judge</w:t>
            </w:r>
            <w:r w:rsidRPr="00565D1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D01C4" w:rsidRPr="00510985" w:rsidTr="00A23EFF">
        <w:trPr>
          <w:trHeight w:val="394"/>
        </w:trPr>
        <w:tc>
          <w:tcPr>
            <w:tcW w:w="2538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7D01C4" w:rsidRPr="00565D1E" w:rsidRDefault="007D01C4" w:rsidP="00A23EF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D01C4" w:rsidRDefault="007D01C4" w:rsidP="00A23EF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40" w:type="dxa"/>
            <w:gridSpan w:val="4"/>
            <w:vMerge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7D01C4" w:rsidRPr="00565D1E" w:rsidRDefault="007D01C4" w:rsidP="00A23EFF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B90463" w:rsidRDefault="00B90463" w:rsidP="00B90463">
      <w:pPr>
        <w:widowControl w:val="0"/>
        <w:autoSpaceDE w:val="0"/>
        <w:autoSpaceDN w:val="0"/>
        <w:adjustRightInd w:val="0"/>
        <w:spacing w:before="760" w:after="500" w:line="240" w:lineRule="auto"/>
        <w:jc w:val="center"/>
        <w:rPr>
          <w:rFonts w:ascii="Georgia" w:hAnsi="Georgia" w:cs="Georgia"/>
          <w:color w:val="252525"/>
          <w:sz w:val="24"/>
          <w:szCs w:val="24"/>
        </w:rPr>
      </w:pPr>
      <w:r>
        <w:rPr>
          <w:rFonts w:ascii="Georgia" w:hAnsi="Georgia" w:cs="Georgia"/>
          <w:color w:val="252525"/>
          <w:sz w:val="24"/>
          <w:szCs w:val="24"/>
        </w:rPr>
        <w:t>3610 Aiding and Abetting Tort—Essential Factual Elements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plaintiff</w:t>
      </w:r>
      <w:r>
        <w:rPr>
          <w:rFonts w:ascii="Times New Roman" w:hAnsi="Times New Roman"/>
          <w:color w:val="000000"/>
          <w:sz w:val="20"/>
          <w:szCs w:val="20"/>
        </w:rPr>
        <w:t>] claims that [he/she/</w:t>
      </w:r>
      <w:proofErr w:type="spellStart"/>
      <w:r>
        <w:rPr>
          <w:rFonts w:ascii="Times New Roman" w:hAnsi="Times New Roman"/>
          <w:i/>
          <w:iCs/>
          <w:color w:val="000000"/>
          <w:sz w:val="20"/>
          <w:szCs w:val="20"/>
        </w:rPr>
        <w:t>nonbinary</w:t>
      </w:r>
      <w:proofErr w:type="spellEnd"/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 pronoun</w:t>
      </w:r>
      <w:r>
        <w:rPr>
          <w:rFonts w:ascii="Times New Roman" w:hAnsi="Times New Roman"/>
          <w:color w:val="000000"/>
          <w:sz w:val="20"/>
          <w:szCs w:val="20"/>
        </w:rPr>
        <w:t>] was harmed by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actor</w:t>
      </w:r>
      <w:r>
        <w:rPr>
          <w:rFonts w:ascii="Times New Roman" w:hAnsi="Times New Roman"/>
          <w:color w:val="000000"/>
          <w:sz w:val="20"/>
          <w:szCs w:val="20"/>
        </w:rPr>
        <w:t>]’s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insert tort theory, e.g., assault and battery</w:t>
      </w:r>
      <w:r>
        <w:rPr>
          <w:rFonts w:ascii="Times New Roman" w:hAnsi="Times New Roman"/>
          <w:color w:val="000000"/>
          <w:sz w:val="20"/>
          <w:szCs w:val="20"/>
        </w:rPr>
        <w:t>] and that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defendant</w:t>
      </w:r>
      <w:r>
        <w:rPr>
          <w:rFonts w:ascii="Times New Roman" w:hAnsi="Times New Roman"/>
          <w:color w:val="000000"/>
          <w:sz w:val="20"/>
          <w:szCs w:val="20"/>
        </w:rPr>
        <w:t>] is responsible for the harm because [he/she/</w:t>
      </w:r>
      <w:proofErr w:type="spellStart"/>
      <w:r>
        <w:rPr>
          <w:rFonts w:ascii="Times New Roman" w:hAnsi="Times New Roman"/>
          <w:i/>
          <w:iCs/>
          <w:color w:val="000000"/>
          <w:sz w:val="20"/>
          <w:szCs w:val="20"/>
        </w:rPr>
        <w:t>nonbinary</w:t>
      </w:r>
      <w:proofErr w:type="spellEnd"/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 pronoun</w:t>
      </w:r>
      <w:r>
        <w:rPr>
          <w:rFonts w:ascii="Times New Roman" w:hAnsi="Times New Roman"/>
          <w:color w:val="000000"/>
          <w:sz w:val="20"/>
          <w:szCs w:val="20"/>
        </w:rPr>
        <w:t>] aided and abetted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actor</w:t>
      </w:r>
      <w:r>
        <w:rPr>
          <w:rFonts w:ascii="Times New Roman" w:hAnsi="Times New Roman"/>
          <w:color w:val="000000"/>
          <w:sz w:val="20"/>
          <w:szCs w:val="20"/>
        </w:rPr>
        <w:t>] in committing the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e.g., assault and battery</w:t>
      </w:r>
      <w:r>
        <w:rPr>
          <w:rFonts w:ascii="Times New Roman" w:hAnsi="Times New Roman"/>
          <w:color w:val="000000"/>
          <w:sz w:val="20"/>
          <w:szCs w:val="20"/>
        </w:rPr>
        <w:t>].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If you find that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actor</w:t>
      </w:r>
      <w:r>
        <w:rPr>
          <w:rFonts w:ascii="Times New Roman" w:hAnsi="Times New Roman"/>
          <w:color w:val="000000"/>
          <w:sz w:val="20"/>
          <w:szCs w:val="20"/>
        </w:rPr>
        <w:t>] committed [a/an]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e.g., assault and battery</w:t>
      </w:r>
      <w:r>
        <w:rPr>
          <w:rFonts w:ascii="Times New Roman" w:hAnsi="Times New Roman"/>
          <w:color w:val="000000"/>
          <w:sz w:val="20"/>
          <w:szCs w:val="20"/>
        </w:rPr>
        <w:t>] that harmed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plaintiff</w:t>
      </w:r>
      <w:r>
        <w:rPr>
          <w:rFonts w:ascii="Times New Roman" w:hAnsi="Times New Roman"/>
          <w:color w:val="000000"/>
          <w:sz w:val="20"/>
          <w:szCs w:val="20"/>
        </w:rPr>
        <w:t>], then you must determine whether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defendant</w:t>
      </w:r>
      <w:r>
        <w:rPr>
          <w:rFonts w:ascii="Times New Roman" w:hAnsi="Times New Roman"/>
          <w:color w:val="000000"/>
          <w:sz w:val="20"/>
          <w:szCs w:val="20"/>
        </w:rPr>
        <w:t>] is also responsible for the harm.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defendant</w:t>
      </w:r>
      <w:r>
        <w:rPr>
          <w:rFonts w:ascii="Times New Roman" w:hAnsi="Times New Roman"/>
          <w:color w:val="000000"/>
          <w:sz w:val="20"/>
          <w:szCs w:val="20"/>
        </w:rPr>
        <w:t xml:space="preserve">] is responsible as an aider and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abetter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if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plaintiff</w:t>
      </w:r>
      <w:r>
        <w:rPr>
          <w:rFonts w:ascii="Times New Roman" w:hAnsi="Times New Roman"/>
          <w:color w:val="000000"/>
          <w:sz w:val="20"/>
          <w:szCs w:val="20"/>
        </w:rPr>
        <w:t>] proves all of the following: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ind w:left="2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1. That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defendant</w:t>
      </w:r>
      <w:r>
        <w:rPr>
          <w:rFonts w:ascii="Times New Roman" w:hAnsi="Times New Roman"/>
          <w:color w:val="000000"/>
          <w:sz w:val="20"/>
          <w:szCs w:val="20"/>
        </w:rPr>
        <w:t>] knew that [a/an]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e.g., assault and battery</w:t>
      </w:r>
      <w:r>
        <w:rPr>
          <w:rFonts w:ascii="Times New Roman" w:hAnsi="Times New Roman"/>
          <w:color w:val="000000"/>
          <w:sz w:val="20"/>
          <w:szCs w:val="20"/>
        </w:rPr>
        <w:t>] was [being/going to be] committed by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actor</w:t>
      </w:r>
      <w:r>
        <w:rPr>
          <w:rFonts w:ascii="Times New Roman" w:hAnsi="Times New Roman"/>
          <w:color w:val="000000"/>
          <w:sz w:val="20"/>
          <w:szCs w:val="20"/>
        </w:rPr>
        <w:t>] against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plaintiff</w:t>
      </w:r>
      <w:r>
        <w:rPr>
          <w:rFonts w:ascii="Times New Roman" w:hAnsi="Times New Roman"/>
          <w:color w:val="000000"/>
          <w:sz w:val="20"/>
          <w:szCs w:val="20"/>
        </w:rPr>
        <w:t>];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ind w:left="2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2. That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defendant</w:t>
      </w:r>
      <w:r>
        <w:rPr>
          <w:rFonts w:ascii="Times New Roman" w:hAnsi="Times New Roman"/>
          <w:color w:val="000000"/>
          <w:sz w:val="20"/>
          <w:szCs w:val="20"/>
        </w:rPr>
        <w:t>] gave substantial assistance or encouragement to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actor</w:t>
      </w:r>
      <w:r>
        <w:rPr>
          <w:rFonts w:ascii="Times New Roman" w:hAnsi="Times New Roman"/>
          <w:color w:val="000000"/>
          <w:sz w:val="20"/>
          <w:szCs w:val="20"/>
        </w:rPr>
        <w:t>]; and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ind w:left="2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3. That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defendant</w:t>
      </w:r>
      <w:r>
        <w:rPr>
          <w:rFonts w:ascii="Times New Roman" w:hAnsi="Times New Roman"/>
          <w:color w:val="000000"/>
          <w:sz w:val="20"/>
          <w:szCs w:val="20"/>
        </w:rPr>
        <w:t>]’s conduct was a substantial factor in causing harm to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name of plaintiff</w:t>
      </w:r>
      <w:r>
        <w:rPr>
          <w:rFonts w:ascii="Times New Roman" w:hAnsi="Times New Roman"/>
          <w:color w:val="000000"/>
          <w:sz w:val="20"/>
          <w:szCs w:val="20"/>
        </w:rPr>
        <w:t>].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Mere knowledge that [a/an] [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e.g., assault and battery</w:t>
      </w:r>
      <w:r>
        <w:rPr>
          <w:rFonts w:ascii="Times New Roman" w:hAnsi="Times New Roman"/>
          <w:color w:val="000000"/>
          <w:sz w:val="20"/>
          <w:szCs w:val="20"/>
        </w:rPr>
        <w:t>] was [being/going to be] committed and the failure to prevent it do not constitute aiding and abetting.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bookmarkStart w:id="2" w:name="co_anchor_Ia2e28b80234e11dda1d7ea8340b57"/>
      <w:bookmarkEnd w:id="2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90463" w:rsidTr="00B90463">
        <w:tc>
          <w:tcPr>
            <w:tcW w:w="100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0463" w:rsidRDefault="00B90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New April 2008; Revised December 2015</w:t>
            </w:r>
          </w:p>
          <w:p w:rsidR="00B90463" w:rsidRDefault="00B90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90463" w:rsidRDefault="00B90463" w:rsidP="00B90463">
      <w:pPr>
        <w:widowControl w:val="0"/>
        <w:autoSpaceDE w:val="0"/>
        <w:autoSpaceDN w:val="0"/>
        <w:adjustRightInd w:val="0"/>
        <w:spacing w:before="20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Directions for Use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Give this instruction if the plaintiff seeks to hold a defendant responsible for the tort of another on a theory of aiding and abetting, whether or not the active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tortfeasor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is also a defendant.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Some cases seem to hold that in addition to the elements of knowledge and substantial assistance, a complaint must allege the aider and abettor had the specific intent to facilitate the wrongful conduct.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 xml:space="preserve">(See </w:t>
      </w:r>
      <w:hyperlink r:id="rId10" w:history="1"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 xml:space="preserve">Schulz v. </w:t>
        </w:r>
        <w:proofErr w:type="spellStart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>Neovi</w:t>
        </w:r>
        <w:proofErr w:type="spellEnd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 xml:space="preserve"> Data Corp. (2007) 152 Cal.App.4th 86, 95 [60 Cal.Rptr.3d 810]</w:t>
        </w:r>
      </w:hyperlink>
      <w:r>
        <w:rPr>
          <w:rFonts w:ascii="Times New Roman" w:hAnsi="Times New Roman"/>
          <w:color w:val="000000"/>
          <w:sz w:val="20"/>
          <w:szCs w:val="20"/>
        </w:rPr>
        <w:t>.)</w:t>
      </w:r>
      <w:proofErr w:type="gramEnd"/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 w:rsidR="00B90463" w:rsidRDefault="00B90463" w:rsidP="00B904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It appears that one may be liable as an aider and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abetter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of a negligent act. (See </w:t>
      </w:r>
      <w:hyperlink r:id="rId11" w:history="1">
        <w:proofErr w:type="spellStart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>Navarrete</w:t>
        </w:r>
        <w:proofErr w:type="spellEnd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 xml:space="preserve"> v. Meyer (2015) 237 Cal.App.4th 1276, 1290 [188 Cal.Rptr.3d 623]</w:t>
        </w:r>
      </w:hyperlink>
      <w:r>
        <w:rPr>
          <w:rFonts w:ascii="Times New Roman" w:hAnsi="Times New Roman"/>
          <w:color w:val="000000"/>
          <w:sz w:val="20"/>
          <w:szCs w:val="20"/>
        </w:rPr>
        <w:t xml:space="preserve">; </w:t>
      </w:r>
      <w:hyperlink r:id="rId12" w:history="1">
        <w:proofErr w:type="spellStart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>Orser</w:t>
        </w:r>
        <w:proofErr w:type="spellEnd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 xml:space="preserve"> v. George (1967) 252 Cal.App.2d 660, 668 [60 </w:t>
        </w:r>
        <w:proofErr w:type="spellStart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>Cal.Rptr</w:t>
        </w:r>
        <w:proofErr w:type="spellEnd"/>
        <w:r>
          <w:rPr>
            <w:rStyle w:val="Hyperlink"/>
            <w:rFonts w:ascii="Times New Roman" w:hAnsi="Times New Roman"/>
            <w:color w:val="0000FF"/>
            <w:sz w:val="20"/>
            <w:szCs w:val="20"/>
          </w:rPr>
          <w:t>. 708]</w:t>
        </w:r>
      </w:hyperlink>
      <w:r>
        <w:rPr>
          <w:rFonts w:ascii="Times New Roman" w:hAnsi="Times New Roman"/>
          <w:color w:val="000000"/>
          <w:sz w:val="20"/>
          <w:szCs w:val="20"/>
        </w:rPr>
        <w:t>.)</w:t>
      </w:r>
    </w:p>
    <w:p w:rsidR="00DB5388" w:rsidRDefault="00DB5388" w:rsidP="00B90463">
      <w:pPr>
        <w:widowControl w:val="0"/>
        <w:autoSpaceDE w:val="0"/>
        <w:autoSpaceDN w:val="0"/>
        <w:adjustRightInd w:val="0"/>
        <w:spacing w:before="760" w:after="50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bookmarkStart w:id="3" w:name="_GoBack"/>
      <w:bookmarkEnd w:id="3"/>
    </w:p>
    <w:sectPr w:rsidR="00DB5388">
      <w:type w:val="continuous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2C4" w:rsidRDefault="004042C4">
      <w:pPr>
        <w:spacing w:after="0" w:line="240" w:lineRule="auto"/>
      </w:pPr>
      <w:r>
        <w:separator/>
      </w:r>
    </w:p>
  </w:endnote>
  <w:endnote w:type="continuationSeparator" w:id="0">
    <w:p w:rsidR="004042C4" w:rsidRDefault="0040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EPUQU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88" w:rsidRDefault="00DB5388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2C4" w:rsidRDefault="004042C4">
      <w:pPr>
        <w:spacing w:after="0" w:line="240" w:lineRule="auto"/>
      </w:pPr>
      <w:r>
        <w:separator/>
      </w:r>
    </w:p>
  </w:footnote>
  <w:footnote w:type="continuationSeparator" w:id="0">
    <w:p w:rsidR="004042C4" w:rsidRDefault="0040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88" w:rsidRDefault="00DB5388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3F7F6"/>
    <w:multiLevelType w:val="singleLevel"/>
    <w:tmpl w:val="DBDA726C"/>
    <w:lvl w:ilvl="0">
      <w:numFmt w:val="decimal"/>
      <w:lvlText w:val="•"/>
      <w:lvlJc w:val="left"/>
      <w:rPr>
        <w:rFonts w:cs="Times New Roman"/>
      </w:rPr>
    </w:lvl>
  </w:abstractNum>
  <w:abstractNum w:abstractNumId="1">
    <w:nsid w:val="A07D7A2E"/>
    <w:multiLevelType w:val="singleLevel"/>
    <w:tmpl w:val="5A2F67F2"/>
    <w:lvl w:ilvl="0">
      <w:numFmt w:val="decimal"/>
      <w:lvlText w:val="•"/>
      <w:lvlJc w:val="left"/>
      <w:rPr>
        <w:rFonts w:cs="Times New Roman"/>
      </w:rPr>
    </w:lvl>
  </w:abstractNum>
  <w:abstractNum w:abstractNumId="2">
    <w:nsid w:val="A2F267FD"/>
    <w:multiLevelType w:val="singleLevel"/>
    <w:tmpl w:val="2BA34D08"/>
    <w:lvl w:ilvl="0">
      <w:numFmt w:val="decimal"/>
      <w:lvlText w:val="•"/>
      <w:lvlJc w:val="left"/>
      <w:rPr>
        <w:rFonts w:cs="Times New Roman"/>
      </w:rPr>
    </w:lvl>
  </w:abstractNum>
  <w:abstractNum w:abstractNumId="3">
    <w:nsid w:val="2FBB7A35"/>
    <w:multiLevelType w:val="singleLevel"/>
    <w:tmpl w:val="98559C1A"/>
    <w:lvl w:ilvl="0">
      <w:numFmt w:val="decimal"/>
      <w:lvlText w:val=" "/>
      <w:lvlJc w:val="left"/>
      <w:rPr>
        <w:rFonts w:cs="Times New Roman"/>
      </w:rPr>
    </w:lvl>
  </w:abstractNum>
  <w:abstractNum w:abstractNumId="4">
    <w:nsid w:val="5742C2E2"/>
    <w:multiLevelType w:val="singleLevel"/>
    <w:tmpl w:val="3B732EEA"/>
    <w:lvl w:ilvl="0">
      <w:numFmt w:val="decimal"/>
      <w:lvlText w:val="•"/>
      <w:lvlJc w:val="left"/>
      <w:rPr>
        <w:rFonts w:cs="Times New Roman"/>
      </w:rPr>
    </w:lvl>
  </w:abstractNum>
  <w:abstractNum w:abstractNumId="5">
    <w:nsid w:val="7861274C"/>
    <w:multiLevelType w:val="singleLevel"/>
    <w:tmpl w:val="ADFEAC65"/>
    <w:lvl w:ilvl="0">
      <w:numFmt w:val="decimal"/>
      <w:lvlText w:val="•"/>
      <w:lvlJc w:val="left"/>
      <w:rPr>
        <w:rFonts w:cs="Times New Roman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4"/>
    <w:rsid w:val="0017135A"/>
    <w:rsid w:val="004042C4"/>
    <w:rsid w:val="004E7809"/>
    <w:rsid w:val="00510985"/>
    <w:rsid w:val="00565D1E"/>
    <w:rsid w:val="005C1E92"/>
    <w:rsid w:val="006B02AA"/>
    <w:rsid w:val="007C374B"/>
    <w:rsid w:val="007C5DC4"/>
    <w:rsid w:val="007D01C4"/>
    <w:rsid w:val="0084527D"/>
    <w:rsid w:val="00A23EFF"/>
    <w:rsid w:val="00B16728"/>
    <w:rsid w:val="00B90463"/>
    <w:rsid w:val="00D02EF1"/>
    <w:rsid w:val="00DB5388"/>
    <w:rsid w:val="00E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D72E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D7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72E4"/>
    <w:rPr>
      <w:rFonts w:cs="Times New Roman"/>
    </w:rPr>
  </w:style>
  <w:style w:type="paragraph" w:customStyle="1" w:styleId="Default">
    <w:name w:val="Default"/>
    <w:rsid w:val="007D01C4"/>
    <w:pPr>
      <w:widowControl w:val="0"/>
      <w:autoSpaceDE w:val="0"/>
      <w:autoSpaceDN w:val="0"/>
      <w:adjustRightInd w:val="0"/>
      <w:spacing w:after="0" w:line="240" w:lineRule="auto"/>
    </w:pPr>
    <w:rPr>
      <w:rFonts w:ascii="YEPUQU+Arial-BoldMT" w:hAnsi="YEPUQU+Arial-BoldMT" w:cs="YEPUQU+Arial-BoldM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D72E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D7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72E4"/>
    <w:rPr>
      <w:rFonts w:cs="Times New Roman"/>
    </w:rPr>
  </w:style>
  <w:style w:type="paragraph" w:customStyle="1" w:styleId="Default">
    <w:name w:val="Default"/>
    <w:rsid w:val="007D01C4"/>
    <w:pPr>
      <w:widowControl w:val="0"/>
      <w:autoSpaceDE w:val="0"/>
      <w:autoSpaceDN w:val="0"/>
      <w:adjustRightInd w:val="0"/>
      <w:spacing w:after="0" w:line="240" w:lineRule="auto"/>
    </w:pPr>
    <w:rPr>
      <w:rFonts w:ascii="YEPUQU+Arial-BoldMT" w:hAnsi="YEPUQU+Arial-BoldMT" w:cs="YEPUQU+Arial-BoldM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estlaw.com/Link/Document/FullText?findType=Y&amp;serNum=1967111248&amp;pubNum=0000227&amp;originatingDoc=Ibf79cad2318e11dda1b0a5ff586a03c0&amp;refType=RP&amp;originationContext=document&amp;vr=3.0&amp;rs=cblt1.0&amp;transitionType=DocumentItem&amp;contextData=(sc.DocLink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estlaw.com/Link/Document/FullText?findType=Y&amp;serNum=2036506944&amp;pubNum=0007047&amp;originatingDoc=Ibf79cad2318e11dda1b0a5ff586a03c0&amp;refType=RP&amp;originationContext=document&amp;vr=3.0&amp;rs=cblt1.0&amp;transitionType=DocumentItem&amp;contextData=(sc.DocLink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estlaw.com/Link/Document/FullText?findType=Y&amp;serNum=2012490793&amp;pubNum=0007047&amp;originatingDoc=Ibf79cad2318e11dda1b0a5ff586a03c0&amp;refType=RP&amp;originationContext=document&amp;vr=3.0&amp;rs=cblt1.0&amp;transitionType=DocumentItem&amp;contextData=(sc.DocLink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Jason</cp:lastModifiedBy>
  <cp:revision>6</cp:revision>
  <dcterms:created xsi:type="dcterms:W3CDTF">2020-01-13T17:27:00Z</dcterms:created>
  <dcterms:modified xsi:type="dcterms:W3CDTF">2021-02-02T18:04:00Z</dcterms:modified>
</cp:coreProperties>
</file>