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  <Override ContentType="application/vnd.openxmlformats-officedocument.wordprocessingml.document.main+xml" PartName="/part2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2"/>
          <w:szCs w:val="22"/>
          <w:b w:val="1"/>
          <w:bCs w:val="1"/>
        </w:rPr>
        <w:t xml:space="preserve">4300 - Introductory Instructions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[landlord/tenant]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[his/her/nonbinary pronoun/its]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[tenant/subtenant]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[lease/rental agreement/sublease]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[by subleasing to [name of subtenant]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[he/she/nonbinary pronoun/it]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[insert defenses at issue]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[describe property: e.g., “an apartment,” “a house,” “space in a commercial building”]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[city or area]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[address]</w:t>
      </w:r>
    </w:p>
    <w:p>
      <w:pPr/>
      <w:r>
        <w:rPr>
          <w:rFonts w:ascii="Tahoma" w:hAnsi="Tahoma" w:eastAsia="Tahoma" w:cs="Tahoma"/>
          <w:sz w:val="22"/>
          <w:szCs w:val="22"/>
          <w:b w:val="1"/>
          <w:bCs w:val="1"/>
        </w:rPr>
        <w:t xml:space="preserve">4301 - Expiration of Fixed-Term Tenancy - Essential Factual Elements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[and [name of subtenant]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[has/have]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[lease/rental agreement/sublease]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[owns/leases]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[leased/subleased]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[insert end date]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plaintiff]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[lease/rental agreement/sublease]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[name of defendant]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[or subtenant [name of subtenant]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[“just cause” requirement for termination of certain residential tenancies]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[“just cause” defined]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  <w:p>
      <w:r>
        <w:br w:type="page"/>
      </w:r>
    </w:p>
    <w:altChunk r:id="rId101"/>
    <w:p>
      <w:r>
        <w:br w:type="page"/>
      </w:r>
    </w:p>
    <w:altChunk r:id="rId102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2021-04-13T09:30:21+00:00</dcterms:created>
  <dcterms:modified xsi:type="dcterms:W3CDTF">2021-04-13T09:30:21+00:00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