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985" w:rsidRDefault="00510985">
      <w:pPr>
        <w:widowControl w:val="0"/>
        <w:autoSpaceDE w:val="0"/>
        <w:autoSpaceDN w:val="0"/>
        <w:adjustRightInd w:val="0"/>
        <w:spacing w:after="0" w:line="240" w:lineRule="auto"/>
        <w:jc w:val="both"/>
        <w:rPr>
          <w:rFonts w:ascii="Times New Roman" w:hAnsi="Times New Roman"/>
          <w:color w:val="000000"/>
          <w:sz w:val="20"/>
          <w:szCs w:val="20"/>
        </w:rPr>
      </w:pPr>
    </w:p>
    <w:tbl>
      <w:tblPr>
        <w:tblW w:w="10008" w:type="dxa"/>
        <w:tblLayout w:type="fixed"/>
        <w:tblLook w:val="0000" w:firstRow="0" w:lastRow="0" w:firstColumn="0" w:lastColumn="0" w:noHBand="0" w:noVBand="0"/>
      </w:tblPr>
      <w:tblGrid>
        <w:gridCol w:w="2538"/>
        <w:gridCol w:w="630"/>
        <w:gridCol w:w="3060"/>
        <w:gridCol w:w="360"/>
        <w:gridCol w:w="3060"/>
        <w:gridCol w:w="360"/>
      </w:tblGrid>
      <w:tr w:rsidR="003739E1" w:rsidRPr="00510985" w:rsidTr="00510985">
        <w:trPr>
          <w:trHeight w:val="562"/>
        </w:trPr>
        <w:tc>
          <w:tcPr>
            <w:tcW w:w="2538" w:type="dxa"/>
            <w:tcBorders>
              <w:top w:val="single" w:sz="12" w:space="0" w:color="000000"/>
              <w:left w:val="single" w:sz="12" w:space="0" w:color="000000"/>
              <w:bottom w:val="single" w:sz="8" w:space="0" w:color="000000"/>
              <w:right w:val="single" w:sz="6" w:space="0" w:color="000000"/>
            </w:tcBorders>
            <w:vAlign w:val="center"/>
          </w:tcPr>
          <w:p w:rsidR="003739E1" w:rsidRPr="00510985" w:rsidRDefault="003739E1" w:rsidP="00510985">
            <w:pPr>
              <w:autoSpaceDE w:val="0"/>
              <w:autoSpaceDN w:val="0"/>
              <w:adjustRightInd w:val="0"/>
              <w:spacing w:after="0" w:line="240" w:lineRule="auto"/>
              <w:rPr>
                <w:rFonts w:ascii="Times New Roman" w:eastAsia="SimSun" w:hAnsi="Times New Roman"/>
                <w:sz w:val="24"/>
                <w:szCs w:val="24"/>
              </w:rPr>
            </w:pPr>
            <w:r w:rsidRPr="00510985">
              <w:rPr>
                <w:rFonts w:ascii="Times New Roman" w:eastAsia="SimSun" w:hAnsi="Times New Roman"/>
                <w:sz w:val="24"/>
                <w:szCs w:val="24"/>
              </w:rPr>
              <w:t xml:space="preserve">Requested by Plaintiffs </w:t>
            </w:r>
          </w:p>
        </w:tc>
        <w:tc>
          <w:tcPr>
            <w:tcW w:w="630" w:type="dxa"/>
            <w:tcBorders>
              <w:top w:val="single" w:sz="12"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b/>
                <w:bCs/>
              </w:rPr>
              <w:t xml:space="preserve"> </w:t>
            </w:r>
          </w:p>
        </w:tc>
        <w:tc>
          <w:tcPr>
            <w:tcW w:w="3060" w:type="dxa"/>
            <w:tcBorders>
              <w:top w:val="single" w:sz="12"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Requested by Defendant </w:t>
            </w:r>
          </w:p>
        </w:tc>
        <w:tc>
          <w:tcPr>
            <w:tcW w:w="360" w:type="dxa"/>
            <w:tcBorders>
              <w:top w:val="single" w:sz="12"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color w:val="auto"/>
              </w:rPr>
            </w:pPr>
          </w:p>
        </w:tc>
        <w:tc>
          <w:tcPr>
            <w:tcW w:w="3060" w:type="dxa"/>
            <w:tcBorders>
              <w:top w:val="single" w:sz="12"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Requested by Cross-Complainants </w:t>
            </w:r>
          </w:p>
        </w:tc>
        <w:tc>
          <w:tcPr>
            <w:tcW w:w="360" w:type="dxa"/>
            <w:tcBorders>
              <w:top w:val="single" w:sz="12" w:space="0" w:color="000000"/>
              <w:left w:val="single" w:sz="6" w:space="0" w:color="000000"/>
              <w:bottom w:val="single" w:sz="8" w:space="0" w:color="000000"/>
              <w:right w:val="single" w:sz="12" w:space="0" w:color="000000"/>
            </w:tcBorders>
          </w:tcPr>
          <w:p w:rsidR="003739E1" w:rsidRPr="00565D1E" w:rsidRDefault="003739E1" w:rsidP="00510985">
            <w:pPr>
              <w:pStyle w:val="Default"/>
              <w:rPr>
                <w:rFonts w:ascii="Times New Roman" w:hAnsi="Times New Roman" w:cs="Times New Roman"/>
                <w:color w:val="auto"/>
              </w:rPr>
            </w:pPr>
          </w:p>
        </w:tc>
      </w:tr>
      <w:tr w:rsidR="003739E1" w:rsidRPr="00510985" w:rsidTr="00510985">
        <w:trPr>
          <w:trHeight w:val="502"/>
        </w:trPr>
        <w:tc>
          <w:tcPr>
            <w:tcW w:w="2538" w:type="dxa"/>
            <w:tcBorders>
              <w:top w:val="single" w:sz="8" w:space="0" w:color="000000"/>
              <w:left w:val="single" w:sz="12"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Given as Requested </w:t>
            </w:r>
          </w:p>
        </w:tc>
        <w:tc>
          <w:tcPr>
            <w:tcW w:w="630" w:type="dxa"/>
            <w:tcBorders>
              <w:top w:val="single" w:sz="8"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color w:val="auto"/>
              </w:rPr>
            </w:pPr>
          </w:p>
        </w:tc>
        <w:tc>
          <w:tcPr>
            <w:tcW w:w="3060" w:type="dxa"/>
            <w:tcBorders>
              <w:top w:val="single" w:sz="8"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Given as Modified </w:t>
            </w:r>
          </w:p>
        </w:tc>
        <w:tc>
          <w:tcPr>
            <w:tcW w:w="360" w:type="dxa"/>
            <w:tcBorders>
              <w:top w:val="single" w:sz="8"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color w:val="auto"/>
              </w:rPr>
            </w:pPr>
          </w:p>
        </w:tc>
        <w:tc>
          <w:tcPr>
            <w:tcW w:w="3060" w:type="dxa"/>
            <w:tcBorders>
              <w:top w:val="single" w:sz="8"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Given on Court’s Motion </w:t>
            </w:r>
          </w:p>
        </w:tc>
        <w:tc>
          <w:tcPr>
            <w:tcW w:w="360" w:type="dxa"/>
            <w:tcBorders>
              <w:top w:val="single" w:sz="8" w:space="0" w:color="000000"/>
              <w:left w:val="single" w:sz="6" w:space="0" w:color="000000"/>
              <w:bottom w:val="single" w:sz="8" w:space="0" w:color="000000"/>
              <w:right w:val="single" w:sz="12" w:space="0" w:color="000000"/>
            </w:tcBorders>
          </w:tcPr>
          <w:p w:rsidR="003739E1" w:rsidRPr="00565D1E" w:rsidRDefault="003739E1" w:rsidP="00510985">
            <w:pPr>
              <w:pStyle w:val="Default"/>
              <w:rPr>
                <w:rFonts w:ascii="Times New Roman" w:hAnsi="Times New Roman" w:cs="Times New Roman"/>
                <w:color w:val="auto"/>
              </w:rPr>
            </w:pPr>
          </w:p>
        </w:tc>
      </w:tr>
      <w:tr w:rsidR="003739E1" w:rsidRPr="00510985" w:rsidTr="00510985">
        <w:trPr>
          <w:trHeight w:val="700"/>
        </w:trPr>
        <w:tc>
          <w:tcPr>
            <w:tcW w:w="2538" w:type="dxa"/>
            <w:vMerge w:val="restart"/>
            <w:tcBorders>
              <w:top w:val="single" w:sz="8" w:space="0" w:color="000000"/>
              <w:left w:val="single" w:sz="12" w:space="0" w:color="000000"/>
              <w:right w:val="single" w:sz="6" w:space="0" w:color="000000"/>
            </w:tcBorders>
            <w:vAlign w:val="bottom"/>
          </w:tcPr>
          <w:p w:rsidR="003739E1" w:rsidRPr="00565D1E" w:rsidRDefault="003739E1" w:rsidP="00510985">
            <w:pPr>
              <w:pStyle w:val="Default"/>
              <w:rPr>
                <w:rFonts w:ascii="Times New Roman" w:hAnsi="Times New Roman" w:cs="Times New Roman"/>
              </w:rPr>
            </w:pPr>
          </w:p>
          <w:p w:rsidR="003739E1" w:rsidRPr="00565D1E" w:rsidRDefault="003739E1" w:rsidP="00510985">
            <w:pPr>
              <w:pStyle w:val="Default"/>
              <w:jc w:val="right"/>
              <w:rPr>
                <w:rFonts w:ascii="Times New Roman" w:hAnsi="Times New Roman" w:cs="Times New Roman"/>
              </w:rPr>
            </w:pPr>
            <w:r w:rsidRPr="00565D1E">
              <w:rPr>
                <w:rFonts w:ascii="Times New Roman" w:hAnsi="Times New Roman" w:cs="Times New Roman"/>
              </w:rPr>
              <w:t xml:space="preserve">Refused </w:t>
            </w:r>
          </w:p>
          <w:p w:rsidR="003739E1" w:rsidRPr="00565D1E" w:rsidRDefault="003739E1" w:rsidP="00510985">
            <w:pPr>
              <w:pStyle w:val="Default"/>
              <w:rPr>
                <w:rFonts w:ascii="Times New Roman" w:hAnsi="Times New Roman" w:cs="Times New Roman"/>
              </w:rPr>
            </w:pPr>
          </w:p>
          <w:p w:rsidR="003739E1" w:rsidRPr="00565D1E" w:rsidRDefault="003739E1" w:rsidP="00510985">
            <w:pPr>
              <w:pStyle w:val="Default"/>
              <w:jc w:val="right"/>
              <w:rPr>
                <w:rFonts w:ascii="Times New Roman" w:hAnsi="Times New Roman" w:cs="Times New Roman"/>
              </w:rPr>
            </w:pPr>
            <w:r w:rsidRPr="00565D1E">
              <w:rPr>
                <w:rFonts w:ascii="Times New Roman" w:hAnsi="Times New Roman" w:cs="Times New Roman"/>
              </w:rPr>
              <w:t xml:space="preserve">Withdrawn </w:t>
            </w:r>
          </w:p>
          <w:p w:rsidR="003739E1" w:rsidRPr="00565D1E" w:rsidRDefault="003739E1" w:rsidP="00510985">
            <w:pPr>
              <w:pStyle w:val="Default"/>
              <w:rPr>
                <w:rFonts w:ascii="Times New Roman" w:hAnsi="Times New Roman" w:cs="Times New Roman"/>
              </w:rPr>
            </w:pPr>
          </w:p>
        </w:tc>
        <w:tc>
          <w:tcPr>
            <w:tcW w:w="630" w:type="dxa"/>
            <w:tcBorders>
              <w:top w:val="single" w:sz="8" w:space="0" w:color="000000"/>
              <w:left w:val="single" w:sz="6" w:space="0" w:color="000000"/>
              <w:bottom w:val="single" w:sz="8" w:space="0" w:color="000000"/>
              <w:right w:val="single" w:sz="6" w:space="0" w:color="000000"/>
            </w:tcBorders>
          </w:tcPr>
          <w:p w:rsidR="003739E1" w:rsidRDefault="003739E1" w:rsidP="00510985">
            <w:pPr>
              <w:pStyle w:val="Default"/>
              <w:jc w:val="center"/>
              <w:rPr>
                <w:rFonts w:ascii="Times New Roman" w:hAnsi="Times New Roman" w:cs="Times New Roman"/>
                <w:color w:val="auto"/>
              </w:rPr>
            </w:pPr>
          </w:p>
          <w:p w:rsidR="003739E1" w:rsidRPr="00565D1E" w:rsidRDefault="003739E1" w:rsidP="00510985">
            <w:pPr>
              <w:pStyle w:val="Default"/>
              <w:jc w:val="center"/>
              <w:rPr>
                <w:rFonts w:ascii="Times New Roman" w:hAnsi="Times New Roman" w:cs="Times New Roman"/>
                <w:color w:val="auto"/>
              </w:rPr>
            </w:pPr>
          </w:p>
        </w:tc>
        <w:tc>
          <w:tcPr>
            <w:tcW w:w="6840" w:type="dxa"/>
            <w:gridSpan w:val="4"/>
            <w:vMerge w:val="restart"/>
            <w:tcBorders>
              <w:top w:val="single" w:sz="8" w:space="0" w:color="000000"/>
              <w:left w:val="single" w:sz="6" w:space="0" w:color="000000"/>
              <w:right w:val="single" w:sz="12" w:space="0" w:color="000000"/>
            </w:tcBorders>
            <w:vAlign w:val="center"/>
          </w:tcPr>
          <w:p w:rsidR="003739E1" w:rsidRPr="00565D1E" w:rsidRDefault="003739E1" w:rsidP="00510985">
            <w:pPr>
              <w:pStyle w:val="Default"/>
              <w:jc w:val="right"/>
              <w:rPr>
                <w:rFonts w:ascii="Times New Roman" w:hAnsi="Times New Roman" w:cs="Times New Roman"/>
              </w:rPr>
            </w:pPr>
            <w:r w:rsidRPr="00565D1E">
              <w:rPr>
                <w:rFonts w:ascii="Times New Roman" w:hAnsi="Times New Roman" w:cs="Times New Roman"/>
              </w:rPr>
              <w:t xml:space="preserve">________________________ </w:t>
            </w:r>
          </w:p>
          <w:p w:rsidR="003739E1" w:rsidRPr="00565D1E" w:rsidRDefault="003739E1" w:rsidP="00510985">
            <w:pPr>
              <w:pStyle w:val="Default"/>
              <w:jc w:val="right"/>
              <w:rPr>
                <w:rFonts w:ascii="Times New Roman" w:hAnsi="Times New Roman" w:cs="Times New Roman"/>
              </w:rPr>
            </w:pPr>
            <w:r>
              <w:rPr>
                <w:rFonts w:ascii="Times New Roman" w:hAnsi="Times New Roman" w:cs="Times New Roman"/>
              </w:rPr>
              <w:t>Judge</w:t>
            </w:r>
            <w:r w:rsidRPr="00565D1E">
              <w:rPr>
                <w:rFonts w:ascii="Times New Roman" w:hAnsi="Times New Roman" w:cs="Times New Roman"/>
              </w:rPr>
              <w:t xml:space="preserve"> </w:t>
            </w:r>
          </w:p>
        </w:tc>
      </w:tr>
      <w:tr w:rsidR="003739E1" w:rsidRPr="00510985" w:rsidTr="00510985">
        <w:trPr>
          <w:trHeight w:val="394"/>
        </w:trPr>
        <w:tc>
          <w:tcPr>
            <w:tcW w:w="2538" w:type="dxa"/>
            <w:vMerge/>
            <w:tcBorders>
              <w:left w:val="single" w:sz="12" w:space="0" w:color="000000"/>
              <w:bottom w:val="single" w:sz="12" w:space="0" w:color="000000"/>
              <w:right w:val="single" w:sz="6" w:space="0" w:color="000000"/>
            </w:tcBorders>
            <w:vAlign w:val="bottom"/>
          </w:tcPr>
          <w:p w:rsidR="003739E1" w:rsidRPr="00565D1E" w:rsidRDefault="003739E1" w:rsidP="00510985">
            <w:pPr>
              <w:pStyle w:val="Default"/>
              <w:rPr>
                <w:rFonts w:ascii="Times New Roman" w:hAnsi="Times New Roman" w:cs="Times New Roman"/>
              </w:rPr>
            </w:pPr>
          </w:p>
        </w:tc>
        <w:tc>
          <w:tcPr>
            <w:tcW w:w="630" w:type="dxa"/>
            <w:tcBorders>
              <w:top w:val="single" w:sz="8" w:space="0" w:color="000000"/>
              <w:left w:val="single" w:sz="6" w:space="0" w:color="000000"/>
              <w:bottom w:val="single" w:sz="12" w:space="0" w:color="000000"/>
              <w:right w:val="single" w:sz="6" w:space="0" w:color="000000"/>
            </w:tcBorders>
          </w:tcPr>
          <w:p w:rsidR="003739E1" w:rsidRDefault="003739E1" w:rsidP="00510985">
            <w:pPr>
              <w:pStyle w:val="Default"/>
              <w:jc w:val="center"/>
              <w:rPr>
                <w:rFonts w:ascii="Times New Roman" w:hAnsi="Times New Roman" w:cs="Times New Roman"/>
                <w:color w:val="auto"/>
              </w:rPr>
            </w:pPr>
          </w:p>
        </w:tc>
        <w:tc>
          <w:tcPr>
            <w:tcW w:w="6840" w:type="dxa"/>
            <w:gridSpan w:val="4"/>
            <w:vMerge/>
            <w:tcBorders>
              <w:left w:val="single" w:sz="6" w:space="0" w:color="000000"/>
              <w:bottom w:val="single" w:sz="12" w:space="0" w:color="000000"/>
              <w:right w:val="single" w:sz="12" w:space="0" w:color="000000"/>
            </w:tcBorders>
            <w:vAlign w:val="bottom"/>
          </w:tcPr>
          <w:p w:rsidR="003739E1" w:rsidRPr="00565D1E" w:rsidRDefault="003739E1" w:rsidP="00510985">
            <w:pPr>
              <w:pStyle w:val="Default"/>
              <w:jc w:val="right"/>
              <w:rPr>
                <w:rFonts w:ascii="Times New Roman" w:hAnsi="Times New Roman" w:cs="Times New Roman"/>
              </w:rPr>
            </w:pPr>
          </w:p>
        </w:tc>
      </w:tr>
    </w:tbl>
    <w:p w:rsidR="00B0569A" w:rsidRDefault="00B0569A" w:rsidP="00B0569A">
      <w:pPr>
        <w:widowControl w:val="0"/>
        <w:autoSpaceDE w:val="0"/>
        <w:autoSpaceDN w:val="0"/>
        <w:adjustRightInd w:val="0"/>
        <w:spacing w:before="760" w:after="500" w:line="240" w:lineRule="auto"/>
        <w:jc w:val="center"/>
        <w:rPr>
          <w:rFonts w:ascii="Georgia" w:hAnsi="Georgia" w:cs="Georgia"/>
          <w:color w:val="252525"/>
          <w:sz w:val="24"/>
          <w:szCs w:val="24"/>
        </w:rPr>
      </w:pPr>
      <w:r>
        <w:rPr>
          <w:rFonts w:ascii="Georgia" w:hAnsi="Georgia" w:cs="Georgia"/>
          <w:color w:val="252525"/>
          <w:sz w:val="24"/>
          <w:szCs w:val="24"/>
        </w:rPr>
        <w:t>100 Prelimin</w:t>
      </w:r>
      <w:bookmarkStart w:id="0" w:name="_GoBack"/>
      <w:bookmarkEnd w:id="0"/>
      <w:r>
        <w:rPr>
          <w:rFonts w:ascii="Georgia" w:hAnsi="Georgia" w:cs="Georgia"/>
          <w:color w:val="252525"/>
          <w:sz w:val="24"/>
          <w:szCs w:val="24"/>
        </w:rPr>
        <w:t>ary Admonitions</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You have now been sworn as jurors in this case. I want to impress on you the seriousness and importance of serving on a jury. Trial by jury is a fundamental right in California. The parties have a right to a jury that is selected fairly, that comes to the case without bias, and that will attempt to reach a verdict based on the evidence presented. Before we begin, I need to explain how you must conduct yourselves during the trial.</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Do not allow anything that happens outside this courtroom to affect your decision. During the trial do not talk about this case or the people involved in it with anyone, including family and persons living in your household, friends and coworkers, spiritual leaders, advisors, or therapists. You may say you are on a jury and how long the trial may take, but that is all. You must not even talk about the case with the other jurors until after I tell you that it is time for you to decide the case.</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This prohibition is not limited to face-to-face conversations. It also extends to all forms of electronic communications. Do not use any electronic device or media, such as a cell phone or smart phone, PDA, computer, the Internet, any Internet service, any text or instant-messaging service, any Internet chat room, blog, or website, including social networking websites or online diaries, to send or receive any information to or from anyone about this case or your experience as a juror until after you have been discharged from your jury duty.</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During the trial you must not listen to anyone else talk about the case or the people involved in the case. You must avoid any contact with the parties, the lawyers, the witnesses, and anyone else who may have a connection to the case. If anyone tries to talk to you about this case, tell that person that you cannot discuss it because you are a juror. If that person keeps talking to you, simply walk away and report the incident to the court [attendant/bailiff] as soon as you can.</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After the trial is over and I have released you from jury duty, you may discuss the case with anyone, but you are not required to do so.</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During the trial, do not read, listen to, or watch any news reports about this case. [I have no information that there will be news reports concerning this case.] This prohibition extends to the use of the Internet in any way, including reading any blog about the case or about anyone involved with it. If you receive any information about this case from any source outside of the courtroom, promptly report it to the court [attendant/bailiff]. It is important that all jurors see and hear the same evidence at the same time.</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Do not do any research on your own or as a group. Do not use dictionaries, the Internet, or other reference materials. Do not investigate the case or conduct any experiments. Do not contact anyone to assist you, such as a family accountant, doctor, or lawyer. Do not visit or view the scene of any event involved in this case or use any Internet maps or mapping programs or any other program or device to search for or to view any place discussed in the testimony. If you happen to pass by the scene, do not stop or investigate. If you do need to view the scene during the trial, you will be taken there as a group under proper supervision.</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[If you violate any of these prohibitions on communications and research, including prohibitions on electronic communications and research, you may be held in contempt of court or face other sanctions. That means that you may have to serve time in jail, pay a fine, or face other punishment for that violation.]</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lastRenderedPageBreak/>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It is important that you keep an open mind throughout this trial. Evidence can only be presented a piece at a time. Do not form or express an opinion about this case while the trial is going on. You must not decide on a verdict until after you have heard all the evidence and have discussed it thoroughly with your fellow jurors in your deliberations.</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Do not concern yourselves with the reasons for the rulings I will make during the course of the trial. Do not guess what I may think your verdict should be from anything I might say or do.</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When you begin your deliberations, you may discuss the case only in the jury room and only when all the jurors are present.</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You must decide what the facts are in this case. Do not let bias, sympathy, prejudice, or public opinion influence your verdict.</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At the end of the trial, I will explain the law that you must follow to reach your verdict. You must follow the law as I explain it to you, even if you do not agree with the law.</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bookmarkStart w:id="1" w:name="co_anchor_If1fd7b302cef11dda976a944ca14d"/>
      <w:bookmarkEnd w:id="1"/>
    </w:p>
    <w:tbl>
      <w:tblPr>
        <w:tblW w:w="0" w:type="auto"/>
        <w:tblInd w:w="30" w:type="dxa"/>
        <w:tblLayout w:type="fixed"/>
        <w:tblCellMar>
          <w:left w:w="0" w:type="dxa"/>
          <w:right w:w="0" w:type="dxa"/>
        </w:tblCellMar>
        <w:tblLook w:val="04A0" w:firstRow="1" w:lastRow="0" w:firstColumn="1" w:lastColumn="0" w:noHBand="0" w:noVBand="1"/>
      </w:tblPr>
      <w:tblGrid>
        <w:gridCol w:w="10080"/>
      </w:tblGrid>
      <w:tr w:rsidR="00B0569A" w:rsidTr="00B0569A">
        <w:tc>
          <w:tcPr>
            <w:tcW w:w="10080" w:type="dxa"/>
            <w:tcMar>
              <w:top w:w="0" w:type="dxa"/>
              <w:left w:w="30" w:type="dxa"/>
              <w:bottom w:w="0" w:type="dxa"/>
              <w:right w:w="30" w:type="dxa"/>
            </w:tcMar>
          </w:tcPr>
          <w:p w:rsidR="00B0569A" w:rsidRDefault="00B0569A">
            <w:pPr>
              <w:widowControl w:val="0"/>
              <w:autoSpaceDE w:val="0"/>
              <w:autoSpaceDN w:val="0"/>
              <w:adjustRightInd w:val="0"/>
              <w:spacing w:after="0" w:line="240" w:lineRule="auto"/>
              <w:ind w:left="30" w:right="30"/>
              <w:rPr>
                <w:rFonts w:ascii="Times New Roman" w:hAnsi="Times New Roman"/>
                <w:i/>
                <w:iCs/>
                <w:color w:val="000000"/>
                <w:sz w:val="20"/>
                <w:szCs w:val="20"/>
              </w:rPr>
            </w:pPr>
            <w:r>
              <w:rPr>
                <w:rFonts w:ascii="Times New Roman" w:hAnsi="Times New Roman"/>
                <w:i/>
                <w:iCs/>
                <w:color w:val="000000"/>
                <w:sz w:val="20"/>
                <w:szCs w:val="20"/>
              </w:rPr>
              <w:t>New September 2003; Revised April 2004, October 2004, February 2005, June 2005, December 2007, December 2009, December 2011, December 2012, May 2020</w:t>
            </w:r>
          </w:p>
          <w:p w:rsidR="00B0569A" w:rsidRDefault="00B0569A">
            <w:pPr>
              <w:widowControl w:val="0"/>
              <w:autoSpaceDE w:val="0"/>
              <w:autoSpaceDN w:val="0"/>
              <w:adjustRightInd w:val="0"/>
              <w:spacing w:after="0" w:line="240" w:lineRule="auto"/>
              <w:ind w:left="30" w:right="30"/>
              <w:rPr>
                <w:rFonts w:ascii="Times New Roman" w:hAnsi="Times New Roman"/>
                <w:i/>
                <w:iCs/>
                <w:color w:val="000000"/>
                <w:sz w:val="20"/>
                <w:szCs w:val="20"/>
              </w:rPr>
            </w:pPr>
          </w:p>
        </w:tc>
      </w:tr>
    </w:tbl>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p>
    <w:p w:rsidR="00B0569A" w:rsidRDefault="00B0569A" w:rsidP="00B0569A">
      <w:pPr>
        <w:widowControl w:val="0"/>
        <w:autoSpaceDE w:val="0"/>
        <w:autoSpaceDN w:val="0"/>
        <w:adjustRightInd w:val="0"/>
        <w:spacing w:before="200" w:line="240" w:lineRule="auto"/>
        <w:rPr>
          <w:rFonts w:ascii="Times New Roman" w:hAnsi="Times New Roman"/>
          <w:b/>
          <w:bCs/>
          <w:color w:val="000000"/>
          <w:sz w:val="20"/>
          <w:szCs w:val="20"/>
        </w:rPr>
      </w:pPr>
      <w:r>
        <w:rPr>
          <w:rFonts w:ascii="Times New Roman" w:hAnsi="Times New Roman"/>
          <w:b/>
          <w:bCs/>
          <w:color w:val="000000"/>
          <w:sz w:val="20"/>
          <w:szCs w:val="20"/>
        </w:rPr>
        <w:t>Directions for Use</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This instruction should be given at the outset of every </w:t>
      </w:r>
      <w:proofErr w:type="gramStart"/>
      <w:r>
        <w:rPr>
          <w:rFonts w:ascii="Times New Roman" w:hAnsi="Times New Roman"/>
          <w:color w:val="000000"/>
          <w:sz w:val="20"/>
          <w:szCs w:val="20"/>
        </w:rPr>
        <w:t>case,</w:t>
      </w:r>
      <w:proofErr w:type="gramEnd"/>
      <w:r>
        <w:rPr>
          <w:rFonts w:ascii="Times New Roman" w:hAnsi="Times New Roman"/>
          <w:color w:val="000000"/>
          <w:sz w:val="20"/>
          <w:szCs w:val="20"/>
        </w:rPr>
        <w:t xml:space="preserve"> even as early as when the jury panel enters the courtroom (without the first sentence).</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510985"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If the jury is allowed to separate, </w:t>
      </w:r>
      <w:hyperlink r:id="rId8" w:history="1">
        <w:r>
          <w:rPr>
            <w:rStyle w:val="Hyperlink"/>
            <w:rFonts w:ascii="Times New Roman" w:hAnsi="Times New Roman"/>
            <w:color w:val="0000FF"/>
            <w:sz w:val="20"/>
            <w:szCs w:val="20"/>
          </w:rPr>
          <w:t>Code of Civil Procedure section 611</w:t>
        </w:r>
      </w:hyperlink>
      <w:r>
        <w:rPr>
          <w:rFonts w:ascii="Times New Roman" w:hAnsi="Times New Roman"/>
          <w:color w:val="000000"/>
          <w:sz w:val="20"/>
          <w:szCs w:val="20"/>
        </w:rPr>
        <w:t xml:space="preserve"> requires the judge to admonish the jury that “it is their duty not to converse with, or suffer themselves to be addressed by any other person, on any subject of the trial, and that it is their duty not to form or express an opinion thereon until the case is finally submitted to them.”</w:t>
      </w:r>
      <w:r w:rsidR="00510985">
        <w:rPr>
          <w:rFonts w:ascii="Times New Roman" w:hAnsi="Times New Roman"/>
          <w:color w:val="000000"/>
          <w:sz w:val="20"/>
          <w:szCs w:val="20"/>
        </w:rPr>
        <w:t> </w:t>
      </w:r>
    </w:p>
    <w:sectPr w:rsidR="00510985">
      <w:headerReference w:type="default" r:id="rId9"/>
      <w:footerReference w:type="default" r:id="rId10"/>
      <w:type w:val="continuous"/>
      <w:pgSz w:w="12240" w:h="15840"/>
      <w:pgMar w:top="1080" w:right="1080" w:bottom="1080" w:left="1080" w:header="720" w:footer="720" w:gutter="0"/>
      <w:cols w:space="720"/>
      <w:noEndnote/>
    </w:sectPr>
    <w:p>
      <w:r>
        <w:br w:type="page"/>
      </w:r>
    </w:p>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B8F" w:rsidRDefault="00FC7B8F">
      <w:pPr>
        <w:spacing w:after="0" w:line="240" w:lineRule="auto"/>
      </w:pPr>
      <w:r>
        <w:separator/>
      </w:r>
    </w:p>
  </w:endnote>
  <w:endnote w:type="continuationSeparator" w:id="0">
    <w:p w:rsidR="00FC7B8F" w:rsidRDefault="00FC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EPUQU+Arial-BoldM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985" w:rsidRDefault="00510985">
    <w:pPr>
      <w:widowControl w:val="0"/>
      <w:autoSpaceDE w:val="0"/>
      <w:autoSpaceDN w:val="0"/>
      <w:adjustRightInd w:val="0"/>
      <w:spacing w:after="0" w:line="240" w:lineRule="auto"/>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B8F" w:rsidRDefault="00FC7B8F">
      <w:pPr>
        <w:spacing w:after="0" w:line="240" w:lineRule="auto"/>
      </w:pPr>
      <w:r>
        <w:separator/>
      </w:r>
    </w:p>
  </w:footnote>
  <w:footnote w:type="continuationSeparator" w:id="0">
    <w:p w:rsidR="00FC7B8F" w:rsidRDefault="00FC7B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985" w:rsidRDefault="00510985">
    <w:pPr>
      <w:widowControl w:val="0"/>
      <w:autoSpaceDE w:val="0"/>
      <w:autoSpaceDN w:val="0"/>
      <w:adjustRightInd w:val="0"/>
      <w:spacing w:after="0" w:line="240" w:lineRule="auto"/>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5C9006"/>
    <w:multiLevelType w:val="singleLevel"/>
    <w:tmpl w:val="01BDC304"/>
    <w:lvl w:ilvl="0">
      <w:numFmt w:val="decimal"/>
      <w:lvlText w:val="•"/>
      <w:lvlJc w:val="left"/>
    </w:lvl>
  </w:abstractNum>
  <w:abstractNum w:abstractNumId="1">
    <w:nsid w:val="BA435E4F"/>
    <w:multiLevelType w:val="singleLevel"/>
    <w:tmpl w:val="D195AA39"/>
    <w:lvl w:ilvl="0">
      <w:numFmt w:val="decimal"/>
      <w:lvlText w:val="•"/>
      <w:lvlJc w:val="left"/>
    </w:lvl>
  </w:abstractNum>
  <w:abstractNum w:abstractNumId="2">
    <w:nsid w:val="DDA0DC90"/>
    <w:multiLevelType w:val="singleLevel"/>
    <w:tmpl w:val="9159E5D3"/>
    <w:lvl w:ilvl="0">
      <w:numFmt w:val="decimal"/>
      <w:lvlText w:val="•"/>
      <w:lvlJc w:val="left"/>
    </w:lvl>
  </w:abstractNum>
  <w:abstractNum w:abstractNumId="3">
    <w:nsid w:val="0113D3EA"/>
    <w:multiLevelType w:val="singleLevel"/>
    <w:tmpl w:val="EC20A6F2"/>
    <w:lvl w:ilvl="0">
      <w:numFmt w:val="decimal"/>
      <w:lvlText w:val="•"/>
      <w:lvlJc w:val="left"/>
    </w:lvl>
  </w:abstractNum>
  <w:abstractNum w:abstractNumId="4">
    <w:nsid w:val="16992B1A"/>
    <w:multiLevelType w:val="singleLevel"/>
    <w:tmpl w:val="0C84D8C3"/>
    <w:lvl w:ilvl="0">
      <w:numFmt w:val="decimal"/>
      <w:lvlText w:val="•"/>
      <w:lvlJc w:val="left"/>
    </w:lvl>
  </w:abstractNum>
  <w:abstractNum w:abstractNumId="5">
    <w:nsid w:val="50383A11"/>
    <w:multiLevelType w:val="singleLevel"/>
    <w:tmpl w:val="6254F59D"/>
    <w:lvl w:ilvl="0">
      <w:numFmt w:val="decimal"/>
      <w:lvlText w:val=" "/>
      <w:lvlJc w:val="left"/>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0"/>
  </w:num>
  <w:num w:numId="15">
    <w:abstractNumId w:val="3"/>
  </w:num>
  <w:num w:numId="16">
    <w:abstractNumId w:val="1"/>
  </w:num>
  <w:num w:numId="17">
    <w:abstractNumId w:val="4"/>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E1"/>
    <w:rsid w:val="001F279B"/>
    <w:rsid w:val="003739E1"/>
    <w:rsid w:val="00494746"/>
    <w:rsid w:val="00510985"/>
    <w:rsid w:val="006260C7"/>
    <w:rsid w:val="00B0569A"/>
    <w:rsid w:val="00F23476"/>
    <w:rsid w:val="00F55479"/>
    <w:rsid w:val="00FC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E1"/>
    <w:pPr>
      <w:tabs>
        <w:tab w:val="center" w:pos="4680"/>
        <w:tab w:val="right" w:pos="9360"/>
      </w:tabs>
    </w:pPr>
  </w:style>
  <w:style w:type="character" w:customStyle="1" w:styleId="HeaderChar">
    <w:name w:val="Header Char"/>
    <w:basedOn w:val="DefaultParagraphFont"/>
    <w:link w:val="Header"/>
    <w:uiPriority w:val="99"/>
    <w:rsid w:val="003739E1"/>
  </w:style>
  <w:style w:type="paragraph" w:styleId="Footer">
    <w:name w:val="footer"/>
    <w:basedOn w:val="Normal"/>
    <w:link w:val="FooterChar"/>
    <w:uiPriority w:val="99"/>
    <w:unhideWhenUsed/>
    <w:rsid w:val="003739E1"/>
    <w:pPr>
      <w:tabs>
        <w:tab w:val="center" w:pos="4680"/>
        <w:tab w:val="right" w:pos="9360"/>
      </w:tabs>
    </w:pPr>
  </w:style>
  <w:style w:type="character" w:customStyle="1" w:styleId="FooterChar">
    <w:name w:val="Footer Char"/>
    <w:basedOn w:val="DefaultParagraphFont"/>
    <w:link w:val="Footer"/>
    <w:uiPriority w:val="99"/>
    <w:rsid w:val="003739E1"/>
  </w:style>
  <w:style w:type="paragraph" w:customStyle="1" w:styleId="Default">
    <w:name w:val="Default"/>
    <w:rsid w:val="003739E1"/>
    <w:pPr>
      <w:widowControl w:val="0"/>
      <w:autoSpaceDE w:val="0"/>
      <w:autoSpaceDN w:val="0"/>
      <w:adjustRightInd w:val="0"/>
    </w:pPr>
    <w:rPr>
      <w:rFonts w:ascii="YEPUQU+Arial-BoldMT" w:hAnsi="YEPUQU+Arial-BoldMT" w:cs="YEPUQU+Arial-BoldMT"/>
      <w:color w:val="000000"/>
      <w:sz w:val="24"/>
      <w:szCs w:val="24"/>
    </w:rPr>
  </w:style>
  <w:style w:type="character" w:styleId="Hyperlink">
    <w:name w:val="Hyperlink"/>
    <w:basedOn w:val="DefaultParagraphFont"/>
    <w:uiPriority w:val="99"/>
    <w:semiHidden/>
    <w:unhideWhenUsed/>
    <w:rsid w:val="00B056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E1"/>
    <w:pPr>
      <w:tabs>
        <w:tab w:val="center" w:pos="4680"/>
        <w:tab w:val="right" w:pos="9360"/>
      </w:tabs>
    </w:pPr>
  </w:style>
  <w:style w:type="character" w:customStyle="1" w:styleId="HeaderChar">
    <w:name w:val="Header Char"/>
    <w:basedOn w:val="DefaultParagraphFont"/>
    <w:link w:val="Header"/>
    <w:uiPriority w:val="99"/>
    <w:rsid w:val="003739E1"/>
  </w:style>
  <w:style w:type="paragraph" w:styleId="Footer">
    <w:name w:val="footer"/>
    <w:basedOn w:val="Normal"/>
    <w:link w:val="FooterChar"/>
    <w:uiPriority w:val="99"/>
    <w:unhideWhenUsed/>
    <w:rsid w:val="003739E1"/>
    <w:pPr>
      <w:tabs>
        <w:tab w:val="center" w:pos="4680"/>
        <w:tab w:val="right" w:pos="9360"/>
      </w:tabs>
    </w:pPr>
  </w:style>
  <w:style w:type="character" w:customStyle="1" w:styleId="FooterChar">
    <w:name w:val="Footer Char"/>
    <w:basedOn w:val="DefaultParagraphFont"/>
    <w:link w:val="Footer"/>
    <w:uiPriority w:val="99"/>
    <w:rsid w:val="003739E1"/>
  </w:style>
  <w:style w:type="paragraph" w:customStyle="1" w:styleId="Default">
    <w:name w:val="Default"/>
    <w:rsid w:val="003739E1"/>
    <w:pPr>
      <w:widowControl w:val="0"/>
      <w:autoSpaceDE w:val="0"/>
      <w:autoSpaceDN w:val="0"/>
      <w:adjustRightInd w:val="0"/>
    </w:pPr>
    <w:rPr>
      <w:rFonts w:ascii="YEPUQU+Arial-BoldMT" w:hAnsi="YEPUQU+Arial-BoldMT" w:cs="YEPUQU+Arial-BoldMT"/>
      <w:color w:val="000000"/>
      <w:sz w:val="24"/>
      <w:szCs w:val="24"/>
    </w:rPr>
  </w:style>
  <w:style w:type="character" w:styleId="Hyperlink">
    <w:name w:val="Hyperlink"/>
    <w:basedOn w:val="DefaultParagraphFont"/>
    <w:uiPriority w:val="99"/>
    <w:semiHidden/>
    <w:unhideWhenUsed/>
    <w:rsid w:val="00B05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2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law.com/Link/Document/FullText?findType=L&amp;pubNum=1000201&amp;cite=CACPS611&amp;originatingDoc=I904a877bf98d11db97c9c9e44fb98cc8&amp;refType=LQ&amp;originationContext=document&amp;vr=3.0&amp;rs=cblt1.0&amp;transitionType=DocumentItem&amp;contextData=(sc.Defaul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Target="../part1.docx" Type="http://schemas.openxmlformats.org/officeDocument/2006/relationships/aFChunk" Id="rId10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Links>
    <vt:vector size="6" baseType="variant">
      <vt:variant>
        <vt:i4>5242961</vt:i4>
      </vt:variant>
      <vt:variant>
        <vt:i4>0</vt:i4>
      </vt:variant>
      <vt:variant>
        <vt:i4>0</vt:i4>
      </vt:variant>
      <vt:variant>
        <vt:i4>5</vt:i4>
      </vt:variant>
      <vt:variant>
        <vt:lpwstr>http://www.westlaw.com/Link/Document/FullText?findType=L&amp;pubNum=1000201&amp;cite=CACPS611&amp;originatingDoc=I904a877bf98d11db97c9c9e44fb98cc8&amp;refType=LQ&amp;originationContext=document&amp;vr=3.0&amp;rs=cblt1.0&amp;transitionType=DocumentItem&amp;contextData=(sc.Defaul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Jason</cp:lastModifiedBy>
  <cp:revision>4</cp:revision>
  <dcterms:created xsi:type="dcterms:W3CDTF">2020-01-08T05:29:00Z</dcterms:created>
  <dcterms:modified xsi:type="dcterms:W3CDTF">2021-01-30T06:11:00Z</dcterms:modified>
</cp:coreProperties>
</file>