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tbl>
      <w:tblPr>
        <w:tblStyle w:val="Table1"/>
        <w:tblW w:w="10008.0" w:type="dxa"/>
        <w:jc w:val="left"/>
        <w:tblInd w:w="0.0" w:type="dxa"/>
        <w:tblLayout w:type="fixed"/>
        <w:tblLook w:val="0000"/>
      </w:tblPr>
      <w:tblGrid>
        <w:gridCol w:w="2538"/>
        <w:gridCol w:w="630"/>
        <w:gridCol w:w="3060"/>
        <w:gridCol w:w="360"/>
        <w:gridCol w:w="3060"/>
        <w:gridCol w:w="360"/>
        <w:tblGridChange w:id="0">
          <w:tblGrid>
            <w:gridCol w:w="2538"/>
            <w:gridCol w:w="630"/>
            <w:gridCol w:w="3060"/>
            <w:gridCol w:w="360"/>
            <w:gridCol w:w="3060"/>
            <w:gridCol w:w="360"/>
          </w:tblGrid>
        </w:tblGridChange>
      </w:tblGrid>
      <w:tr>
        <w:trPr>
          <w:trHeight w:val="562" w:hRule="atLeast"/>
        </w:trPr>
        <w:tc>
          <w:tcPr>
            <w:tcBorders>
              <w:top w:color="000000" w:space="0" w:sz="12" w:val="single"/>
              <w:left w:color="000000" w:space="0" w:sz="12" w:val="single"/>
              <w:bottom w:color="000000" w:space="0" w:sz="8" w:val="single"/>
              <w:right w:color="000000" w:space="0" w:sz="6" w:val="single"/>
            </w:tcBorders>
            <w:vAlign w:val="center"/>
          </w:tcPr>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Requested by Plaintiffs </w:t>
            </w:r>
          </w:p>
        </w:tc>
        <w:tc>
          <w:tcPr>
            <w:tcBorders>
              <w:top w:color="000000" w:space="0" w:sz="12"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12"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Requested by Defendant </w:t>
            </w:r>
          </w:p>
        </w:tc>
        <w:tc>
          <w:tcPr>
            <w:tcBorders>
              <w:top w:color="000000" w:space="0" w:sz="12"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Requested by Cross-Complainants </w:t>
            </w:r>
          </w:p>
        </w:tc>
        <w:tc>
          <w:tcPr>
            <w:tcBorders>
              <w:top w:color="000000" w:space="0" w:sz="12" w:val="single"/>
              <w:left w:color="000000" w:space="0" w:sz="6" w:val="single"/>
              <w:bottom w:color="000000" w:space="0" w:sz="8" w:val="single"/>
              <w:right w:color="000000" w:space="0" w:sz="12" w:val="single"/>
            </w:tcBorders>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502" w:hRule="atLeast"/>
        </w:trPr>
        <w:tc>
          <w:tcPr>
            <w:tcBorders>
              <w:top w:color="000000" w:space="0" w:sz="8" w:val="single"/>
              <w:left w:color="000000" w:space="0" w:sz="12" w:val="single"/>
              <w:bottom w:color="000000" w:space="0" w:sz="8" w:val="single"/>
              <w:right w:color="000000" w:space="0" w:sz="6" w:val="single"/>
            </w:tcBorders>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as Requested </w:t>
            </w:r>
          </w:p>
        </w:tc>
        <w:tc>
          <w:tcPr>
            <w:tcBorders>
              <w:top w:color="000000" w:space="0" w:sz="8"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as Modified </w:t>
            </w:r>
          </w:p>
        </w:tc>
        <w:tc>
          <w:tcPr>
            <w:tcBorders>
              <w:top w:color="000000" w:space="0" w:sz="8"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on Court’s Motion </w:t>
            </w:r>
          </w:p>
        </w:tc>
        <w:tc>
          <w:tcPr>
            <w:tcBorders>
              <w:top w:color="000000" w:space="0" w:sz="8" w:val="single"/>
              <w:left w:color="000000" w:space="0" w:sz="6" w:val="single"/>
              <w:bottom w:color="000000" w:space="0" w:sz="8" w:val="single"/>
              <w:right w:color="000000" w:space="0" w:sz="12" w:val="single"/>
            </w:tcBorders>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00" w:hRule="atLeast"/>
        </w:trPr>
        <w:tc>
          <w:tcPr>
            <w:vMerge w:val="restart"/>
            <w:tcBorders>
              <w:top w:color="000000" w:space="0" w:sz="8" w:val="single"/>
              <w:left w:color="000000" w:space="0" w:sz="12" w:val="single"/>
              <w:right w:color="000000" w:space="0" w:sz="6" w:val="single"/>
            </w:tcBorders>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Refused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Withdrawn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6" w:val="single"/>
              <w:bottom w:color="000000" w:space="0" w:sz="8" w:val="single"/>
              <w:right w:color="000000" w:space="0" w:sz="6" w:val="single"/>
            </w:tcBorders>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4"/>
            <w:vMerge w:val="restart"/>
            <w:tcBorders>
              <w:top w:color="000000" w:space="0" w:sz="8" w:val="single"/>
              <w:left w:color="000000" w:space="0" w:sz="6" w:val="single"/>
              <w:right w:color="000000" w:space="0" w:sz="12" w:val="single"/>
            </w:tcBorders>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Judge </w:t>
            </w:r>
          </w:p>
        </w:tc>
      </w:tr>
      <w:tr>
        <w:trPr>
          <w:trHeight w:val="394" w:hRule="atLeast"/>
        </w:trPr>
        <w:tc>
          <w:tcPr>
            <w:vMerge w:val="continue"/>
            <w:tcBorders>
              <w:top w:color="000000" w:space="0" w:sz="8" w:val="single"/>
              <w:left w:color="000000" w:space="0" w:sz="12" w:val="single"/>
              <w:right w:color="000000" w:space="0" w:sz="6" w:val="single"/>
            </w:tcBorders>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6" w:val="single"/>
              <w:bottom w:color="000000" w:space="0" w:sz="12" w:val="single"/>
              <w:right w:color="000000" w:space="0" w:sz="6" w:val="single"/>
            </w:tcBorders>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4"/>
            <w:vMerge w:val="continue"/>
            <w:tcBorders>
              <w:top w:color="000000" w:space="0" w:sz="8" w:val="single"/>
              <w:left w:color="000000" w:space="0" w:sz="6" w:val="single"/>
              <w:right w:color="000000" w:space="0" w:sz="12" w:val="single"/>
            </w:tcBorders>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0">
      <w:pPr>
        <w:widowControl w:val="0"/>
        <w:spacing w:after="500" w:before="760" w:line="240" w:lineRule="auto"/>
        <w:jc w:val="center"/>
        <w:rPr>
          <w:rFonts w:ascii="Georgia" w:cs="Georgia" w:eastAsia="Georgia" w:hAnsi="Georgia"/>
          <w:color w:val="252525"/>
          <w:sz w:val="24"/>
          <w:szCs w:val="24"/>
        </w:rPr>
      </w:pPr>
      <w:r w:rsidDel="00000000" w:rsidR="00000000" w:rsidRPr="00000000">
        <w:rPr>
          <w:rFonts w:ascii="Georgia" w:cs="Georgia" w:eastAsia="Georgia" w:hAnsi="Georgia"/>
          <w:color w:val="252525"/>
          <w:sz w:val="24"/>
          <w:szCs w:val="24"/>
          <w:rtl w:val="0"/>
        </w:rPr>
        <w:t xml:space="preserve">105 Insurance</w:t>
      </w:r>
    </w:p>
    <w:p w:rsidR="00000000" w:rsidDel="00000000" w:rsidP="00000000" w:rsidRDefault="00000000" w:rsidRPr="00000000" w14:paraId="00000021">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You must not consider whether any of the parties in this case has insurance. The presence or absence of insurance is totally irrelevant. You must decide this case based only on the law and the evidence.</w:t>
      </w:r>
    </w:p>
    <w:p w:rsidR="00000000" w:rsidDel="00000000" w:rsidP="00000000" w:rsidRDefault="00000000" w:rsidRPr="00000000" w14:paraId="00000022">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bookmarkStart w:colFirst="0" w:colLast="0" w:name="gjdgxs" w:id="0"/>
    <w:bookmarkEnd w:id="0"/>
    <w:p w:rsidR="00000000" w:rsidDel="00000000" w:rsidP="00000000" w:rsidRDefault="00000000" w:rsidRPr="00000000" w14:paraId="00000023">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tbl>
      <w:tblPr>
        <w:tblStyle w:val="Table2"/>
        <w:tblW w:w="10080.0" w:type="dxa"/>
        <w:jc w:val="left"/>
        <w:tblInd w:w="30.0" w:type="pct"/>
        <w:tblLayout w:type="fixed"/>
        <w:tblLook w:val="0400"/>
      </w:tblPr>
      <w:tblGrid>
        <w:gridCol w:w="10080"/>
        <w:tblGridChange w:id="0">
          <w:tblGrid>
            <w:gridCol w:w="10080"/>
          </w:tblGrid>
        </w:tblGridChange>
      </w:tblGrid>
      <w:tr>
        <w:tc>
          <w:tcPr>
            <w:tcMar>
              <w:top w:w="0.0" w:type="dxa"/>
              <w:left w:w="30.0" w:type="dxa"/>
              <w:bottom w:w="0.0" w:type="dxa"/>
              <w:right w:w="30.0" w:type="dxa"/>
            </w:tcMar>
          </w:tcPr>
          <w:p w:rsidR="00000000" w:rsidDel="00000000" w:rsidP="00000000" w:rsidRDefault="00000000" w:rsidRPr="00000000" w14:paraId="00000024">
            <w:pPr>
              <w:widowControl w:val="0"/>
              <w:spacing w:after="0" w:line="240" w:lineRule="auto"/>
              <w:ind w:left="30" w:right="30" w:firstLine="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New September 2003; Revised May 2019, November 2019</w:t>
            </w:r>
          </w:p>
          <w:p w:rsidR="00000000" w:rsidDel="00000000" w:rsidP="00000000" w:rsidRDefault="00000000" w:rsidRPr="00000000" w14:paraId="00000025">
            <w:pPr>
              <w:widowControl w:val="0"/>
              <w:spacing w:after="0" w:line="240" w:lineRule="auto"/>
              <w:ind w:left="30" w:right="30" w:firstLine="0"/>
              <w:rPr>
                <w:rFonts w:ascii="Times New Roman" w:cs="Times New Roman" w:eastAsia="Times New Roman" w:hAnsi="Times New Roman"/>
                <w:i w:val="1"/>
                <w:color w:val="000000"/>
                <w:sz w:val="20"/>
                <w:szCs w:val="20"/>
              </w:rPr>
            </w:pPr>
            <w:r w:rsidDel="00000000" w:rsidR="00000000" w:rsidRPr="00000000">
              <w:rPr>
                <w:rtl w:val="0"/>
              </w:rPr>
            </w:r>
          </w:p>
        </w:tc>
      </w:tr>
    </w:tbl>
    <w:p w:rsidR="00000000" w:rsidDel="00000000" w:rsidP="00000000" w:rsidRDefault="00000000" w:rsidRPr="00000000" w14:paraId="00000026">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7">
      <w:pPr>
        <w:widowControl w:val="0"/>
        <w:spacing w:before="20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Directions for Use</w:t>
      </w:r>
    </w:p>
    <w:p w:rsidR="00000000" w:rsidDel="00000000" w:rsidP="00000000" w:rsidRDefault="00000000" w:rsidRPr="00000000" w14:paraId="00000028">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this instruction is given, the advisory committee recommends that it be read to the jury before reading instructions on the substantive law.</w:t>
      </w:r>
    </w:p>
    <w:p w:rsidR="00000000" w:rsidDel="00000000" w:rsidP="00000000" w:rsidRDefault="00000000" w:rsidRPr="00000000" w14:paraId="00000029">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A">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By statute, evidence of a defendant’s insurance coverage is inadmissible to prove liability. (</w:t>
      </w:r>
      <w:hyperlink r:id="rId6">
        <w:r w:rsidDel="00000000" w:rsidR="00000000" w:rsidRPr="00000000">
          <w:rPr>
            <w:rFonts w:ascii="Times New Roman" w:cs="Times New Roman" w:eastAsia="Times New Roman" w:hAnsi="Times New Roman"/>
            <w:color w:val="0000ff"/>
            <w:sz w:val="20"/>
            <w:szCs w:val="20"/>
            <w:u w:val="single"/>
            <w:rtl w:val="0"/>
          </w:rPr>
          <w:t xml:space="preserve">Evid. Code, § 1155</w:t>
        </w:r>
      </w:hyperlink>
      <w:r w:rsidDel="00000000" w:rsidR="00000000" w:rsidRPr="00000000">
        <w:rPr>
          <w:rFonts w:ascii="Times New Roman" w:cs="Times New Roman" w:eastAsia="Times New Roman" w:hAnsi="Times New Roman"/>
          <w:color w:val="000000"/>
          <w:sz w:val="20"/>
          <w:szCs w:val="20"/>
          <w:rtl w:val="0"/>
        </w:rPr>
        <w:t xml:space="preserve">.) If evidence of insurance has been admitted for some other reason, (1) this instruction may need to be modified to clarify that insurance may not be considered for purposes of determining liability; and (2) a limiting instruction should be given advising the jury to consider the evidence only for the purpose for which it was admitted.</w:t>
      </w:r>
    </w:p>
    <w:p w:rsidR="00000000" w:rsidDel="00000000" w:rsidP="00000000" w:rsidRDefault="00000000" w:rsidRPr="00000000" w14:paraId="0000002B">
      <w:pPr>
        <w:widowControl w:val="0"/>
        <w:spacing w:after="500" w:before="760" w:line="240" w:lineRule="auto"/>
        <w:jc w:val="center"/>
        <w:rPr>
          <w:rFonts w:ascii="Times New Roman" w:cs="Times New Roman" w:eastAsia="Times New Roman" w:hAnsi="Times New Roman"/>
          <w:color w:val="000000"/>
          <w:sz w:val="20"/>
          <w:szCs w:val="20"/>
        </w:rPr>
      </w:pPr>
      <w:bookmarkStart w:colFirst="0" w:colLast="0" w:name="_30j0zll" w:id="1"/>
      <w:bookmarkEnd w:id="1"/>
      <w:r w:rsidDel="00000000" w:rsidR="00000000" w:rsidRPr="00000000">
        <w:rPr>
          <w:rtl w:val="0"/>
        </w:rPr>
      </w:r>
    </w:p>
    <w:sectPr>
      <w:headerReference r:id="rId7" w:type="default"/>
      <w:footerReference r:id="rId8"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widowControl w:val="0"/>
      <w:spacing w:after="0" w:line="240" w:lineRule="auto"/>
      <w:rPr>
        <w:rFonts w:ascii="Arial" w:cs="Arial" w:eastAsia="Arial" w:hAnsi="Arial"/>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widowControl w:val="0"/>
      <w:spacing w:after="0" w:line="240" w:lineRule="auto"/>
      <w:rPr>
        <w:rFonts w:ascii="Arial" w:cs="Arial" w:eastAsia="Arial" w:hAnsi="Arial"/>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estlaw.com/Link/Document/FullText?findType=L&amp;pubNum=1000207&amp;cite=CAEVS1155&amp;originatingDoc=I904b23b8f98d11db97c9c9e44fb98cc8&amp;refType=LQ&amp;originationContext=document&amp;vr=3.0&amp;rs=cblt1.0&amp;transitionType=DocumentItem&amp;contextData=(sc.Default)"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