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sz w:val="56"/>
          <w:szCs w:val="56"/>
        </w:rPr>
        <w:t xml:space="preserve">THE AI CONTROL PLANE</w:t>
      </w:r>
    </w:p>
    <w:p>
      <w:pPr>
        <w:spacing w:after="100"/>
        <w:jc w:val="center"/>
      </w:pPr>
      <w:r>
        <w:rPr>
          <w:rFonts w:ascii="Georgia" w:cs="Georgia" w:eastAsia="Georgia" w:hAnsi="Georgia"/>
          <w:i/>
          <w:iCs/>
          <w:color w:val="555555"/>
          <w:sz w:val="28"/>
          <w:szCs w:val="28"/>
        </w:rPr>
        <w:t xml:space="preserve">Distributed Systems Engineering for Governance-First AI</w:t>
      </w:r>
    </w:p>
    <w:p>
      <w:pPr>
        <w:spacing w:before="600"/>
      </w:pPr>
    </w:p>
    <w:p>
      <w:pPr>
        <w:spacing w:after="100"/>
        <w:jc w:val="center"/>
      </w:pPr>
      <w:r>
        <w:rPr>
          <w:rFonts w:ascii="Arial" w:cs="Arial" w:eastAsia="Arial" w:hAnsi="Arial"/>
          <w:b/>
          <w:bCs/>
          <w:color w:val="2C3E50"/>
          <w:sz w:val="36"/>
          <w:szCs w:val="36"/>
        </w:rPr>
        <w:t xml:space="preserve">BOOK BLUEPRINT &amp; CHAPTER STYLE GUIDE</w:t>
      </w:r>
    </w:p>
    <w:p>
      <w:pPr>
        <w:spacing w:after="200"/>
        <w:jc w:val="center"/>
      </w:pPr>
      <w:r>
        <w:rPr>
          <w:rFonts w:ascii="Georgia" w:cs="Georgia" w:eastAsia="Georgia" w:hAnsi="Georgia"/>
          <w:i/>
          <w:iCs/>
          <w:color w:val="777777"/>
          <w:sz w:val="22"/>
          <w:szCs w:val="22"/>
        </w:rPr>
        <w:t xml:space="preserve">The definitive reference for consistent chapter generation across all 10 chapters</w:t>
      </w:r>
    </w:p>
    <w:p>
      <w:pPr>
        <w:spacing w:after="600"/>
        <w:jc w:val="center"/>
      </w:pPr>
      <w:r>
        <w:rPr>
          <w:rFonts w:ascii="Arial" w:cs="Arial" w:eastAsia="Arial" w:hAnsi="Arial"/>
          <w:color w:val="999999"/>
          <w:sz w:val="20"/>
          <w:szCs w:val="20"/>
        </w:rPr>
        <w:t xml:space="preserve">Version 1.0  •  February 2026</w:t>
      </w:r>
    </w:p>
    <w:p>
      <w:r>
        <w:r>
          <w:br w:type="page"/>
        </w:r>
      </w:r>
    </w:p>
    <w:p>
      <w:pPr>
        <w:pStyle w:val="Heading1"/>
        <w:spacing w:before="480" w:after="300"/>
      </w:pPr>
      <w:r>
        <w:rPr>
          <w:rFonts w:ascii="Arial" w:cs="Arial" w:eastAsia="Arial" w:hAnsi="Arial"/>
          <w:b/>
          <w:bCs/>
          <w:sz w:val="40"/>
          <w:szCs w:val="40"/>
        </w:rPr>
        <w:t xml:space="preserve">Part 1: The 10-Chapter Arc</w:t>
      </w:r>
    </w:p>
    <w:p>
      <w:pPr>
        <w:spacing w:after="200" w:line="340"/>
        <w:jc w:val="both"/>
      </w:pPr>
      <w:r>
        <w:rPr>
          <w:rFonts w:ascii="Georgia" w:cs="Georgia" w:eastAsia="Georgia" w:hAnsi="Georgia"/>
          <w:sz w:val="24"/>
          <w:szCs w:val="24"/>
        </w:rPr>
        <w:t xml:space="preserve">The book follows a deliberate arc: from understanding the problem, to learning the architecture, to implementing each subsystem, to operating it reliably, to organizational transformation. Every chapter builds on the one before. No chapter stands alone.</w:t>
      </w:r>
    </w:p>
    <w:p>
      <w:pPr>
        <w:pStyle w:val="Heading2"/>
        <w:spacing w:before="400" w:after="240"/>
      </w:pPr>
      <w:r>
        <w:rPr>
          <w:rFonts w:ascii="Arial" w:cs="Arial" w:eastAsia="Arial" w:hAnsi="Arial"/>
          <w:b/>
          <w:bCs/>
          <w:sz w:val="32"/>
          <w:szCs w:val="32"/>
        </w:rPr>
        <w:t xml:space="preserve">Narrative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Chapters</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Problem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Establish what’s broken and introduce the conceptual framework (control planes, distributed systems patterns)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Architecture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Present the full AICP reference architecture as the unifying blueprint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Subsystems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4–7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Deep-dive into each control plane primitive: identity, policy, execution interlocks, provenance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Operations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8–9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Run the control plane in production: observability, SLOs, failure modes, recovery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Transformation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Organizational change: migrating from paper governance to systems-first governance</w:t>
            </w:r>
          </w:p>
        </w:tc>
      </w:tr>
    </w:tbl>
    <w:p>
      <w:pPr>
        <w:spacing w:before="300"/>
      </w:pPr>
    </w:p>
    <w:p>
      <w:pPr>
        <w:pStyle w:val="Heading2"/>
        <w:spacing w:before="400" w:after="240"/>
      </w:pPr>
      <w:r>
        <w:rPr>
          <w:rFonts w:ascii="Arial" w:cs="Arial" w:eastAsia="Arial" w:hAnsi="Arial"/>
          <w:b/>
          <w:bCs/>
          <w:sz w:val="32"/>
          <w:szCs w:val="32"/>
        </w:rPr>
        <w:t xml:space="preserve">Full Chapter Map</w:t>
      </w:r>
    </w:p>
    <w:p>
      <w:pPr>
        <w:pStyle w:val="Heading3"/>
        <w:spacing w:before="320" w:after="200"/>
      </w:pPr>
      <w:r>
        <w:rPr>
          <w:rFonts w:ascii="Arial" w:cs="Arial" w:eastAsia="Arial" w:hAnsi="Arial"/>
          <w:b/>
          <w:bCs/>
          <w:sz w:val="28"/>
          <w:szCs w:val="28"/>
        </w:rPr>
        <w:t xml:space="preserve">Chapter 1: The Governance Gap</w:t>
      </w:r>
    </w:p>
    <w:p>
      <w:pPr>
        <w:spacing w:after="200" w:line="340"/>
        <w:jc w:val="both"/>
      </w:pPr>
      <w:r>
        <w:rPr>
          <w:rFonts w:ascii="Georgia" w:cs="Georgia" w:eastAsia="Georgia" w:hAnsi="Georgia"/>
          <w:i/>
          <w:iCs/>
          <w:sz w:val="24"/>
          <w:szCs w:val="24"/>
        </w:rPr>
        <w:t xml:space="preserve">Subtitle: </w:t>
      </w:r>
      <w:r>
        <w:rPr>
          <w:rFonts w:ascii="Georgia" w:cs="Georgia" w:eastAsia="Georgia" w:hAnsi="Georgia"/>
          <w:sz w:val="24"/>
          <w:szCs w:val="24"/>
        </w:rPr>
        <w:t xml:space="preserve">Why documentation-first governance fails for distributed, agentic AI systems</w:t>
      </w:r>
    </w:p>
    <w:p>
      <w:pPr>
        <w:spacing w:after="200" w:line="340"/>
        <w:jc w:val="both"/>
      </w:pPr>
      <w:r>
        <w:rPr>
          <w:rFonts w:ascii="Georgia" w:cs="Georgia" w:eastAsia="Georgia" w:hAnsi="Georgia"/>
          <w:b/>
          <w:bCs/>
          <w:sz w:val="24"/>
          <w:szCs w:val="24"/>
        </w:rPr>
        <w:t xml:space="preserve">Core argument: </w:t>
      </w:r>
      <w:r>
        <w:rPr>
          <w:rFonts w:ascii="Georgia" w:cs="Georgia" w:eastAsia="Georgia" w:hAnsi="Georgia"/>
          <w:sz w:val="24"/>
          <w:szCs w:val="24"/>
        </w:rPr>
        <w:t xml:space="preserve">Governance broke because it lives outside the execution path. The governance gap—the latency between system action and governance evaluation—is the root cause. Governance is a distributed systems problem.</w:t>
      </w:r>
    </w:p>
    <w:p>
      <w:pPr>
        <w:spacing w:after="200" w:line="340"/>
        <w:jc w:val="both"/>
      </w:pPr>
      <w:r>
        <w:rPr>
          <w:rFonts w:ascii="Georgia" w:cs="Georgia" w:eastAsia="Georgia" w:hAnsi="Georgia"/>
          <w:b/>
          <w:bCs/>
          <w:sz w:val="24"/>
          <w:szCs w:val="24"/>
        </w:rPr>
        <w:t xml:space="preserve">Key concepts introduced: </w:t>
      </w:r>
      <w:r>
        <w:rPr>
          <w:rFonts w:ascii="Georgia" w:cs="Georgia" w:eastAsia="Georgia" w:hAnsi="Georgia"/>
          <w:sz w:val="24"/>
          <w:szCs w:val="24"/>
        </w:rPr>
        <w:t xml:space="preserve">Governance gap (defined as measurable latency), data plane vs. control plane, three architectural shifts (distributed models, continuous deployment, agentic AI), five structural failures of paper governance, governance gateway and action gate (preview).</w:t>
      </w:r>
    </w:p>
    <w:p>
      <w:pPr>
        <w:spacing w:after="200" w:line="340"/>
        <w:jc w:val="both"/>
      </w:pPr>
      <w:r>
        <w:rPr>
          <w:rFonts w:ascii="Georgia" w:cs="Georgia" w:eastAsia="Georgia" w:hAnsi="Georgia"/>
          <w:b/>
          <w:bCs/>
          <w:sz w:val="24"/>
          <w:szCs w:val="24"/>
        </w:rPr>
        <w:t xml:space="preserve">Incident/Story: </w:t>
      </w:r>
      <w:r>
        <w:rPr>
          <w:rFonts w:ascii="Georgia" w:cs="Georgia" w:eastAsia="Georgia" w:hAnsi="Georgia"/>
          <w:sz w:val="24"/>
          <w:szCs w:val="24"/>
        </w:rPr>
        <w:t xml:space="preserve">Fintech recommendation agent approves $23M in bad loans overnight due to labeling error in automated retrain. No runtime governance existed to intercept.</w:t>
      </w:r>
    </w:p>
    <w:p>
      <w:pPr>
        <w:spacing w:after="200" w:line="340"/>
        <w:jc w:val="both"/>
      </w:pPr>
      <w:r>
        <w:rPr>
          <w:rFonts w:ascii="Georgia" w:cs="Georgia" w:eastAsia="Georgia" w:hAnsi="Georgia"/>
          <w:b/>
          <w:bCs/>
          <w:sz w:val="24"/>
          <w:szCs w:val="24"/>
        </w:rPr>
        <w:t xml:space="preserve">Transitions to Chapter 2: </w:t>
      </w:r>
      <w:r>
        <w:rPr>
          <w:rFonts w:ascii="Georgia" w:cs="Georgia" w:eastAsia="Georgia" w:hAnsi="Georgia"/>
          <w:sz w:val="24"/>
          <w:szCs w:val="24"/>
        </w:rPr>
        <w:t xml:space="preserve">“If governance is a distributed systems problem, what patterns from distributed systems engineering can we borrow?”</w:t>
      </w:r>
    </w:p>
    <w:p>
      <w:pPr>
        <w:spacing w:before="300" w:after="300"/>
        <w:jc w:val="center"/>
      </w:pPr>
      <w:r>
        <w:rPr>
          <w:rFonts w:ascii="Georgia" w:cs="Georgia" w:eastAsia="Georgia" w:hAnsi="Georgia"/>
          <w:sz w:val="24"/>
          <w:szCs w:val="24"/>
        </w:rPr>
        <w:t xml:space="preserve">∗  ∗  ∗</w:t>
      </w:r>
    </w:p>
    <w:p>
      <w:pPr>
        <w:pStyle w:val="Heading3"/>
        <w:spacing w:before="320" w:after="200"/>
      </w:pPr>
      <w:r>
        <w:rPr>
          <w:rFonts w:ascii="Arial" w:cs="Arial" w:eastAsia="Arial" w:hAnsi="Arial"/>
          <w:b/>
          <w:bCs/>
          <w:sz w:val="28"/>
          <w:szCs w:val="28"/>
        </w:rPr>
        <w:t xml:space="preserve">Chapter 2: Control Planes for AI Governance</w:t>
      </w:r>
    </w:p>
    <w:p>
      <w:pPr>
        <w:spacing w:after="200" w:line="340"/>
        <w:jc w:val="both"/>
      </w:pPr>
      <w:r>
        <w:rPr>
          <w:rFonts w:ascii="Georgia" w:cs="Georgia" w:eastAsia="Georgia" w:hAnsi="Georgia"/>
          <w:i/>
          <w:iCs/>
          <w:sz w:val="24"/>
          <w:szCs w:val="24"/>
        </w:rPr>
        <w:t xml:space="preserve">Subtitle: </w:t>
      </w:r>
      <w:r>
        <w:rPr>
          <w:rFonts w:ascii="Georgia" w:cs="Georgia" w:eastAsia="Georgia" w:hAnsi="Georgia"/>
          <w:sz w:val="24"/>
          <w:szCs w:val="24"/>
        </w:rPr>
        <w:t xml:space="preserve">Borrowing proven patterns from distributed systems engineering</w:t>
      </w:r>
    </w:p>
    <w:p>
      <w:pPr>
        <w:spacing w:after="200" w:line="340"/>
        <w:jc w:val="both"/>
      </w:pPr>
      <w:r>
        <w:rPr>
          <w:rFonts w:ascii="Georgia" w:cs="Georgia" w:eastAsia="Georgia" w:hAnsi="Georgia"/>
          <w:b/>
          <w:bCs/>
          <w:sz w:val="24"/>
          <w:szCs w:val="24"/>
        </w:rPr>
        <w:t xml:space="preserve">Core argument: </w:t>
      </w:r>
      <w:r>
        <w:rPr>
          <w:rFonts w:ascii="Georgia" w:cs="Georgia" w:eastAsia="Georgia" w:hAnsi="Georgia"/>
          <w:sz w:val="24"/>
          <w:szCs w:val="24"/>
        </w:rPr>
        <w:t xml:space="preserve">The patterns we need already exist. Service meshes, API gateways, Kubernetes, and SRE practices have solved analogous control problems for infrastructure. We can map these patterns directly onto AI governance.</w:t>
      </w:r>
    </w:p>
    <w:p>
      <w:pPr>
        <w:spacing w:after="200" w:line="340"/>
        <w:jc w:val="both"/>
      </w:pPr>
      <w:r>
        <w:rPr>
          <w:rFonts w:ascii="Georgia" w:cs="Georgia" w:eastAsia="Georgia" w:hAnsi="Georgia"/>
          <w:b/>
          <w:bCs/>
          <w:sz w:val="24"/>
          <w:szCs w:val="24"/>
        </w:rPr>
        <w:t xml:space="preserve">Key concepts introduced: </w:t>
      </w:r>
      <w:r>
        <w:rPr>
          <w:rFonts w:ascii="Georgia" w:cs="Georgia" w:eastAsia="Georgia" w:hAnsi="Georgia"/>
          <w:sz w:val="24"/>
          <w:szCs w:val="24"/>
        </w:rPr>
        <w:t xml:space="preserve">Four governance planes (policy, execution, observability, evidence), CAP theorem applied to governance (consistency vs. availability vs. partition tolerance), governance latency budgets, SRE practices for trustworthiness, sidecar pattern for AI governance.</w:t>
      </w:r>
    </w:p>
    <w:p>
      <w:pPr>
        <w:spacing w:after="200" w:line="340"/>
        <w:jc w:val="both"/>
      </w:pPr>
      <w:r>
        <w:rPr>
          <w:rFonts w:ascii="Georgia" w:cs="Georgia" w:eastAsia="Georgia" w:hAnsi="Georgia"/>
          <w:b/>
          <w:bCs/>
          <w:sz w:val="24"/>
          <w:szCs w:val="24"/>
        </w:rPr>
        <w:t xml:space="preserve">Incident/Story: </w:t>
      </w:r>
      <w:r>
        <w:rPr>
          <w:rFonts w:ascii="Georgia" w:cs="Georgia" w:eastAsia="Georgia" w:hAnsi="Georgia"/>
          <w:sz w:val="24"/>
          <w:szCs w:val="24"/>
        </w:rPr>
        <w:t xml:space="preserve">How Envoy/Istio solved the “every service must implement its own auth” problem—and why AI governance faces the exact same fragmentation today.</w:t>
      </w:r>
    </w:p>
    <w:p>
      <w:pPr>
        <w:spacing w:after="200" w:line="340"/>
        <w:jc w:val="both"/>
      </w:pPr>
      <w:r>
        <w:rPr>
          <w:rFonts w:ascii="Georgia" w:cs="Georgia" w:eastAsia="Georgia" w:hAnsi="Georgia"/>
          <w:b/>
          <w:bCs/>
          <w:sz w:val="24"/>
          <w:szCs w:val="24"/>
        </w:rPr>
        <w:t xml:space="preserve">Transitions to Chapter 3: </w:t>
      </w:r>
      <w:r>
        <w:rPr>
          <w:rFonts w:ascii="Georgia" w:cs="Georgia" w:eastAsia="Georgia" w:hAnsi="Georgia"/>
          <w:sz w:val="24"/>
          <w:szCs w:val="24"/>
        </w:rPr>
        <w:t xml:space="preserve">“Now that we have the conceptual patterns, let’s assemble them into a concrete reference architecture.”</w:t>
      </w:r>
    </w:p>
    <w:p>
      <w:pPr>
        <w:spacing w:before="300" w:after="300"/>
        <w:jc w:val="center"/>
      </w:pPr>
      <w:r>
        <w:rPr>
          <w:rFonts w:ascii="Georgia" w:cs="Georgia" w:eastAsia="Georgia" w:hAnsi="Georgia"/>
          <w:sz w:val="24"/>
          <w:szCs w:val="24"/>
        </w:rPr>
        <w:t xml:space="preserve">∗  ∗  ∗</w:t>
      </w:r>
    </w:p>
    <w:p>
      <w:pPr>
        <w:pStyle w:val="Heading3"/>
        <w:spacing w:before="320" w:after="200"/>
      </w:pPr>
      <w:r>
        <w:rPr>
          <w:rFonts w:ascii="Arial" w:cs="Arial" w:eastAsia="Arial" w:hAnsi="Arial"/>
          <w:b/>
          <w:bCs/>
          <w:sz w:val="28"/>
          <w:szCs w:val="28"/>
        </w:rPr>
        <w:t xml:space="preserve">Chapter 3: AICP Reference Architecture</w:t>
      </w:r>
    </w:p>
    <w:p>
      <w:pPr>
        <w:spacing w:after="200" w:line="340"/>
        <w:jc w:val="both"/>
      </w:pPr>
      <w:r>
        <w:rPr>
          <w:rFonts w:ascii="Georgia" w:cs="Georgia" w:eastAsia="Georgia" w:hAnsi="Georgia"/>
          <w:i/>
          <w:iCs/>
          <w:sz w:val="24"/>
          <w:szCs w:val="24"/>
        </w:rPr>
        <w:t xml:space="preserve">Subtitle: </w:t>
      </w:r>
      <w:r>
        <w:rPr>
          <w:rFonts w:ascii="Georgia" w:cs="Georgia" w:eastAsia="Georgia" w:hAnsi="Georgia"/>
          <w:sz w:val="24"/>
          <w:szCs w:val="24"/>
        </w:rPr>
        <w:t xml:space="preserve">The minimal set of primitives for governance at runtime</w:t>
      </w:r>
    </w:p>
    <w:p>
      <w:pPr>
        <w:spacing w:after="200" w:line="340"/>
        <w:jc w:val="both"/>
      </w:pPr>
      <w:r>
        <w:rPr>
          <w:rFonts w:ascii="Georgia" w:cs="Georgia" w:eastAsia="Georgia" w:hAnsi="Georgia"/>
          <w:b/>
          <w:bCs/>
          <w:sz w:val="24"/>
          <w:szCs w:val="24"/>
        </w:rPr>
        <w:t xml:space="preserve">Core argument: </w:t>
      </w:r>
      <w:r>
        <w:rPr>
          <w:rFonts w:ascii="Georgia" w:cs="Georgia" w:eastAsia="Georgia" w:hAnsi="Georgia"/>
          <w:sz w:val="24"/>
          <w:szCs w:val="24"/>
        </w:rPr>
        <w:t xml:space="preserve">The AI Control Plane Architecture (AICP) defines six core subsystems that compose into a coherent governance layer. This is the blueprint. Subsequent chapters are the engineering specs.</w:t>
      </w:r>
    </w:p>
    <w:p>
      <w:pPr>
        <w:spacing w:after="200" w:line="340"/>
        <w:jc w:val="both"/>
      </w:pPr>
      <w:r>
        <w:rPr>
          <w:rFonts w:ascii="Georgia" w:cs="Georgia" w:eastAsia="Georgia" w:hAnsi="Georgia"/>
          <w:b/>
          <w:bCs/>
          <w:sz w:val="24"/>
          <w:szCs w:val="24"/>
        </w:rPr>
        <w:t xml:space="preserve">Key concepts introduced: </w:t>
      </w:r>
      <w:r>
        <w:rPr>
          <w:rFonts w:ascii="Georgia" w:cs="Georgia" w:eastAsia="Georgia" w:hAnsi="Georgia"/>
          <w:sz w:val="24"/>
          <w:szCs w:val="24"/>
        </w:rPr>
        <w:t xml:space="preserve">AICP full topology diagram, six subsystems (identity, policy, interlocks, provenance, observability, audit), trust boundaries in multi-tenant systems, separation of governance logic from application logic, API contracts between subsystems.</w:t>
      </w:r>
    </w:p>
    <w:p>
      <w:pPr>
        <w:spacing w:after="200" w:line="340"/>
        <w:jc w:val="both"/>
      </w:pPr>
      <w:r>
        <w:rPr>
          <w:rFonts w:ascii="Georgia" w:cs="Georgia" w:eastAsia="Georgia" w:hAnsi="Georgia"/>
          <w:b/>
          <w:bCs/>
          <w:sz w:val="24"/>
          <w:szCs w:val="24"/>
        </w:rPr>
        <w:t xml:space="preserve">Incident/Story: </w:t>
      </w:r>
      <w:r>
        <w:rPr>
          <w:rFonts w:ascii="Georgia" w:cs="Georgia" w:eastAsia="Georgia" w:hAnsi="Georgia"/>
          <w:sz w:val="24"/>
          <w:szCs w:val="24"/>
        </w:rPr>
        <w:t xml:space="preserve">A multi-tenant SaaS platform where Customer A’s model training data leaks into Customer B’s predictions because no trust boundary existed between tenant model pipelines.</w:t>
      </w:r>
    </w:p>
    <w:p>
      <w:pPr>
        <w:spacing w:after="200" w:line="340"/>
        <w:jc w:val="both"/>
      </w:pPr>
      <w:r>
        <w:rPr>
          <w:rFonts w:ascii="Georgia" w:cs="Georgia" w:eastAsia="Georgia" w:hAnsi="Georgia"/>
          <w:b/>
          <w:bCs/>
          <w:sz w:val="24"/>
          <w:szCs w:val="24"/>
        </w:rPr>
        <w:t xml:space="preserve">Transitions to Chapter 4: </w:t>
      </w:r>
      <w:r>
        <w:rPr>
          <w:rFonts w:ascii="Georgia" w:cs="Georgia" w:eastAsia="Georgia" w:hAnsi="Georgia"/>
          <w:sz w:val="24"/>
          <w:szCs w:val="24"/>
        </w:rPr>
        <w:t xml:space="preserve">“The first primitive every control plane needs is identity. Who is acting, and what are they allowed to do?”</w:t>
      </w:r>
    </w:p>
    <w:p>
      <w:pPr>
        <w:spacing w:before="300" w:after="300"/>
        <w:jc w:val="center"/>
      </w:pPr>
      <w:r>
        <w:rPr>
          <w:rFonts w:ascii="Georgia" w:cs="Georgia" w:eastAsia="Georgia" w:hAnsi="Georgia"/>
          <w:sz w:val="24"/>
          <w:szCs w:val="24"/>
        </w:rPr>
        <w:t xml:space="preserve">∗  ∗  ∗</w:t>
      </w:r>
    </w:p>
    <w:p>
      <w:pPr>
        <w:pStyle w:val="Heading3"/>
        <w:spacing w:before="320" w:after="200"/>
      </w:pPr>
      <w:r>
        <w:rPr>
          <w:rFonts w:ascii="Arial" w:cs="Arial" w:eastAsia="Arial" w:hAnsi="Arial"/>
          <w:b/>
          <w:bCs/>
          <w:sz w:val="28"/>
          <w:szCs w:val="28"/>
        </w:rPr>
        <w:t xml:space="preserve">Chapter 4: Identity and Delegated Authority</w:t>
      </w:r>
    </w:p>
    <w:p>
      <w:pPr>
        <w:spacing w:after="200" w:line="340"/>
        <w:jc w:val="both"/>
      </w:pPr>
      <w:r>
        <w:rPr>
          <w:rFonts w:ascii="Georgia" w:cs="Georgia" w:eastAsia="Georgia" w:hAnsi="Georgia"/>
          <w:i/>
          <w:iCs/>
          <w:sz w:val="24"/>
          <w:szCs w:val="24"/>
        </w:rPr>
        <w:t xml:space="preserve">Subtitle: </w:t>
      </w:r>
      <w:r>
        <w:rPr>
          <w:rFonts w:ascii="Georgia" w:cs="Georgia" w:eastAsia="Georgia" w:hAnsi="Georgia"/>
          <w:sz w:val="24"/>
          <w:szCs w:val="24"/>
        </w:rPr>
        <w:t xml:space="preserve">Knowing who is acting and what they’re allowed to do</w:t>
      </w:r>
    </w:p>
    <w:p>
      <w:pPr>
        <w:spacing w:after="200" w:line="340"/>
        <w:jc w:val="both"/>
      </w:pPr>
      <w:r>
        <w:rPr>
          <w:rFonts w:ascii="Georgia" w:cs="Georgia" w:eastAsia="Georgia" w:hAnsi="Georgia"/>
          <w:b/>
          <w:bCs/>
          <w:sz w:val="24"/>
          <w:szCs w:val="24"/>
        </w:rPr>
        <w:t xml:space="preserve">Core argument: </w:t>
      </w:r>
      <w:r>
        <w:rPr>
          <w:rFonts w:ascii="Georgia" w:cs="Georgia" w:eastAsia="Georgia" w:hAnsi="Georgia"/>
          <w:sz w:val="24"/>
          <w:szCs w:val="24"/>
        </w:rPr>
        <w:t xml:space="preserve">Every actor—human, service, agent, tool—must have a verifiable identity with scoped permissions. Delegated authority (agents acting on behalf of users) requires the AI equivalent of OAuth scopes. Binary access is replaced by bounded, context-dependent authority.</w:t>
      </w:r>
    </w:p>
    <w:p>
      <w:pPr>
        <w:spacing w:after="200" w:line="340"/>
        <w:jc w:val="both"/>
      </w:pPr>
      <w:r>
        <w:rPr>
          <w:rFonts w:ascii="Georgia" w:cs="Georgia" w:eastAsia="Georgia" w:hAnsi="Georgia"/>
          <w:b/>
          <w:bCs/>
          <w:sz w:val="24"/>
          <w:szCs w:val="24"/>
        </w:rPr>
        <w:t xml:space="preserve">Key concepts introduced: </w:t>
      </w:r>
      <w:r>
        <w:rPr>
          <w:rFonts w:ascii="Georgia" w:cs="Georgia" w:eastAsia="Georgia" w:hAnsi="Georgia"/>
          <w:sz w:val="24"/>
          <w:szCs w:val="24"/>
        </w:rPr>
        <w:t xml:space="preserve">Agent identity lifecycle, delegated authority chains, permission scoping for agentic systems, credential propagation, trust attestation, least-privilege for AI agents.</w:t>
      </w:r>
    </w:p>
    <w:p>
      <w:pPr>
        <w:spacing w:after="200" w:line="340"/>
        <w:jc w:val="both"/>
      </w:pPr>
      <w:r>
        <w:rPr>
          <w:rFonts w:ascii="Georgia" w:cs="Georgia" w:eastAsia="Georgia" w:hAnsi="Georgia"/>
          <w:b/>
          <w:bCs/>
          <w:sz w:val="24"/>
          <w:szCs w:val="24"/>
        </w:rPr>
        <w:t xml:space="preserve">Incident/Story: </w:t>
      </w:r>
      <w:r>
        <w:rPr>
          <w:rFonts w:ascii="Georgia" w:cs="Georgia" w:eastAsia="Georgia" w:hAnsi="Georgia"/>
          <w:sz w:val="24"/>
          <w:szCs w:val="24"/>
        </w:rPr>
        <w:t xml:space="preserve">An internal coding agent with “repository write access” commits to a production branch it was never intended to touch, triggering a deployment pipeline that pushes untested code to production.</w:t>
      </w:r>
    </w:p>
    <w:p>
      <w:pPr>
        <w:spacing w:before="300" w:after="300"/>
        <w:jc w:val="center"/>
      </w:pPr>
      <w:r>
        <w:rPr>
          <w:rFonts w:ascii="Georgia" w:cs="Georgia" w:eastAsia="Georgia" w:hAnsi="Georgia"/>
          <w:sz w:val="24"/>
          <w:szCs w:val="24"/>
        </w:rPr>
        <w:t xml:space="preserve">∗  ∗  ∗</w:t>
      </w:r>
    </w:p>
    <w:p>
      <w:pPr>
        <w:pStyle w:val="Heading3"/>
        <w:spacing w:before="320" w:after="200"/>
      </w:pPr>
      <w:r>
        <w:rPr>
          <w:rFonts w:ascii="Arial" w:cs="Arial" w:eastAsia="Arial" w:hAnsi="Arial"/>
          <w:b/>
          <w:bCs/>
          <w:sz w:val="28"/>
          <w:szCs w:val="28"/>
        </w:rPr>
        <w:t xml:space="preserve">Chapter 5: Policy-as-Code</w:t>
      </w:r>
    </w:p>
    <w:p>
      <w:pPr>
        <w:spacing w:after="200" w:line="340"/>
        <w:jc w:val="both"/>
      </w:pPr>
      <w:r>
        <w:rPr>
          <w:rFonts w:ascii="Georgia" w:cs="Georgia" w:eastAsia="Georgia" w:hAnsi="Georgia"/>
          <w:i/>
          <w:iCs/>
          <w:sz w:val="24"/>
          <w:szCs w:val="24"/>
        </w:rPr>
        <w:t xml:space="preserve">Subtitle: </w:t>
      </w:r>
      <w:r>
        <w:rPr>
          <w:rFonts w:ascii="Georgia" w:cs="Georgia" w:eastAsia="Georgia" w:hAnsi="Georgia"/>
          <w:sz w:val="24"/>
          <w:szCs w:val="24"/>
        </w:rPr>
        <w:t xml:space="preserve">Compiling governance intent into runtime enforcement</w:t>
      </w:r>
    </w:p>
    <w:p>
      <w:pPr>
        <w:spacing w:after="200" w:line="340"/>
        <w:jc w:val="both"/>
      </w:pPr>
      <w:r>
        <w:rPr>
          <w:rFonts w:ascii="Georgia" w:cs="Georgia" w:eastAsia="Georgia" w:hAnsi="Georgia"/>
          <w:b/>
          <w:bCs/>
          <w:sz w:val="24"/>
          <w:szCs w:val="24"/>
        </w:rPr>
        <w:t xml:space="preserve">Core argument: </w:t>
      </w:r>
      <w:r>
        <w:rPr>
          <w:rFonts w:ascii="Georgia" w:cs="Georgia" w:eastAsia="Georgia" w:hAnsi="Georgia"/>
          <w:sz w:val="24"/>
          <w:szCs w:val="24"/>
        </w:rPr>
        <w:t xml:space="preserve">Governance rules must be expressed as versionable, testable, deployable code—not natural language documents. A policy change is a deployment, not a memo. Policy engines evaluate rules at runtime with deterministic outcomes.</w:t>
      </w:r>
    </w:p>
    <w:p>
      <w:pPr>
        <w:spacing w:after="200" w:line="340"/>
        <w:jc w:val="both"/>
      </w:pPr>
      <w:r>
        <w:rPr>
          <w:rFonts w:ascii="Georgia" w:cs="Georgia" w:eastAsia="Georgia" w:hAnsi="Georgia"/>
          <w:b/>
          <w:bCs/>
          <w:sz w:val="24"/>
          <w:szCs w:val="24"/>
        </w:rPr>
        <w:t xml:space="preserve">Key concepts introduced: </w:t>
      </w:r>
      <w:r>
        <w:rPr>
          <w:rFonts w:ascii="Georgia" w:cs="Georgia" w:eastAsia="Georgia" w:hAnsi="Georgia"/>
          <w:sz w:val="24"/>
          <w:szCs w:val="24"/>
        </w:rPr>
        <w:t xml:space="preserve">Policy languages (OPA/Rego, Cedar), policy decision points vs. policy enforcement points, policy versioning and rollback, policy testing and simulation, policy composition across teams.</w:t>
      </w:r>
    </w:p>
    <w:p>
      <w:pPr>
        <w:spacing w:after="200" w:line="340"/>
        <w:jc w:val="both"/>
      </w:pPr>
      <w:r>
        <w:rPr>
          <w:rFonts w:ascii="Georgia" w:cs="Georgia" w:eastAsia="Georgia" w:hAnsi="Georgia"/>
          <w:b/>
          <w:bCs/>
          <w:sz w:val="24"/>
          <w:szCs w:val="24"/>
        </w:rPr>
        <w:t xml:space="preserve">Incident/Story: </w:t>
      </w:r>
      <w:r>
        <w:rPr>
          <w:rFonts w:ascii="Georgia" w:cs="Georgia" w:eastAsia="Georgia" w:hAnsi="Georgia"/>
          <w:sz w:val="24"/>
          <w:szCs w:val="24"/>
        </w:rPr>
        <w:t xml:space="preserve">A healthcare AI system serves a diagnosis recommendation that violates a state-specific medical regulation. The policy existed in a compliance wiki but was never compiled into a runtime-enforceable rule.</w:t>
      </w:r>
    </w:p>
    <w:p>
      <w:pPr>
        <w:spacing w:before="300" w:after="300"/>
        <w:jc w:val="center"/>
      </w:pPr>
      <w:r>
        <w:rPr>
          <w:rFonts w:ascii="Georgia" w:cs="Georgia" w:eastAsia="Georgia" w:hAnsi="Georgia"/>
          <w:sz w:val="24"/>
          <w:szCs w:val="24"/>
        </w:rPr>
        <w:t xml:space="preserve">∗  ∗  ∗</w:t>
      </w:r>
    </w:p>
    <w:p>
      <w:pPr>
        <w:pStyle w:val="Heading3"/>
        <w:spacing w:before="320" w:after="200"/>
      </w:pPr>
      <w:r>
        <w:rPr>
          <w:rFonts w:ascii="Arial" w:cs="Arial" w:eastAsia="Arial" w:hAnsi="Arial"/>
          <w:b/>
          <w:bCs/>
          <w:sz w:val="28"/>
          <w:szCs w:val="28"/>
        </w:rPr>
        <w:t xml:space="preserve">Chapter 6: Execution Interlocks</w:t>
      </w:r>
    </w:p>
    <w:p>
      <w:pPr>
        <w:spacing w:after="200" w:line="340"/>
        <w:jc w:val="both"/>
      </w:pPr>
      <w:r>
        <w:rPr>
          <w:rFonts w:ascii="Georgia" w:cs="Georgia" w:eastAsia="Georgia" w:hAnsi="Georgia"/>
          <w:i/>
          <w:iCs/>
          <w:sz w:val="24"/>
          <w:szCs w:val="24"/>
        </w:rPr>
        <w:t xml:space="preserve">Subtitle: </w:t>
      </w:r>
      <w:r>
        <w:rPr>
          <w:rFonts w:ascii="Georgia" w:cs="Georgia" w:eastAsia="Georgia" w:hAnsi="Georgia"/>
          <w:sz w:val="24"/>
          <w:szCs w:val="24"/>
        </w:rPr>
        <w:t xml:space="preserve">Enabling reversible autonomy and safe agent behavior</w:t>
      </w:r>
    </w:p>
    <w:p>
      <w:pPr>
        <w:spacing w:after="200" w:line="340"/>
        <w:jc w:val="both"/>
      </w:pPr>
      <w:r>
        <w:rPr>
          <w:rFonts w:ascii="Georgia" w:cs="Georgia" w:eastAsia="Georgia" w:hAnsi="Georgia"/>
          <w:b/>
          <w:bCs/>
          <w:sz w:val="24"/>
          <w:szCs w:val="24"/>
        </w:rPr>
        <w:t xml:space="preserve">Core argument: </w:t>
      </w:r>
      <w:r>
        <w:rPr>
          <w:rFonts w:ascii="Georgia" w:cs="Georgia" w:eastAsia="Georgia" w:hAnsi="Georgia"/>
          <w:sz w:val="24"/>
          <w:szCs w:val="24"/>
        </w:rPr>
        <w:t xml:space="preserve">Agents need guardrails that constrain their action space at runtime. Execution interlocks—action gates, approval workflows, rate limits, rollback hooks—transform unbounded autonomy into bounded, reversible autonomy.</w:t>
      </w:r>
    </w:p>
    <w:p>
      <w:pPr>
        <w:spacing w:after="200" w:line="340"/>
        <w:jc w:val="both"/>
      </w:pPr>
      <w:r>
        <w:rPr>
          <w:rFonts w:ascii="Georgia" w:cs="Georgia" w:eastAsia="Georgia" w:hAnsi="Georgia"/>
          <w:b/>
          <w:bCs/>
          <w:sz w:val="24"/>
          <w:szCs w:val="24"/>
        </w:rPr>
        <w:t xml:space="preserve">Key concepts introduced: </w:t>
      </w:r>
      <w:r>
        <w:rPr>
          <w:rFonts w:ascii="Georgia" w:cs="Georgia" w:eastAsia="Georgia" w:hAnsi="Georgia"/>
          <w:sz w:val="24"/>
          <w:szCs w:val="24"/>
        </w:rPr>
        <w:t xml:space="preserve">Action gates, pre/post-execution hooks, human-approval escalation patterns, rate-limiting for safety, session-scoped budgets, idempotency and rollback for AI actions, kill switches.</w:t>
      </w:r>
    </w:p>
    <w:p>
      <w:pPr>
        <w:spacing w:after="200" w:line="340"/>
        <w:jc w:val="both"/>
      </w:pPr>
      <w:r>
        <w:rPr>
          <w:rFonts w:ascii="Georgia" w:cs="Georgia" w:eastAsia="Georgia" w:hAnsi="Georgia"/>
          <w:b/>
          <w:bCs/>
          <w:sz w:val="24"/>
          <w:szCs w:val="24"/>
        </w:rPr>
        <w:t xml:space="preserve">Incident/Story: </w:t>
      </w:r>
      <w:r>
        <w:rPr>
          <w:rFonts w:ascii="Georgia" w:cs="Georgia" w:eastAsia="Georgia" w:hAnsi="Georgia"/>
          <w:sz w:val="24"/>
          <w:szCs w:val="24"/>
        </w:rPr>
        <w:t xml:space="preserve">A customer service agent enters a refund loop, issuing 340 duplicate refunds in 12 minutes because no session-level budget or rate limit constrained its refund tool access.</w:t>
      </w:r>
    </w:p>
    <w:p>
      <w:pPr>
        <w:spacing w:before="300" w:after="300"/>
        <w:jc w:val="center"/>
      </w:pPr>
      <w:r>
        <w:rPr>
          <w:rFonts w:ascii="Georgia" w:cs="Georgia" w:eastAsia="Georgia" w:hAnsi="Georgia"/>
          <w:sz w:val="24"/>
          <w:szCs w:val="24"/>
        </w:rPr>
        <w:t xml:space="preserve">∗  ∗  ∗</w:t>
      </w:r>
    </w:p>
    <w:p>
      <w:pPr>
        <w:pStyle w:val="Heading3"/>
        <w:spacing w:before="320" w:after="200"/>
      </w:pPr>
      <w:r>
        <w:rPr>
          <w:rFonts w:ascii="Arial" w:cs="Arial" w:eastAsia="Arial" w:hAnsi="Arial"/>
          <w:b/>
          <w:bCs/>
          <w:sz w:val="28"/>
          <w:szCs w:val="28"/>
        </w:rPr>
        <w:t xml:space="preserve">Chapter 7: Provenance and Attestation</w:t>
      </w:r>
    </w:p>
    <w:p>
      <w:pPr>
        <w:spacing w:after="200" w:line="340"/>
        <w:jc w:val="both"/>
      </w:pPr>
      <w:r>
        <w:rPr>
          <w:rFonts w:ascii="Georgia" w:cs="Georgia" w:eastAsia="Georgia" w:hAnsi="Georgia"/>
          <w:i/>
          <w:iCs/>
          <w:sz w:val="24"/>
          <w:szCs w:val="24"/>
        </w:rPr>
        <w:t xml:space="preserve">Subtitle: </w:t>
      </w:r>
      <w:r>
        <w:rPr>
          <w:rFonts w:ascii="Georgia" w:cs="Georgia" w:eastAsia="Georgia" w:hAnsi="Georgia"/>
          <w:sz w:val="24"/>
          <w:szCs w:val="24"/>
        </w:rPr>
        <w:t xml:space="preserve">Making AI actions provable end-to-end</w:t>
      </w:r>
    </w:p>
    <w:p>
      <w:pPr>
        <w:spacing w:after="200" w:line="340"/>
        <w:jc w:val="both"/>
      </w:pPr>
      <w:r>
        <w:rPr>
          <w:rFonts w:ascii="Georgia" w:cs="Georgia" w:eastAsia="Georgia" w:hAnsi="Georgia"/>
          <w:b/>
          <w:bCs/>
          <w:sz w:val="24"/>
          <w:szCs w:val="24"/>
        </w:rPr>
        <w:t xml:space="preserve">Core argument: </w:t>
      </w:r>
      <w:r>
        <w:rPr>
          <w:rFonts w:ascii="Georgia" w:cs="Georgia" w:eastAsia="Georgia" w:hAnsi="Georgia"/>
          <w:sz w:val="24"/>
          <w:szCs w:val="24"/>
        </w:rPr>
        <w:t xml:space="preserve">Explainability tells you what a system did. Provenance tells you what it did with cryptographic proof. Born-auditable systems produce attestation records as a byproduct of operation, making behavior provable rather than merely explainable.</w:t>
      </w:r>
    </w:p>
    <w:p>
      <w:pPr>
        <w:spacing w:after="200" w:line="340"/>
        <w:jc w:val="both"/>
      </w:pPr>
      <w:r>
        <w:rPr>
          <w:rFonts w:ascii="Georgia" w:cs="Georgia" w:eastAsia="Georgia" w:hAnsi="Georgia"/>
          <w:b/>
          <w:bCs/>
          <w:sz w:val="24"/>
          <w:szCs w:val="24"/>
        </w:rPr>
        <w:t xml:space="preserve">Key concepts introduced: </w:t>
      </w:r>
      <w:r>
        <w:rPr>
          <w:rFonts w:ascii="Georgia" w:cs="Georgia" w:eastAsia="Georgia" w:hAnsi="Georgia"/>
          <w:sz w:val="24"/>
          <w:szCs w:val="24"/>
        </w:rPr>
        <w:t xml:space="preserve">Provenance graphs, model version attestation, data lineage in inference paths, cryptographic signing of decision records, supply chain security for AI (SLSA for models), tamper-evident audit trails.</w:t>
      </w:r>
    </w:p>
    <w:p>
      <w:pPr>
        <w:spacing w:after="200" w:line="340"/>
        <w:jc w:val="both"/>
      </w:pPr>
      <w:r>
        <w:rPr>
          <w:rFonts w:ascii="Georgia" w:cs="Georgia" w:eastAsia="Georgia" w:hAnsi="Georgia"/>
          <w:b/>
          <w:bCs/>
          <w:sz w:val="24"/>
          <w:szCs w:val="24"/>
        </w:rPr>
        <w:t xml:space="preserve">Incident/Story: </w:t>
      </w:r>
      <w:r>
        <w:rPr>
          <w:rFonts w:ascii="Georgia" w:cs="Georgia" w:eastAsia="Georgia" w:hAnsi="Georgia"/>
          <w:sz w:val="24"/>
          <w:szCs w:val="24"/>
        </w:rPr>
        <w:t xml:space="preserve">A regulatory auditor asks “which model version produced this decision, using what data, under what policy?” and the organization cannot answer because no provenance chain exists.</w:t>
      </w:r>
    </w:p>
    <w:p>
      <w:pPr>
        <w:spacing w:before="300" w:after="300"/>
        <w:jc w:val="center"/>
      </w:pPr>
      <w:r>
        <w:rPr>
          <w:rFonts w:ascii="Georgia" w:cs="Georgia" w:eastAsia="Georgia" w:hAnsi="Georgia"/>
          <w:sz w:val="24"/>
          <w:szCs w:val="24"/>
        </w:rPr>
        <w:t xml:space="preserve">∗  ∗  ∗</w:t>
      </w:r>
    </w:p>
    <w:p>
      <w:pPr>
        <w:pStyle w:val="Heading3"/>
        <w:spacing w:before="320" w:after="200"/>
      </w:pPr>
      <w:r>
        <w:rPr>
          <w:rFonts w:ascii="Arial" w:cs="Arial" w:eastAsia="Arial" w:hAnsi="Arial"/>
          <w:b/>
          <w:bCs/>
          <w:sz w:val="28"/>
          <w:szCs w:val="28"/>
        </w:rPr>
        <w:t xml:space="preserve">Chapter 8: Governance Observability and SLOs</w:t>
      </w:r>
    </w:p>
    <w:p>
      <w:pPr>
        <w:spacing w:after="200" w:line="340"/>
        <w:jc w:val="both"/>
      </w:pPr>
      <w:r>
        <w:rPr>
          <w:rFonts w:ascii="Georgia" w:cs="Georgia" w:eastAsia="Georgia" w:hAnsi="Georgia"/>
          <w:i/>
          <w:iCs/>
          <w:sz w:val="24"/>
          <w:szCs w:val="24"/>
        </w:rPr>
        <w:t xml:space="preserve">Subtitle: </w:t>
      </w:r>
      <w:r>
        <w:rPr>
          <w:rFonts w:ascii="Georgia" w:cs="Georgia" w:eastAsia="Georgia" w:hAnsi="Georgia"/>
          <w:sz w:val="24"/>
          <w:szCs w:val="24"/>
        </w:rPr>
        <w:t xml:space="preserve">Treating trustworthiness as an operational metric</w:t>
      </w:r>
    </w:p>
    <w:p>
      <w:pPr>
        <w:spacing w:after="200" w:line="340"/>
        <w:jc w:val="both"/>
      </w:pPr>
      <w:r>
        <w:rPr>
          <w:rFonts w:ascii="Georgia" w:cs="Georgia" w:eastAsia="Georgia" w:hAnsi="Georgia"/>
          <w:b/>
          <w:bCs/>
          <w:sz w:val="24"/>
          <w:szCs w:val="24"/>
        </w:rPr>
        <w:t xml:space="preserve">Core argument: </w:t>
      </w:r>
      <w:r>
        <w:rPr>
          <w:rFonts w:ascii="Georgia" w:cs="Georgia" w:eastAsia="Georgia" w:hAnsi="Georgia"/>
          <w:sz w:val="24"/>
          <w:szCs w:val="24"/>
        </w:rPr>
        <w:t xml:space="preserve">Trustworthiness is measured and monitored like uptime. Governance SLIs (policy decision latency, enforcement coverage, audit completeness) feed governance SLOs with error budgets, alerting, and incident response.</w:t>
      </w:r>
    </w:p>
    <w:p>
      <w:pPr>
        <w:spacing w:after="200" w:line="340"/>
        <w:jc w:val="both"/>
      </w:pPr>
      <w:r>
        <w:rPr>
          <w:rFonts w:ascii="Georgia" w:cs="Georgia" w:eastAsia="Georgia" w:hAnsi="Georgia"/>
          <w:b/>
          <w:bCs/>
          <w:sz w:val="24"/>
          <w:szCs w:val="24"/>
        </w:rPr>
        <w:t xml:space="preserve">Key concepts introduced: </w:t>
      </w:r>
      <w:r>
        <w:rPr>
          <w:rFonts w:ascii="Georgia" w:cs="Georgia" w:eastAsia="Georgia" w:hAnsi="Georgia"/>
          <w:sz w:val="24"/>
          <w:szCs w:val="24"/>
        </w:rPr>
        <w:t xml:space="preserve">Governance SLIs and SLOs, enforcement coverage metrics, governance dashboards, drift detection, continuous compliance monitoring, governance incident response playbooks.</w:t>
      </w:r>
    </w:p>
    <w:p>
      <w:pPr>
        <w:spacing w:after="200" w:line="340"/>
        <w:jc w:val="both"/>
      </w:pPr>
      <w:r>
        <w:rPr>
          <w:rFonts w:ascii="Georgia" w:cs="Georgia" w:eastAsia="Georgia" w:hAnsi="Georgia"/>
          <w:b/>
          <w:bCs/>
          <w:sz w:val="24"/>
          <w:szCs w:val="24"/>
        </w:rPr>
        <w:t xml:space="preserve">Incident/Story: </w:t>
      </w:r>
      <w:r>
        <w:rPr>
          <w:rFonts w:ascii="Georgia" w:cs="Georgia" w:eastAsia="Georgia" w:hAnsi="Georgia"/>
          <w:sz w:val="24"/>
          <w:szCs w:val="24"/>
        </w:rPr>
        <w:t xml:space="preserve">An organization discovers during an annual audit that 23% of AI decisions over the past quarter bypassed the policy engine due to a load balancer misconfiguration. No governance observability existed to detect the gap in real time.</w:t>
      </w:r>
    </w:p>
    <w:p>
      <w:pPr>
        <w:spacing w:before="300" w:after="300"/>
        <w:jc w:val="center"/>
      </w:pPr>
      <w:r>
        <w:rPr>
          <w:rFonts w:ascii="Georgia" w:cs="Georgia" w:eastAsia="Georgia" w:hAnsi="Georgia"/>
          <w:sz w:val="24"/>
          <w:szCs w:val="24"/>
        </w:rPr>
        <w:t xml:space="preserve">∗  ∗  ∗</w:t>
      </w:r>
    </w:p>
    <w:p>
      <w:pPr>
        <w:pStyle w:val="Heading3"/>
        <w:spacing w:before="320" w:after="200"/>
      </w:pPr>
      <w:r>
        <w:rPr>
          <w:rFonts w:ascii="Arial" w:cs="Arial" w:eastAsia="Arial" w:hAnsi="Arial"/>
          <w:b/>
          <w:bCs/>
          <w:sz w:val="28"/>
          <w:szCs w:val="28"/>
        </w:rPr>
        <w:t xml:space="preserve">Chapter 9: Failure Modes and Recovery Patterns</w:t>
      </w:r>
    </w:p>
    <w:p>
      <w:pPr>
        <w:spacing w:after="200" w:line="340"/>
        <w:jc w:val="both"/>
      </w:pPr>
      <w:r>
        <w:rPr>
          <w:rFonts w:ascii="Georgia" w:cs="Georgia" w:eastAsia="Georgia" w:hAnsi="Georgia"/>
          <w:i/>
          <w:iCs/>
          <w:sz w:val="24"/>
          <w:szCs w:val="24"/>
        </w:rPr>
        <w:t xml:space="preserve">Subtitle: </w:t>
      </w:r>
      <w:r>
        <w:rPr>
          <w:rFonts w:ascii="Georgia" w:cs="Georgia" w:eastAsia="Georgia" w:hAnsi="Georgia"/>
          <w:sz w:val="24"/>
          <w:szCs w:val="24"/>
        </w:rPr>
        <w:t xml:space="preserve">Operating governance systems under partial outage</w:t>
      </w:r>
    </w:p>
    <w:p>
      <w:pPr>
        <w:spacing w:after="200" w:line="340"/>
        <w:jc w:val="both"/>
      </w:pPr>
      <w:r>
        <w:rPr>
          <w:rFonts w:ascii="Georgia" w:cs="Georgia" w:eastAsia="Georgia" w:hAnsi="Georgia"/>
          <w:b/>
          <w:bCs/>
          <w:sz w:val="24"/>
          <w:szCs w:val="24"/>
        </w:rPr>
        <w:t xml:space="preserve">Core argument: </w:t>
      </w:r>
      <w:r>
        <w:rPr>
          <w:rFonts w:ascii="Georgia" w:cs="Georgia" w:eastAsia="Georgia" w:hAnsi="Georgia"/>
          <w:sz w:val="24"/>
          <w:szCs w:val="24"/>
        </w:rPr>
        <w:t xml:space="preserve">Governance systems fail. The question is whether they fail safely. Fail-open, fail-closed, and graceful degradation are design choices, not accidents. Chaos engineering applies to governance infrastructure.</w:t>
      </w:r>
    </w:p>
    <w:p>
      <w:pPr>
        <w:spacing w:after="200" w:line="340"/>
        <w:jc w:val="both"/>
      </w:pPr>
      <w:r>
        <w:rPr>
          <w:rFonts w:ascii="Georgia" w:cs="Georgia" w:eastAsia="Georgia" w:hAnsi="Georgia"/>
          <w:b/>
          <w:bCs/>
          <w:sz w:val="24"/>
          <w:szCs w:val="24"/>
        </w:rPr>
        <w:t xml:space="preserve">Key concepts introduced: </w:t>
      </w:r>
      <w:r>
        <w:rPr>
          <w:rFonts w:ascii="Georgia" w:cs="Georgia" w:eastAsia="Georgia" w:hAnsi="Georgia"/>
          <w:sz w:val="24"/>
          <w:szCs w:val="24"/>
        </w:rPr>
        <w:t xml:space="preserve">Governance failure taxonomy, fail-open vs. fail-closed analysis, graceful degradation strategies, recovery patterns (decision replay, log backfill, policy reconciliation), chaos engineering for governance, resilience testing.</w:t>
      </w:r>
    </w:p>
    <w:p>
      <w:pPr>
        <w:spacing w:after="200" w:line="340"/>
        <w:jc w:val="both"/>
      </w:pPr>
      <w:r>
        <w:rPr>
          <w:rFonts w:ascii="Georgia" w:cs="Georgia" w:eastAsia="Georgia" w:hAnsi="Georgia"/>
          <w:b/>
          <w:bCs/>
          <w:sz w:val="24"/>
          <w:szCs w:val="24"/>
        </w:rPr>
        <w:t xml:space="preserve">Incident/Story: </w:t>
      </w:r>
      <w:r>
        <w:rPr>
          <w:rFonts w:ascii="Georgia" w:cs="Georgia" w:eastAsia="Georgia" w:hAnsi="Georgia"/>
          <w:sz w:val="24"/>
          <w:szCs w:val="24"/>
        </w:rPr>
        <w:t xml:space="preserve">The policy engine goes down for 47 minutes. The system fails open—all actions are allowed without governance checks. 12,000 unreviewed decisions are made during the outage. The team discovers there is no replay mechanism.</w:t>
      </w:r>
    </w:p>
    <w:p>
      <w:pPr>
        <w:spacing w:before="300" w:after="300"/>
        <w:jc w:val="center"/>
      </w:pPr>
      <w:r>
        <w:rPr>
          <w:rFonts w:ascii="Georgia" w:cs="Georgia" w:eastAsia="Georgia" w:hAnsi="Georgia"/>
          <w:sz w:val="24"/>
          <w:szCs w:val="24"/>
        </w:rPr>
        <w:t xml:space="preserve">∗  ∗  ∗</w:t>
      </w:r>
    </w:p>
    <w:p>
      <w:pPr>
        <w:pStyle w:val="Heading3"/>
        <w:spacing w:before="320" w:after="200"/>
      </w:pPr>
      <w:r>
        <w:rPr>
          <w:rFonts w:ascii="Arial" w:cs="Arial" w:eastAsia="Arial" w:hAnsi="Arial"/>
          <w:b/>
          <w:bCs/>
          <w:sz w:val="28"/>
          <w:szCs w:val="28"/>
        </w:rPr>
        <w:t xml:space="preserve">Chapter 10: Building Governance-First Organizations</w:t>
      </w:r>
    </w:p>
    <w:p>
      <w:pPr>
        <w:spacing w:after="200" w:line="340"/>
        <w:jc w:val="both"/>
      </w:pPr>
      <w:r>
        <w:rPr>
          <w:rFonts w:ascii="Georgia" w:cs="Georgia" w:eastAsia="Georgia" w:hAnsi="Georgia"/>
          <w:i/>
          <w:iCs/>
          <w:sz w:val="24"/>
          <w:szCs w:val="24"/>
        </w:rPr>
        <w:t xml:space="preserve">Subtitle: </w:t>
      </w:r>
      <w:r>
        <w:rPr>
          <w:rFonts w:ascii="Georgia" w:cs="Georgia" w:eastAsia="Georgia" w:hAnsi="Georgia"/>
          <w:sz w:val="24"/>
          <w:szCs w:val="24"/>
        </w:rPr>
        <w:t xml:space="preserve">From architecture to operating model</w:t>
      </w:r>
    </w:p>
    <w:p>
      <w:pPr>
        <w:spacing w:after="200" w:line="340"/>
        <w:jc w:val="both"/>
      </w:pPr>
      <w:r>
        <w:rPr>
          <w:rFonts w:ascii="Georgia" w:cs="Georgia" w:eastAsia="Georgia" w:hAnsi="Georgia"/>
          <w:b/>
          <w:bCs/>
          <w:sz w:val="24"/>
          <w:szCs w:val="24"/>
        </w:rPr>
        <w:t xml:space="preserve">Core argument: </w:t>
      </w:r>
      <w:r>
        <w:rPr>
          <w:rFonts w:ascii="Georgia" w:cs="Georgia" w:eastAsia="Georgia" w:hAnsi="Georgia"/>
          <w:sz w:val="24"/>
          <w:szCs w:val="24"/>
        </w:rPr>
        <w:t xml:space="preserve">Technology alone doesn’t create governance. Organizational structures, team topologies, incentives, and migration strategies determine whether a control plane is adopted or abandoned. Governance must become a platform product with APIs, SLAs, and developer experience.</w:t>
      </w:r>
    </w:p>
    <w:p>
      <w:pPr>
        <w:spacing w:after="200" w:line="340"/>
        <w:jc w:val="both"/>
      </w:pPr>
      <w:r>
        <w:rPr>
          <w:rFonts w:ascii="Georgia" w:cs="Georgia" w:eastAsia="Georgia" w:hAnsi="Georgia"/>
          <w:b/>
          <w:bCs/>
          <w:sz w:val="24"/>
          <w:szCs w:val="24"/>
        </w:rPr>
        <w:t xml:space="preserve">Key concepts introduced: </w:t>
      </w:r>
      <w:r>
        <w:rPr>
          <w:rFonts w:ascii="Georgia" w:cs="Georgia" w:eastAsia="Georgia" w:hAnsi="Georgia"/>
          <w:sz w:val="24"/>
          <w:szCs w:val="24"/>
        </w:rPr>
        <w:t xml:space="preserve">Governance as a platform product, centralized vs. federated ownership models, shift-left governance, migration playbook from paper to systems-first governance, governance maturity model, future directions.</w:t>
      </w:r>
    </w:p>
    <w:p>
      <w:pPr>
        <w:spacing w:after="200" w:line="340"/>
        <w:jc w:val="both"/>
      </w:pPr>
      <w:r>
        <w:rPr>
          <w:rFonts w:ascii="Georgia" w:cs="Georgia" w:eastAsia="Georgia" w:hAnsi="Georgia"/>
          <w:b/>
          <w:bCs/>
          <w:sz w:val="24"/>
          <w:szCs w:val="24"/>
        </w:rPr>
        <w:t xml:space="preserve">Incident/Story: </w:t>
      </w:r>
      <w:r>
        <w:rPr>
          <w:rFonts w:ascii="Georgia" w:cs="Georgia" w:eastAsia="Georgia" w:hAnsi="Georgia"/>
          <w:sz w:val="24"/>
          <w:szCs w:val="24"/>
        </w:rPr>
        <w:t xml:space="preserve">An organization builds a technically excellent control plane that nobody uses because the developer experience is terrible and teams route around it. A second attempt succeeds by treating governance as an internal product.</w:t>
      </w:r>
    </w:p>
    <w:p>
      <w:r>
        <w:r>
          <w:br w:type="page"/>
        </w:r>
      </w:r>
    </w:p>
    <w:p>
      <w:pPr>
        <w:pStyle w:val="Heading1"/>
        <w:spacing w:before="480" w:after="300"/>
      </w:pPr>
      <w:r>
        <w:rPr>
          <w:rFonts w:ascii="Arial" w:cs="Arial" w:eastAsia="Arial" w:hAnsi="Arial"/>
          <w:b/>
          <w:bCs/>
          <w:sz w:val="40"/>
          <w:szCs w:val="40"/>
        </w:rPr>
        <w:t xml:space="preserve">Part 2: Chapter Template and Style Guide</w:t>
      </w:r>
    </w:p>
    <w:p>
      <w:pPr>
        <w:spacing w:after="200" w:line="340"/>
        <w:jc w:val="both"/>
      </w:pPr>
      <w:r>
        <w:rPr>
          <w:rFonts w:ascii="Georgia" w:cs="Georgia" w:eastAsia="Georgia" w:hAnsi="Georgia"/>
          <w:sz w:val="24"/>
          <w:szCs w:val="24"/>
        </w:rPr>
        <w:t xml:space="preserve">Every chapter follows the exact same five-section structure. This is the book’s rhythmic DNA. A reader who finishes Chapter 1 should know, without being told, what to expect from Chapter 2. Consistency builds trust and aids comprehension.</w:t>
      </w:r>
    </w:p>
    <w:p>
      <w:pPr>
        <w:pStyle w:val="Heading2"/>
        <w:spacing w:before="400" w:after="240"/>
      </w:pPr>
      <w:r>
        <w:rPr>
          <w:rFonts w:ascii="Arial" w:cs="Arial" w:eastAsia="Arial" w:hAnsi="Arial"/>
          <w:b/>
          <w:bCs/>
          <w:sz w:val="32"/>
          <w:szCs w:val="32"/>
        </w:rPr>
        <w:t xml:space="preserve">The Five-Section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Target Length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What This Chapter Covers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 roadmap. Tell the reader exactly what they’ll learn and why it matters. Preview the key concepts, the incident, and how this chapter connects to the book’s arc.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500–700 words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II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What Is Broken Today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problem statement. Open with a concrete incident (fictional but structurally representative), then diagnose the systemic failures that made the incident possible. Establish urgency.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1,200–1,800 words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III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Principles and Core Concepts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engineering substance. Introduce the mental models, definitions, frameworks, and technical concepts that the reader needs. This is the “learn” section.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2,000–2,500 words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IV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Architecture and System 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blueprint. Translate principles into concrete system design: components, APIs, data flows, enforcement points, trust boundaries, failure modes. Include architecture callout boxes.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1,500–2,000 words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Key Takeaways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crystallization. 5–7 bold-led takeaway paragraphs that distill the chapter’s arguments into portable, memorable principles. End with a transition sentence to the next chapter.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600–900 words</w:t>
            </w:r>
          </w:p>
        </w:tc>
      </w:tr>
    </w:tbl>
    <w:p>
      <w:pPr>
        <w:spacing w:before="300"/>
      </w:pPr>
    </w:p>
    <w:p>
      <w:pPr>
        <w:spacing w:after="200" w:line="340"/>
        <w:jc w:val="both"/>
      </w:pPr>
      <w:r>
        <w:rPr>
          <w:rFonts w:ascii="Georgia" w:cs="Georgia" w:eastAsia="Georgia" w:hAnsi="Georgia"/>
          <w:b/>
          <w:bCs/>
          <w:sz w:val="24"/>
          <w:szCs w:val="24"/>
        </w:rPr>
        <w:t xml:space="preserve">Total target per chapter: 6,000–8,000 words.</w:t>
      </w:r>
      <w:r>
        <w:rPr>
          <w:rFonts w:ascii="Georgia" w:cs="Georgia" w:eastAsia="Georgia" w:hAnsi="Georgia"/>
          <w:sz w:val="24"/>
          <w:szCs w:val="24"/>
        </w:rPr>
        <w:t xml:space="preserve"> This is substantial enough for a technical book chapter while remaining focused. Chapters 3 (reference architecture) and 10 (organizational) may run slightly longer.</w:t>
      </w:r>
    </w:p>
    <w:p>
      <w:pPr>
        <w:pStyle w:val="Heading2"/>
        <w:spacing w:before="400" w:after="240"/>
      </w:pPr>
      <w:r>
        <w:rPr>
          <w:rFonts w:ascii="Arial" w:cs="Arial" w:eastAsia="Arial" w:hAnsi="Arial"/>
          <w:b/>
          <w:bCs/>
          <w:sz w:val="32"/>
          <w:szCs w:val="32"/>
        </w:rPr>
        <w:t xml:space="preserve">Section-by-Section Rules</w:t>
      </w:r>
    </w:p>
    <w:p>
      <w:pPr>
        <w:pStyle w:val="Heading3"/>
        <w:spacing w:before="320" w:after="200"/>
      </w:pPr>
      <w:r>
        <w:rPr>
          <w:rFonts w:ascii="Arial" w:cs="Arial" w:eastAsia="Arial" w:hAnsi="Arial"/>
          <w:b/>
          <w:bCs/>
          <w:sz w:val="28"/>
          <w:szCs w:val="28"/>
        </w:rPr>
        <w:t xml:space="preserve">Section I: What This Chapter Covers</w:t>
      </w:r>
    </w:p>
    <w:p>
      <w:pPr>
        <w:pStyle w:val="ListParagraph"/>
        <w:numPr>
          <w:ilvl w:val="0"/>
          <w:numId w:val="2"/>
        </w:numPr>
        <w:spacing w:after="140" w:line="320"/>
      </w:pPr>
      <w:r>
        <w:rPr>
          <w:rFonts w:ascii="Georgia" w:cs="Georgia" w:eastAsia="Georgia" w:hAnsi="Georgia"/>
          <w:sz w:val="24"/>
          <w:szCs w:val="24"/>
        </w:rPr>
        <w:t xml:space="preserve">Opens immediately after the chapter title page and epigraph.</w:t>
      </w:r>
    </w:p>
    <w:p>
      <w:pPr>
        <w:pStyle w:val="ListParagraph"/>
        <w:numPr>
          <w:ilvl w:val="0"/>
          <w:numId w:val="2"/>
        </w:numPr>
        <w:spacing w:after="140" w:line="320"/>
      </w:pPr>
      <w:r>
        <w:rPr>
          <w:rFonts w:ascii="Georgia" w:cs="Georgia" w:eastAsia="Georgia" w:hAnsi="Georgia"/>
          <w:sz w:val="24"/>
          <w:szCs w:val="24"/>
        </w:rPr>
        <w:t xml:space="preserve">Written in second person (“you will learn”, “you will walk away with”).</w:t>
      </w:r>
    </w:p>
    <w:p>
      <w:pPr>
        <w:pStyle w:val="ListParagraph"/>
        <w:numPr>
          <w:ilvl w:val="0"/>
          <w:numId w:val="2"/>
        </w:numPr>
        <w:spacing w:after="140" w:line="320"/>
      </w:pPr>
      <w:r>
        <w:rPr>
          <w:rFonts w:ascii="Georgia" w:cs="Georgia" w:eastAsia="Georgia" w:hAnsi="Georgia"/>
          <w:sz w:val="24"/>
          <w:szCs w:val="24"/>
        </w:rPr>
        <w:t xml:space="preserve">Enumerates 4–5 specific things the reader will gain. Each item is a paragraph, not a bullet.</w:t>
      </w:r>
    </w:p>
    <w:p>
      <w:pPr>
        <w:pStyle w:val="ListParagraph"/>
        <w:numPr>
          <w:ilvl w:val="0"/>
          <w:numId w:val="2"/>
        </w:numPr>
        <w:spacing w:after="140" w:line="320"/>
      </w:pPr>
      <w:r>
        <w:rPr>
          <w:rFonts w:ascii="Georgia" w:cs="Georgia" w:eastAsia="Georgia" w:hAnsi="Georgia"/>
          <w:sz w:val="24"/>
          <w:szCs w:val="24"/>
        </w:rPr>
        <w:t xml:space="preserve">The final paragraph previews how this chapter connects to the next chapter.</w:t>
      </w:r>
    </w:p>
    <w:p>
      <w:pPr>
        <w:pStyle w:val="ListParagraph"/>
        <w:numPr>
          <w:ilvl w:val="0"/>
          <w:numId w:val="2"/>
        </w:numPr>
        <w:spacing w:after="140" w:line="320"/>
      </w:pPr>
      <w:r>
        <w:rPr>
          <w:rFonts w:ascii="Georgia" w:cs="Georgia" w:eastAsia="Georgia" w:hAnsi="Georgia"/>
          <w:sz w:val="24"/>
          <w:szCs w:val="24"/>
        </w:rPr>
        <w:t xml:space="preserve">Tone: direct, confident, promise-making. No hedging.</w:t>
      </w:r>
    </w:p>
    <w:p>
      <w:pPr>
        <w:pStyle w:val="Heading3"/>
        <w:spacing w:before="320" w:after="200"/>
      </w:pPr>
      <w:r>
        <w:rPr>
          <w:rFonts w:ascii="Arial" w:cs="Arial" w:eastAsia="Arial" w:hAnsi="Arial"/>
          <w:b/>
          <w:bCs/>
          <w:sz w:val="28"/>
          <w:szCs w:val="28"/>
        </w:rPr>
        <w:t xml:space="preserve">Section II: What Is Broken Today</w:t>
      </w:r>
    </w:p>
    <w:p>
      <w:pPr>
        <w:pStyle w:val="ListParagraph"/>
        <w:numPr>
          <w:ilvl w:val="0"/>
          <w:numId w:val="2"/>
        </w:numPr>
        <w:spacing w:after="140" w:line="320"/>
      </w:pPr>
      <w:r>
        <w:rPr>
          <w:rFonts w:ascii="Georgia" w:cs="Georgia" w:eastAsia="Georgia" w:hAnsi="Georgia"/>
          <w:b/>
          <w:bCs/>
          <w:sz w:val="24"/>
          <w:szCs w:val="24"/>
        </w:rPr>
        <w:t xml:space="preserve">Always opens with a concrete incident.</w:t>
      </w:r>
      <w:r>
        <w:rPr>
          <w:rFonts w:ascii="Georgia" w:cs="Georgia" w:eastAsia="Georgia" w:hAnsi="Georgia"/>
          <w:sz w:val="24"/>
          <w:szCs w:val="24"/>
        </w:rPr>
        <w:t xml:space="preserve"> Every chapter has one. The incident is fictional in specifics but structurally representative of real-world failures. It must be technically precise enough that a staff engineer would nod in recognition.</w:t>
      </w:r>
    </w:p>
    <w:p>
      <w:pPr>
        <w:pStyle w:val="ListParagraph"/>
        <w:numPr>
          <w:ilvl w:val="0"/>
          <w:numId w:val="2"/>
        </w:numPr>
        <w:spacing w:after="140" w:line="320"/>
      </w:pPr>
      <w:r>
        <w:rPr>
          <w:rFonts w:ascii="Georgia" w:cs="Georgia" w:eastAsia="Georgia" w:hAnsi="Georgia"/>
          <w:sz w:val="24"/>
          <w:szCs w:val="24"/>
        </w:rPr>
        <w:t xml:space="preserve">The incident is followed by diagnosis: what systemic failures made this possible?</w:t>
      </w:r>
    </w:p>
    <w:p>
      <w:pPr>
        <w:pStyle w:val="ListParagraph"/>
        <w:numPr>
          <w:ilvl w:val="0"/>
          <w:numId w:val="2"/>
        </w:numPr>
        <w:spacing w:after="140" w:line="320"/>
      </w:pPr>
      <w:r>
        <w:rPr>
          <w:rFonts w:ascii="Georgia" w:cs="Georgia" w:eastAsia="Georgia" w:hAnsi="Georgia"/>
          <w:sz w:val="24"/>
          <w:szCs w:val="24"/>
        </w:rPr>
        <w:t xml:space="preserve">Name the failures explicitly. Use bold-led paragraphs (e.g., “Stale artifacts. Model cards describe...”).</w:t>
      </w:r>
    </w:p>
    <w:p>
      <w:pPr>
        <w:pStyle w:val="ListParagraph"/>
        <w:numPr>
          <w:ilvl w:val="0"/>
          <w:numId w:val="2"/>
        </w:numPr>
        <w:spacing w:after="140" w:line="320"/>
      </w:pPr>
      <w:r>
        <w:rPr>
          <w:rFonts w:ascii="Georgia" w:cs="Georgia" w:eastAsia="Georgia" w:hAnsi="Georgia"/>
          <w:sz w:val="24"/>
          <w:szCs w:val="24"/>
        </w:rPr>
        <w:t xml:space="preserve">End with a callout box that synthesizes the common thread across failures.</w:t>
      </w:r>
    </w:p>
    <w:p>
      <w:pPr>
        <w:pStyle w:val="ListParagraph"/>
        <w:numPr>
          <w:ilvl w:val="0"/>
          <w:numId w:val="2"/>
        </w:numPr>
        <w:spacing w:after="140" w:line="320"/>
      </w:pPr>
      <w:r>
        <w:rPr>
          <w:rFonts w:ascii="Georgia" w:cs="Georgia" w:eastAsia="Georgia" w:hAnsi="Georgia"/>
          <w:sz w:val="24"/>
          <w:szCs w:val="24"/>
        </w:rPr>
        <w:t xml:space="preserve">Tone: storytelling meets forensic analysis. The incident hooks; the diagnosis educates.</w:t>
      </w:r>
    </w:p>
    <w:p>
      <w:pPr>
        <w:pStyle w:val="Heading3"/>
        <w:spacing w:before="320" w:after="200"/>
      </w:pPr>
      <w:r>
        <w:rPr>
          <w:rFonts w:ascii="Arial" w:cs="Arial" w:eastAsia="Arial" w:hAnsi="Arial"/>
          <w:b/>
          <w:bCs/>
          <w:sz w:val="28"/>
          <w:szCs w:val="28"/>
        </w:rPr>
        <w:t xml:space="preserve">Section III: Principles and Core Concepts</w:t>
      </w:r>
    </w:p>
    <w:p>
      <w:pPr>
        <w:pStyle w:val="ListParagraph"/>
        <w:numPr>
          <w:ilvl w:val="0"/>
          <w:numId w:val="2"/>
        </w:numPr>
        <w:spacing w:after="140" w:line="320"/>
      </w:pPr>
      <w:r>
        <w:rPr>
          <w:rFonts w:ascii="Georgia" w:cs="Georgia" w:eastAsia="Georgia" w:hAnsi="Georgia"/>
          <w:sz w:val="24"/>
          <w:szCs w:val="24"/>
        </w:rPr>
        <w:t xml:space="preserve">This is the intellectual core of the chapter. It introduces new concepts, defines terms, and builds the mental model.</w:t>
      </w:r>
    </w:p>
    <w:p>
      <w:pPr>
        <w:pStyle w:val="ListParagraph"/>
        <w:numPr>
          <w:ilvl w:val="0"/>
          <w:numId w:val="2"/>
        </w:numPr>
        <w:spacing w:after="140" w:line="320"/>
      </w:pPr>
      <w:r>
        <w:rPr>
          <w:rFonts w:ascii="Georgia" w:cs="Georgia" w:eastAsia="Georgia" w:hAnsi="Georgia"/>
          <w:b/>
          <w:bCs/>
          <w:sz w:val="24"/>
          <w:szCs w:val="24"/>
        </w:rPr>
        <w:t xml:space="preserve">Every new term is defined in bold on first use</w:t>
      </w:r>
      <w:r>
        <w:rPr>
          <w:rFonts w:ascii="Georgia" w:cs="Georgia" w:eastAsia="Georgia" w:hAnsi="Georgia"/>
          <w:sz w:val="24"/>
          <w:szCs w:val="24"/>
        </w:rPr>
        <w:t xml:space="preserve"> with a precise, reusable definition.</w:t>
      </w:r>
    </w:p>
    <w:p>
      <w:pPr>
        <w:pStyle w:val="ListParagraph"/>
        <w:numPr>
          <w:ilvl w:val="0"/>
          <w:numId w:val="2"/>
        </w:numPr>
        <w:spacing w:after="140" w:line="320"/>
      </w:pPr>
      <w:r>
        <w:rPr>
          <w:rFonts w:ascii="Georgia" w:cs="Georgia" w:eastAsia="Georgia" w:hAnsi="Georgia"/>
          <w:sz w:val="24"/>
          <w:szCs w:val="24"/>
        </w:rPr>
        <w:t xml:space="preserve">Use analogies to distributed systems patterns the audience already knows (service meshes, circuit breakers, consensus protocols, etc.).</w:t>
      </w:r>
    </w:p>
    <w:p>
      <w:pPr>
        <w:pStyle w:val="ListParagraph"/>
        <w:numPr>
          <w:ilvl w:val="0"/>
          <w:numId w:val="2"/>
        </w:numPr>
        <w:spacing w:after="140" w:line="320"/>
      </w:pPr>
      <w:r>
        <w:rPr>
          <w:rFonts w:ascii="Georgia" w:cs="Georgia" w:eastAsia="Georgia" w:hAnsi="Georgia"/>
          <w:sz w:val="24"/>
          <w:szCs w:val="24"/>
        </w:rPr>
        <w:t xml:space="preserve">Subsections (H3) break the content into 3–5 distinct concepts.</w:t>
      </w:r>
    </w:p>
    <w:p>
      <w:pPr>
        <w:pStyle w:val="ListParagraph"/>
        <w:numPr>
          <w:ilvl w:val="0"/>
          <w:numId w:val="2"/>
        </w:numPr>
        <w:spacing w:after="140" w:line="320"/>
      </w:pPr>
      <w:r>
        <w:rPr>
          <w:rFonts w:ascii="Georgia" w:cs="Georgia" w:eastAsia="Georgia" w:hAnsi="Georgia"/>
          <w:sz w:val="24"/>
          <w:szCs w:val="24"/>
        </w:rPr>
        <w:t xml:space="preserve">Each concept builds on the previous one. The section has a logical progression, not a grab-bag of ideas.</w:t>
      </w:r>
    </w:p>
    <w:p>
      <w:pPr>
        <w:pStyle w:val="ListParagraph"/>
        <w:numPr>
          <w:ilvl w:val="0"/>
          <w:numId w:val="2"/>
        </w:numPr>
        <w:spacing w:after="140" w:line="320"/>
      </w:pPr>
      <w:r>
        <w:rPr>
          <w:rFonts w:ascii="Georgia" w:cs="Georgia" w:eastAsia="Georgia" w:hAnsi="Georgia"/>
          <w:sz w:val="24"/>
          <w:szCs w:val="24"/>
        </w:rPr>
        <w:t xml:space="preserve">Tone: authoritative, precise, engineer-to-engineer. No hand-waving.</w:t>
      </w:r>
    </w:p>
    <w:p>
      <w:pPr>
        <w:pStyle w:val="Heading3"/>
        <w:spacing w:before="320" w:after="200"/>
      </w:pPr>
      <w:r>
        <w:rPr>
          <w:rFonts w:ascii="Arial" w:cs="Arial" w:eastAsia="Arial" w:hAnsi="Arial"/>
          <w:b/>
          <w:bCs/>
          <w:sz w:val="28"/>
          <w:szCs w:val="28"/>
        </w:rPr>
        <w:t xml:space="preserve">Section IV: Architecture and System Design</w:t>
      </w:r>
    </w:p>
    <w:p>
      <w:pPr>
        <w:pStyle w:val="ListParagraph"/>
        <w:numPr>
          <w:ilvl w:val="0"/>
          <w:numId w:val="2"/>
        </w:numPr>
        <w:spacing w:after="140" w:line="320"/>
      </w:pPr>
      <w:r>
        <w:rPr>
          <w:rFonts w:ascii="Georgia" w:cs="Georgia" w:eastAsia="Georgia" w:hAnsi="Georgia"/>
          <w:sz w:val="24"/>
          <w:szCs w:val="24"/>
        </w:rPr>
        <w:t xml:space="preserve">Translates Section III’s concepts into concrete system components and design patterns.</w:t>
      </w:r>
    </w:p>
    <w:p>
      <w:pPr>
        <w:pStyle w:val="ListParagraph"/>
        <w:numPr>
          <w:ilvl w:val="0"/>
          <w:numId w:val="2"/>
        </w:numPr>
        <w:spacing w:after="140" w:line="320"/>
      </w:pPr>
      <w:r>
        <w:rPr>
          <w:rFonts w:ascii="Georgia" w:cs="Georgia" w:eastAsia="Georgia" w:hAnsi="Georgia"/>
          <w:b/>
          <w:bCs/>
          <w:sz w:val="24"/>
          <w:szCs w:val="24"/>
        </w:rPr>
        <w:t xml:space="preserve">Always includes a “before” (ungoverned/broken architecture) and “after” (governed architecture) comparison.</w:t>
      </w:r>
    </w:p>
    <w:p>
      <w:pPr>
        <w:pStyle w:val="ListParagraph"/>
        <w:numPr>
          <w:ilvl w:val="0"/>
          <w:numId w:val="2"/>
        </w:numPr>
        <w:spacing w:after="140" w:line="320"/>
      </w:pPr>
      <w:r>
        <w:rPr>
          <w:rFonts w:ascii="Georgia" w:cs="Georgia" w:eastAsia="Georgia" w:hAnsi="Georgia"/>
          <w:sz w:val="24"/>
          <w:szCs w:val="24"/>
        </w:rPr>
        <w:t xml:space="preserve">Use callout boxes for architecture flow diagrams described in text (e.g., “Client → Gateway → Policy Engine → Model → Action Gate → Tools”).</w:t>
      </w:r>
    </w:p>
    <w:p>
      <w:pPr>
        <w:pStyle w:val="ListParagraph"/>
        <w:numPr>
          <w:ilvl w:val="0"/>
          <w:numId w:val="2"/>
        </w:numPr>
        <w:spacing w:after="140" w:line="320"/>
      </w:pPr>
      <w:r>
        <w:rPr>
          <w:rFonts w:ascii="Georgia" w:cs="Georgia" w:eastAsia="Georgia" w:hAnsi="Georgia"/>
          <w:sz w:val="24"/>
          <w:szCs w:val="24"/>
        </w:rPr>
        <w:t xml:space="preserve">Name specific components, describe their responsibilities, and explain how they interact.</w:t>
      </w:r>
    </w:p>
    <w:p>
      <w:pPr>
        <w:pStyle w:val="ListParagraph"/>
        <w:numPr>
          <w:ilvl w:val="0"/>
          <w:numId w:val="2"/>
        </w:numPr>
        <w:spacing w:after="140" w:line="320"/>
      </w:pPr>
      <w:r>
        <w:rPr>
          <w:rFonts w:ascii="Georgia" w:cs="Georgia" w:eastAsia="Georgia" w:hAnsi="Georgia"/>
          <w:sz w:val="24"/>
          <w:szCs w:val="24"/>
        </w:rPr>
        <w:t xml:space="preserve">Include design principles as bold-led paragraphs (6–8 per chapter).</w:t>
      </w:r>
    </w:p>
    <w:p>
      <w:pPr>
        <w:pStyle w:val="ListParagraph"/>
        <w:numPr>
          <w:ilvl w:val="0"/>
          <w:numId w:val="2"/>
        </w:numPr>
        <w:spacing w:after="140" w:line="320"/>
      </w:pPr>
      <w:r>
        <w:rPr>
          <w:rFonts w:ascii="Georgia" w:cs="Georgia" w:eastAsia="Georgia" w:hAnsi="Georgia"/>
          <w:sz w:val="24"/>
          <w:szCs w:val="24"/>
        </w:rPr>
        <w:t xml:space="preserve">Where relevant, include a familiar analogy callout box (e.g., “If you’ve built a Kubernetes admission controller, you already understand this pattern.”).</w:t>
      </w:r>
    </w:p>
    <w:p>
      <w:pPr>
        <w:pStyle w:val="ListParagraph"/>
        <w:numPr>
          <w:ilvl w:val="0"/>
          <w:numId w:val="2"/>
        </w:numPr>
        <w:spacing w:after="140" w:line="320"/>
      </w:pPr>
      <w:r>
        <w:rPr>
          <w:rFonts w:ascii="Georgia" w:cs="Georgia" w:eastAsia="Georgia" w:hAnsi="Georgia"/>
          <w:sz w:val="24"/>
          <w:szCs w:val="24"/>
        </w:rPr>
        <w:t xml:space="preserve">Tone: blueprinting. This is the section an engineer could take to a whiteboard and start designing.</w:t>
      </w:r>
    </w:p>
    <w:p>
      <w:pPr>
        <w:pStyle w:val="Heading3"/>
        <w:spacing w:before="320" w:after="200"/>
      </w:pPr>
      <w:r>
        <w:rPr>
          <w:rFonts w:ascii="Arial" w:cs="Arial" w:eastAsia="Arial" w:hAnsi="Arial"/>
          <w:b/>
          <w:bCs/>
          <w:sz w:val="28"/>
          <w:szCs w:val="28"/>
        </w:rPr>
        <w:t xml:space="preserve">Section V: Key Takeaways</w:t>
      </w:r>
    </w:p>
    <w:p>
      <w:pPr>
        <w:pStyle w:val="ListParagraph"/>
        <w:numPr>
          <w:ilvl w:val="0"/>
          <w:numId w:val="2"/>
        </w:numPr>
        <w:spacing w:after="140" w:line="320"/>
      </w:pPr>
      <w:r>
        <w:rPr>
          <w:rFonts w:ascii="Georgia" w:cs="Georgia" w:eastAsia="Georgia" w:hAnsi="Georgia"/>
          <w:sz w:val="24"/>
          <w:szCs w:val="24"/>
        </w:rPr>
        <w:t xml:space="preserve">5–7 takeaway paragraphs. Each one opens with a bold sentence that states the takeaway, followed by 2–3 sentences of elaboration.</w:t>
      </w:r>
    </w:p>
    <w:p>
      <w:pPr>
        <w:pStyle w:val="ListParagraph"/>
        <w:numPr>
          <w:ilvl w:val="0"/>
          <w:numId w:val="2"/>
        </w:numPr>
        <w:spacing w:after="140" w:line="320"/>
      </w:pPr>
      <w:r>
        <w:rPr>
          <w:rFonts w:ascii="Georgia" w:cs="Georgia" w:eastAsia="Georgia" w:hAnsi="Georgia"/>
          <w:sz w:val="24"/>
          <w:szCs w:val="24"/>
        </w:rPr>
        <w:t xml:space="preserve">Takeaways should be portable—someone who reads only this section should get the chapter’s core arguments.</w:t>
      </w:r>
    </w:p>
    <w:p>
      <w:pPr>
        <w:pStyle w:val="ListParagraph"/>
        <w:numPr>
          <w:ilvl w:val="0"/>
          <w:numId w:val="2"/>
        </w:numPr>
        <w:spacing w:after="140" w:line="320"/>
      </w:pPr>
      <w:r>
        <w:rPr>
          <w:rFonts w:ascii="Georgia" w:cs="Georgia" w:eastAsia="Georgia" w:hAnsi="Georgia"/>
          <w:sz w:val="24"/>
          <w:szCs w:val="24"/>
        </w:rPr>
        <w:t xml:space="preserve">The final takeaway is always a transition: it previews the next chapter’s topic and explains why it follows logically.</w:t>
      </w:r>
    </w:p>
    <w:p>
      <w:pPr>
        <w:pStyle w:val="ListParagraph"/>
        <w:numPr>
          <w:ilvl w:val="0"/>
          <w:numId w:val="2"/>
        </w:numPr>
        <w:spacing w:after="140" w:line="320"/>
      </w:pPr>
      <w:r>
        <w:rPr>
          <w:rFonts w:ascii="Georgia" w:cs="Georgia" w:eastAsia="Georgia" w:hAnsi="Georgia"/>
          <w:sz w:val="24"/>
          <w:szCs w:val="24"/>
        </w:rPr>
        <w:t xml:space="preserve">Tone: crystallized, definitive, memorable. These are the sentences readers highlight.</w:t>
      </w:r>
    </w:p>
    <w:p>
      <w:r>
        <w:r>
          <w:br w:type="page"/>
        </w:r>
      </w:r>
    </w:p>
    <w:p>
      <w:pPr>
        <w:pStyle w:val="Heading1"/>
        <w:spacing w:before="480" w:after="300"/>
      </w:pPr>
      <w:r>
        <w:rPr>
          <w:rFonts w:ascii="Arial" w:cs="Arial" w:eastAsia="Arial" w:hAnsi="Arial"/>
          <w:b/>
          <w:bCs/>
          <w:sz w:val="40"/>
          <w:szCs w:val="40"/>
        </w:rPr>
        <w:t xml:space="preserve">Part 3: Formatting and Typographic Conventions</w:t>
      </w:r>
    </w:p>
    <w:p>
      <w:pPr>
        <w:pStyle w:val="Heading2"/>
        <w:spacing w:before="400" w:after="240"/>
      </w:pPr>
      <w:r>
        <w:rPr>
          <w:rFonts w:ascii="Arial" w:cs="Arial" w:eastAsia="Arial" w:hAnsi="Arial"/>
          <w:b/>
          <w:bCs/>
          <w:sz w:val="32"/>
          <w:szCs w:val="32"/>
        </w:rPr>
        <w:t xml:space="preserve">Chapter Title Page</w:t>
      </w:r>
    </w:p>
    <w:p>
      <w:pPr>
        <w:spacing w:after="200" w:line="340"/>
        <w:jc w:val="both"/>
      </w:pPr>
      <w:r>
        <w:rPr>
          <w:rFonts w:ascii="Georgia" w:cs="Georgia" w:eastAsia="Georgia" w:hAnsi="Georgia"/>
          <w:sz w:val="24"/>
          <w:szCs w:val="24"/>
        </w:rPr>
        <w:t xml:space="preserve">Every chapter opens with a title page. The elements appear in this exact order, with consistent spacing:</w:t>
      </w:r>
    </w:p>
    <w:p>
      <w:pPr>
        <w:pStyle w:val="ListParagraph"/>
        <w:numPr>
          <w:ilvl w:val="0"/>
          <w:numId w:val="2"/>
        </w:numPr>
        <w:spacing w:after="140" w:line="320"/>
      </w:pPr>
      <w:r>
        <w:rPr>
          <w:rFonts w:ascii="Georgia" w:cs="Georgia" w:eastAsia="Georgia" w:hAnsi="Georgia"/>
          <w:sz w:val="24"/>
          <w:szCs w:val="24"/>
        </w:rPr>
        <w:t xml:space="preserve">“CHAPTER N” in Arial 14pt, bold, gray (#666666), with 2400 DXA top margin</w:t>
      </w:r>
    </w:p>
    <w:p>
      <w:pPr>
        <w:pStyle w:val="ListParagraph"/>
        <w:numPr>
          <w:ilvl w:val="0"/>
          <w:numId w:val="2"/>
        </w:numPr>
        <w:spacing w:after="140" w:line="320"/>
      </w:pPr>
      <w:r>
        <w:rPr>
          <w:rFonts w:ascii="Georgia" w:cs="Georgia" w:eastAsia="Georgia" w:hAnsi="Georgia"/>
          <w:sz w:val="24"/>
          <w:szCs w:val="24"/>
        </w:rPr>
        <w:t xml:space="preserve">Chapter title in Arial 26pt, bold, black</w:t>
      </w:r>
    </w:p>
    <w:p>
      <w:pPr>
        <w:pStyle w:val="ListParagraph"/>
        <w:numPr>
          <w:ilvl w:val="0"/>
          <w:numId w:val="2"/>
        </w:numPr>
        <w:spacing w:after="140" w:line="320"/>
      </w:pPr>
      <w:r>
        <w:rPr>
          <w:rFonts w:ascii="Georgia" w:cs="Georgia" w:eastAsia="Georgia" w:hAnsi="Georgia"/>
          <w:sz w:val="24"/>
          <w:szCs w:val="24"/>
        </w:rPr>
        <w:t xml:space="preserve">Subtitle in Georgia 13pt, italic, dark gray (#555555)</w:t>
      </w:r>
    </w:p>
    <w:p>
      <w:pPr>
        <w:pStyle w:val="ListParagraph"/>
        <w:numPr>
          <w:ilvl w:val="0"/>
          <w:numId w:val="2"/>
        </w:numPr>
        <w:spacing w:after="140" w:line="320"/>
      </w:pPr>
      <w:r>
        <w:rPr>
          <w:rFonts w:ascii="Georgia" w:cs="Georgia" w:eastAsia="Georgia" w:hAnsi="Georgia"/>
          <w:sz w:val="24"/>
          <w:szCs w:val="24"/>
        </w:rPr>
        <w:t xml:space="preserve">Epigraph: a relevant quote in Georgia 11pt italic, indented, with attribution in Georgia 10pt, right-aligned</w:t>
      </w:r>
    </w:p>
    <w:p>
      <w:pPr>
        <w:pStyle w:val="ListParagraph"/>
        <w:numPr>
          <w:ilvl w:val="0"/>
          <w:numId w:val="2"/>
        </w:numPr>
        <w:spacing w:after="140" w:line="320"/>
      </w:pPr>
      <w:r>
        <w:rPr>
          <w:rFonts w:ascii="Georgia" w:cs="Georgia" w:eastAsia="Georgia" w:hAnsi="Georgia"/>
          <w:sz w:val="24"/>
          <w:szCs w:val="24"/>
        </w:rPr>
        <w:t xml:space="preserve">Separator (∗ ∗ ∗) marks the end of the title page</w:t>
      </w:r>
    </w:p>
    <w:p>
      <w:pPr>
        <w:pStyle w:val="Heading2"/>
        <w:spacing w:before="400" w:after="240"/>
      </w:pPr>
      <w:r>
        <w:rPr>
          <w:rFonts w:ascii="Arial" w:cs="Arial" w:eastAsia="Arial" w:hAnsi="Arial"/>
          <w:b/>
          <w:bCs/>
          <w:sz w:val="32"/>
          <w:szCs w:val="32"/>
        </w:rPr>
        <w:t xml:space="preserve">Section Labels</w:t>
      </w:r>
    </w:p>
    <w:p>
      <w:pPr>
        <w:spacing w:after="200" w:line="340"/>
        <w:jc w:val="both"/>
      </w:pPr>
      <w:r>
        <w:rPr>
          <w:rFonts w:ascii="Georgia" w:cs="Georgia" w:eastAsia="Georgia" w:hAnsi="Georgia"/>
          <w:sz w:val="24"/>
          <w:szCs w:val="24"/>
        </w:rPr>
        <w:t xml:space="preserve">Each of the five sections is preceded by a gray section label: “SECTION I”, “SECTION II”, etc., in Arial 10pt, bold, gray (#888888). This provides visual rhythm and navigation.</w:t>
      </w:r>
    </w:p>
    <w:p>
      <w:pPr>
        <w:pStyle w:val="Heading2"/>
        <w:spacing w:before="400" w:after="240"/>
      </w:pPr>
      <w:r>
        <w:rPr>
          <w:rFonts w:ascii="Arial" w:cs="Arial" w:eastAsia="Arial" w:hAnsi="Arial"/>
          <w:b/>
          <w:bCs/>
          <w:sz w:val="32"/>
          <w:szCs w:val="32"/>
        </w:rPr>
        <w:t xml:space="preserve">Heading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H1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Arial Bold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20pt (40 half-pt)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Part titles in style guide only; not used within chapters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H2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Arial Bold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16pt (32 half-pt)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Section titles (e.g., “What This Chapter Covers”)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H3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Arial Bold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14pt (28 half-pt)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Subsections within a section (e.g., “Shift 1: From Centralized Models...”)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H4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Arial Bold Italic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12pt (24 half-pt)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Sub-subsections, used sparingly</w:t>
            </w:r>
          </w:p>
        </w:tc>
      </w:tr>
    </w:tbl>
    <w:p>
      <w:pPr>
        <w:spacing w:before="200"/>
      </w:pPr>
    </w:p>
    <w:p>
      <w:pPr>
        <w:pStyle w:val="Heading2"/>
        <w:spacing w:before="400" w:after="240"/>
      </w:pPr>
      <w:r>
        <w:rPr>
          <w:rFonts w:ascii="Arial" w:cs="Arial" w:eastAsia="Arial" w:hAnsi="Arial"/>
          <w:b/>
          <w:bCs/>
          <w:sz w:val="32"/>
          <w:szCs w:val="32"/>
        </w:rPr>
        <w:t xml:space="preserve">Body Text</w:t>
      </w:r>
    </w:p>
    <w:p>
      <w:pPr>
        <w:pStyle w:val="ListParagraph"/>
        <w:numPr>
          <w:ilvl w:val="0"/>
          <w:numId w:val="2"/>
        </w:numPr>
        <w:spacing w:after="140" w:line="320"/>
      </w:pPr>
      <w:r>
        <w:rPr>
          <w:rFonts w:ascii="Georgia" w:cs="Georgia" w:eastAsia="Georgia" w:hAnsi="Georgia"/>
          <w:sz w:val="24"/>
          <w:szCs w:val="24"/>
        </w:rPr>
        <w:t xml:space="preserve">Font: Georgia 12pt (24 half-pt)</w:t>
      </w:r>
    </w:p>
    <w:p>
      <w:pPr>
        <w:pStyle w:val="ListParagraph"/>
        <w:numPr>
          <w:ilvl w:val="0"/>
          <w:numId w:val="2"/>
        </w:numPr>
        <w:spacing w:after="140" w:line="320"/>
      </w:pPr>
      <w:r>
        <w:rPr>
          <w:rFonts w:ascii="Georgia" w:cs="Georgia" w:eastAsia="Georgia" w:hAnsi="Georgia"/>
          <w:sz w:val="24"/>
          <w:szCs w:val="24"/>
        </w:rPr>
        <w:t xml:space="preserve">Line spacing: 340 (1.4x)</w:t>
      </w:r>
    </w:p>
    <w:p>
      <w:pPr>
        <w:pStyle w:val="ListParagraph"/>
        <w:numPr>
          <w:ilvl w:val="0"/>
          <w:numId w:val="2"/>
        </w:numPr>
        <w:spacing w:after="140" w:line="320"/>
      </w:pPr>
      <w:r>
        <w:rPr>
          <w:rFonts w:ascii="Georgia" w:cs="Georgia" w:eastAsia="Georgia" w:hAnsi="Georgia"/>
          <w:sz w:val="24"/>
          <w:szCs w:val="24"/>
        </w:rPr>
        <w:t xml:space="preserve">Alignment: Justified</w:t>
      </w:r>
    </w:p>
    <w:p>
      <w:pPr>
        <w:pStyle w:val="ListParagraph"/>
        <w:numPr>
          <w:ilvl w:val="0"/>
          <w:numId w:val="2"/>
        </w:numPr>
        <w:spacing w:after="140" w:line="320"/>
      </w:pPr>
      <w:r>
        <w:rPr>
          <w:rFonts w:ascii="Georgia" w:cs="Georgia" w:eastAsia="Georgia" w:hAnsi="Georgia"/>
          <w:sz w:val="24"/>
          <w:szCs w:val="24"/>
        </w:rPr>
        <w:t xml:space="preserve">Paragraph spacing: 200 DXA after</w:t>
      </w:r>
    </w:p>
    <w:p>
      <w:pPr>
        <w:pStyle w:val="Heading2"/>
        <w:spacing w:before="400" w:after="240"/>
      </w:pPr>
      <w:r>
        <w:rPr>
          <w:rFonts w:ascii="Arial" w:cs="Arial" w:eastAsia="Arial" w:hAnsi="Arial"/>
          <w:b/>
          <w:bCs/>
          <w:sz w:val="32"/>
          <w:szCs w:val="32"/>
        </w:rPr>
        <w:t xml:space="preserve">Callout Boxes</w:t>
      </w:r>
    </w:p>
    <w:p>
      <w:pPr>
        <w:spacing w:after="200" w:line="340"/>
        <w:jc w:val="both"/>
      </w:pPr>
      <w:r>
        <w:rPr>
          <w:rFonts w:ascii="Georgia" w:cs="Georgia" w:eastAsia="Georgia" w:hAnsi="Georgia"/>
          <w:sz w:val="24"/>
          <w:szCs w:val="24"/>
        </w:rPr>
        <w:t xml:space="preserve">Used for three purposes:</w:t>
      </w:r>
    </w:p>
    <w:p>
      <w:pPr>
        <w:pStyle w:val="ListParagraph"/>
        <w:numPr>
          <w:ilvl w:val="0"/>
          <w:numId w:val="2"/>
        </w:numPr>
        <w:spacing w:after="140" w:line="320"/>
      </w:pPr>
      <w:r>
        <w:rPr>
          <w:rFonts w:ascii="Georgia" w:cs="Georgia" w:eastAsia="Georgia" w:hAnsi="Georgia"/>
          <w:b/>
          <w:bCs/>
          <w:sz w:val="24"/>
          <w:szCs w:val="24"/>
        </w:rPr>
        <w:t xml:space="preserve">Architecture flow diagrams </w:t>
      </w:r>
      <w:r>
        <w:rPr>
          <w:rFonts w:ascii="Georgia" w:cs="Georgia" w:eastAsia="Georgia" w:hAnsi="Georgia"/>
          <w:sz w:val="24"/>
          <w:szCs w:val="24"/>
        </w:rPr>
        <w:t xml:space="preserve">described in text (when a visual diagram isn’t available)</w:t>
      </w:r>
    </w:p>
    <w:p>
      <w:pPr>
        <w:pStyle w:val="ListParagraph"/>
        <w:numPr>
          <w:ilvl w:val="0"/>
          <w:numId w:val="2"/>
        </w:numPr>
        <w:spacing w:after="140" w:line="320"/>
      </w:pPr>
      <w:r>
        <w:rPr>
          <w:rFonts w:ascii="Georgia" w:cs="Georgia" w:eastAsia="Georgia" w:hAnsi="Georgia"/>
          <w:b/>
          <w:bCs/>
          <w:sz w:val="24"/>
          <w:szCs w:val="24"/>
        </w:rPr>
        <w:t xml:space="preserve">Synthesizing callouts </w:t>
      </w:r>
      <w:r>
        <w:rPr>
          <w:rFonts w:ascii="Georgia" w:cs="Georgia" w:eastAsia="Georgia" w:hAnsi="Georgia"/>
          <w:sz w:val="24"/>
          <w:szCs w:val="24"/>
        </w:rPr>
        <w:t xml:space="preserve">that summarize the key insight of a section</w:t>
      </w:r>
    </w:p>
    <w:p>
      <w:pPr>
        <w:pStyle w:val="ListParagraph"/>
        <w:numPr>
          <w:ilvl w:val="0"/>
          <w:numId w:val="2"/>
        </w:numPr>
        <w:spacing w:after="140" w:line="320"/>
      </w:pPr>
      <w:r>
        <w:rPr>
          <w:rFonts w:ascii="Georgia" w:cs="Georgia" w:eastAsia="Georgia" w:hAnsi="Georgia"/>
          <w:b/>
          <w:bCs/>
          <w:sz w:val="24"/>
          <w:szCs w:val="24"/>
        </w:rPr>
        <w:t xml:space="preserve">Analogy callouts </w:t>
      </w:r>
      <w:r>
        <w:rPr>
          <w:rFonts w:ascii="Georgia" w:cs="Georgia" w:eastAsia="Georgia" w:hAnsi="Georgia"/>
          <w:sz w:val="24"/>
          <w:szCs w:val="24"/>
        </w:rPr>
        <w:t xml:space="preserve">that connect the concept to a familiar distributed systems pattern</w:t>
      </w:r>
    </w:p>
    <w:p>
      <w:pPr>
        <w:spacing w:after="200" w:line="340"/>
        <w:jc w:val="both"/>
      </w:pPr>
      <w:r>
        <w:rPr>
          <w:rFonts w:ascii="Georgia" w:cs="Georgia" w:eastAsia="Georgia" w:hAnsi="Georgia"/>
          <w:sz w:val="24"/>
          <w:szCs w:val="24"/>
        </w:rPr>
        <w:t xml:space="preserve">Callout boxes use Georgia 11pt italic, left-indented with a blue-gray (#4A7C9E) left border and light blue-gray (#F0F4F8) background shading.</w:t>
      </w:r>
    </w:p>
    <w:p>
      <w:pPr>
        <w:pStyle w:val="Heading2"/>
        <w:spacing w:before="400" w:after="240"/>
      </w:pPr>
      <w:r>
        <w:rPr>
          <w:rFonts w:ascii="Arial" w:cs="Arial" w:eastAsia="Arial" w:hAnsi="Arial"/>
          <w:b/>
          <w:bCs/>
          <w:sz w:val="32"/>
          <w:szCs w:val="32"/>
        </w:rPr>
        <w:t xml:space="preserve">Separators</w:t>
      </w:r>
    </w:p>
    <w:p>
      <w:pPr>
        <w:spacing w:after="200" w:line="340"/>
        <w:jc w:val="both"/>
      </w:pPr>
      <w:r>
        <w:rPr>
          <w:rFonts w:ascii="Georgia" w:cs="Georgia" w:eastAsia="Georgia" w:hAnsi="Georgia"/>
          <w:sz w:val="24"/>
          <w:szCs w:val="24"/>
        </w:rPr>
        <w:t xml:space="preserve">Three-asterisk separators (∗ ∗ ∗) appear between major sections. They provide visual breathing room. Do not use separators between subsections within a section—only between the five primary sections and after the title page.</w:t>
      </w:r>
    </w:p>
    <w:p>
      <w:pPr>
        <w:pStyle w:val="Heading2"/>
        <w:spacing w:before="400" w:after="240"/>
      </w:pPr>
      <w:r>
        <w:rPr>
          <w:rFonts w:ascii="Arial" w:cs="Arial" w:eastAsia="Arial" w:hAnsi="Arial"/>
          <w:b/>
          <w:bCs/>
          <w:sz w:val="32"/>
          <w:szCs w:val="32"/>
        </w:rPr>
        <w:t xml:space="preserve">Emphasis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Convention</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Bold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Term definitions on first use, structural failure names, takeaway lead sentences, component names in architecture section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Italic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Key phrases for emphasis, book titles, the word “actual” when contrasting runtime vs. static, callout box text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Bold + Italic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Reserved for H4 headings only</w:t>
            </w:r>
          </w:p>
        </w:tc>
      </w:tr>
    </w:tbl>
    <w:p>
      <w:pPr>
        <w:spacing w:before="200"/>
      </w:pPr>
    </w:p>
    <w:p>
      <w:pPr>
        <w:pStyle w:val="Heading2"/>
        <w:spacing w:before="400" w:after="240"/>
      </w:pPr>
      <w:r>
        <w:rPr>
          <w:rFonts w:ascii="Arial" w:cs="Arial" w:eastAsia="Arial" w:hAnsi="Arial"/>
          <w:b/>
          <w:bCs/>
          <w:sz w:val="32"/>
          <w:szCs w:val="32"/>
        </w:rPr>
        <w:t xml:space="preserve">Smart Quotes and Typography</w:t>
      </w:r>
    </w:p>
    <w:p>
      <w:pPr>
        <w:spacing w:after="200" w:line="340"/>
        <w:jc w:val="both"/>
      </w:pPr>
      <w:r>
        <w:rPr>
          <w:rFonts w:ascii="Georgia" w:cs="Georgia" w:eastAsia="Georgia" w:hAnsi="Georgia"/>
          <w:sz w:val="24"/>
          <w:szCs w:val="24"/>
        </w:rPr>
        <w:t xml:space="preserve">All quotes use smart (curly) quotes: “ ” for double, ‘ ’ for single. Apostrophes use the right single quote ’. Em dashes use — with no surrounding spaces. Ellipses use …. The multiplication sign for measurements uses ×.</w:t>
      </w:r>
    </w:p>
    <w:p>
      <w:r>
        <w:r>
          <w:br w:type="page"/>
        </w:r>
      </w:r>
    </w:p>
    <w:p>
      <w:pPr>
        <w:pStyle w:val="Heading1"/>
        <w:spacing w:before="480" w:after="300"/>
      </w:pPr>
      <w:r>
        <w:rPr>
          <w:rFonts w:ascii="Arial" w:cs="Arial" w:eastAsia="Arial" w:hAnsi="Arial"/>
          <w:b/>
          <w:bCs/>
          <w:sz w:val="40"/>
          <w:szCs w:val="40"/>
        </w:rPr>
        <w:t xml:space="preserve">Part 4: Voice and Writing Style</w:t>
      </w:r>
    </w:p>
    <w:p>
      <w:pPr>
        <w:pStyle w:val="Heading2"/>
        <w:spacing w:before="400" w:after="240"/>
      </w:pPr>
      <w:r>
        <w:rPr>
          <w:rFonts w:ascii="Arial" w:cs="Arial" w:eastAsia="Arial" w:hAnsi="Arial"/>
          <w:b/>
          <w:bCs/>
          <w:sz w:val="32"/>
          <w:szCs w:val="32"/>
        </w:rPr>
        <w:t xml:space="preserve">Target Audience and Voice</w:t>
      </w:r>
    </w:p>
    <w:p>
      <w:pPr>
        <w:spacing w:after="200" w:line="340"/>
        <w:jc w:val="both"/>
      </w:pPr>
      <w:r>
        <w:rPr>
          <w:rFonts w:ascii="Georgia" w:cs="Georgia" w:eastAsia="Georgia" w:hAnsi="Georgia"/>
          <w:sz w:val="24"/>
          <w:szCs w:val="24"/>
        </w:rPr>
        <w:t xml:space="preserve">The reader is a principal or staff engineer who designs platforms and infrastructure at scale. They know distributed systems. They don’t necessarily know governance. The voice is peer-to-peer: one senior engineer explaining a system design to another. Not academic. Not salesy. Not dumbed down.</w:t>
      </w:r>
    </w:p>
    <w:p>
      <w:pPr>
        <w:pStyle w:val="Heading2"/>
        <w:spacing w:before="400" w:after="240"/>
      </w:pPr>
      <w:r>
        <w:rPr>
          <w:rFonts w:ascii="Arial" w:cs="Arial" w:eastAsia="Arial" w:hAnsi="Arial"/>
          <w:b/>
          <w:bCs/>
          <w:sz w:val="32"/>
          <w:szCs w:val="32"/>
        </w:rPr>
        <w:t xml:space="preserve">Tone Rules</w:t>
      </w:r>
    </w:p>
    <w:p>
      <w:pPr>
        <w:spacing w:after="200" w:line="340"/>
        <w:jc w:val="both"/>
      </w:pPr>
      <w:r>
        <w:rPr>
          <w:rFonts w:ascii="Georgia" w:cs="Georgia" w:eastAsia="Georgia" w:hAnsi="Georgia"/>
          <w:b/>
          <w:bCs/>
          <w:sz w:val="24"/>
          <w:szCs w:val="24"/>
        </w:rPr>
        <w:t xml:space="preserve">Authoritative but not arrogant. </w:t>
      </w:r>
      <w:r>
        <w:rPr>
          <w:rFonts w:ascii="Georgia" w:cs="Georgia" w:eastAsia="Georgia" w:hAnsi="Georgia"/>
          <w:sz w:val="24"/>
          <w:szCs w:val="24"/>
        </w:rPr>
        <w:t xml:space="preserve">State positions clearly. Don’t hedge with “perhaps” or “it could be argued that.” If the book makes a claim, it owns it.</w:t>
      </w:r>
    </w:p>
    <w:p>
      <w:pPr>
        <w:spacing w:after="200" w:line="340"/>
        <w:jc w:val="both"/>
      </w:pPr>
      <w:r>
        <w:rPr>
          <w:rFonts w:ascii="Georgia" w:cs="Georgia" w:eastAsia="Georgia" w:hAnsi="Georgia"/>
          <w:b/>
          <w:bCs/>
          <w:sz w:val="24"/>
          <w:szCs w:val="24"/>
        </w:rPr>
        <w:t xml:space="preserve">Technical but not academic. </w:t>
      </w:r>
      <w:r>
        <w:rPr>
          <w:rFonts w:ascii="Georgia" w:cs="Georgia" w:eastAsia="Georgia" w:hAnsi="Georgia"/>
          <w:sz w:val="24"/>
          <w:szCs w:val="24"/>
        </w:rPr>
        <w:t xml:space="preserve">Use precise engineering language. Avoid academic jargon (“paradigmatic shift”) and management-speak (“synergize our governance capabilities”). If a term from distributed systems engineering exists for the concept, use it.</w:t>
      </w:r>
    </w:p>
    <w:p>
      <w:pPr>
        <w:spacing w:after="200" w:line="340"/>
        <w:jc w:val="both"/>
      </w:pPr>
      <w:r>
        <w:rPr>
          <w:rFonts w:ascii="Georgia" w:cs="Georgia" w:eastAsia="Georgia" w:hAnsi="Georgia"/>
          <w:b/>
          <w:bCs/>
          <w:sz w:val="24"/>
          <w:szCs w:val="24"/>
        </w:rPr>
        <w:t xml:space="preserve">Narrative but not novelistic. </w:t>
      </w:r>
      <w:r>
        <w:rPr>
          <w:rFonts w:ascii="Georgia" w:cs="Georgia" w:eastAsia="Georgia" w:hAnsi="Georgia"/>
          <w:sz w:val="24"/>
          <w:szCs w:val="24"/>
        </w:rPr>
        <w:t xml:space="preserve">The incidents tell stories. The analysis is rigorous. Storytelling hooks the reader. Engineering substance keeps them.</w:t>
      </w:r>
    </w:p>
    <w:p>
      <w:pPr>
        <w:spacing w:after="200" w:line="340"/>
        <w:jc w:val="both"/>
      </w:pPr>
      <w:r>
        <w:rPr>
          <w:rFonts w:ascii="Georgia" w:cs="Georgia" w:eastAsia="Georgia" w:hAnsi="Georgia"/>
          <w:b/>
          <w:bCs/>
          <w:sz w:val="24"/>
          <w:szCs w:val="24"/>
        </w:rPr>
        <w:t xml:space="preserve">Opinionated but fair. </w:t>
      </w:r>
      <w:r>
        <w:rPr>
          <w:rFonts w:ascii="Georgia" w:cs="Georgia" w:eastAsia="Georgia" w:hAnsi="Georgia"/>
          <w:sz w:val="24"/>
          <w:szCs w:val="24"/>
        </w:rPr>
        <w:t xml:space="preserve">The book takes strong positions (“paper governance is broken,” “governance is a distributed systems problem”). It acknowledges what existing approaches do well before explaining where they fall short.</w:t>
      </w:r>
    </w:p>
    <w:p>
      <w:pPr>
        <w:pStyle w:val="Heading2"/>
        <w:spacing w:before="400" w:after="240"/>
      </w:pPr>
      <w:r>
        <w:rPr>
          <w:rFonts w:ascii="Arial" w:cs="Arial" w:eastAsia="Arial" w:hAnsi="Arial"/>
          <w:b/>
          <w:bCs/>
          <w:sz w:val="32"/>
          <w:szCs w:val="32"/>
        </w:rPr>
        <w:t xml:space="preserve">Forbidden Patterns</w:t>
      </w:r>
    </w:p>
    <w:p>
      <w:pPr>
        <w:pStyle w:val="ListParagraph"/>
        <w:numPr>
          <w:ilvl w:val="0"/>
          <w:numId w:val="2"/>
        </w:numPr>
        <w:spacing w:after="140" w:line="320"/>
      </w:pPr>
      <w:r>
        <w:rPr>
          <w:rFonts w:ascii="Georgia" w:cs="Georgia" w:eastAsia="Georgia" w:hAnsi="Georgia"/>
          <w:sz w:val="24"/>
          <w:szCs w:val="24"/>
        </w:rPr>
        <w:t xml:space="preserve">“In today’s rapidly evolving landscape” or any variant. Never.</w:t>
      </w:r>
    </w:p>
    <w:p>
      <w:pPr>
        <w:pStyle w:val="ListParagraph"/>
        <w:numPr>
          <w:ilvl w:val="0"/>
          <w:numId w:val="2"/>
        </w:numPr>
        <w:spacing w:after="140" w:line="320"/>
      </w:pPr>
      <w:r>
        <w:rPr>
          <w:rFonts w:ascii="Georgia" w:cs="Georgia" w:eastAsia="Georgia" w:hAnsi="Georgia"/>
          <w:sz w:val="24"/>
          <w:szCs w:val="24"/>
        </w:rPr>
        <w:t xml:space="preserve">Triplet synonyms (“innovative, creative, and groundbreaking”). Never.</w:t>
      </w:r>
    </w:p>
    <w:p>
      <w:pPr>
        <w:pStyle w:val="ListParagraph"/>
        <w:numPr>
          <w:ilvl w:val="0"/>
          <w:numId w:val="2"/>
        </w:numPr>
        <w:spacing w:after="140" w:line="320"/>
      </w:pPr>
      <w:r>
        <w:rPr>
          <w:rFonts w:ascii="Georgia" w:cs="Georgia" w:eastAsia="Georgia" w:hAnsi="Georgia"/>
          <w:sz w:val="24"/>
          <w:szCs w:val="24"/>
        </w:rPr>
        <w:t xml:space="preserve">Buzzwords without substance: “revolutionize,” “transformative,” “game-changing,” “leverage.”</w:t>
      </w:r>
    </w:p>
    <w:p>
      <w:pPr>
        <w:pStyle w:val="ListParagraph"/>
        <w:numPr>
          <w:ilvl w:val="0"/>
          <w:numId w:val="2"/>
        </w:numPr>
        <w:spacing w:after="140" w:line="320"/>
      </w:pPr>
      <w:r>
        <w:rPr>
          <w:rFonts w:ascii="Georgia" w:cs="Georgia" w:eastAsia="Georgia" w:hAnsi="Georgia"/>
          <w:sz w:val="24"/>
          <w:szCs w:val="24"/>
        </w:rPr>
        <w:t xml:space="preserve">Passive voice except where the actor is genuinely irrelevant.</w:t>
      </w:r>
    </w:p>
    <w:p>
      <w:pPr>
        <w:pStyle w:val="ListParagraph"/>
        <w:numPr>
          <w:ilvl w:val="0"/>
          <w:numId w:val="2"/>
        </w:numPr>
        <w:spacing w:after="140" w:line="320"/>
      </w:pPr>
      <w:r>
        <w:rPr>
          <w:rFonts w:ascii="Georgia" w:cs="Georgia" w:eastAsia="Georgia" w:hAnsi="Georgia"/>
          <w:sz w:val="24"/>
          <w:szCs w:val="24"/>
        </w:rPr>
        <w:t xml:space="preserve">Asking the reader rhetorical questions more than once per section.</w:t>
      </w:r>
    </w:p>
    <w:p>
      <w:pPr>
        <w:pStyle w:val="ListParagraph"/>
        <w:numPr>
          <w:ilvl w:val="0"/>
          <w:numId w:val="2"/>
        </w:numPr>
        <w:spacing w:after="140" w:line="320"/>
      </w:pPr>
      <w:r>
        <w:rPr>
          <w:rFonts w:ascii="Georgia" w:cs="Georgia" w:eastAsia="Georgia" w:hAnsi="Georgia"/>
          <w:sz w:val="24"/>
          <w:szCs w:val="24"/>
        </w:rPr>
        <w:t xml:space="preserve">Starting consecutive paragraphs with the same word.</w:t>
      </w:r>
    </w:p>
    <w:p>
      <w:pPr>
        <w:pStyle w:val="Heading2"/>
        <w:spacing w:before="400" w:after="240"/>
      </w:pPr>
      <w:r>
        <w:rPr>
          <w:rFonts w:ascii="Arial" w:cs="Arial" w:eastAsia="Arial" w:hAnsi="Arial"/>
          <w:b/>
          <w:bCs/>
          <w:sz w:val="32"/>
          <w:szCs w:val="32"/>
        </w:rPr>
        <w:t xml:space="preserve">Sentence Rhythm</w:t>
      </w:r>
    </w:p>
    <w:p>
      <w:pPr>
        <w:spacing w:after="200" w:line="340"/>
        <w:jc w:val="both"/>
      </w:pPr>
      <w:r>
        <w:rPr>
          <w:rFonts w:ascii="Georgia" w:cs="Georgia" w:eastAsia="Georgia" w:hAnsi="Georgia"/>
          <w:sz w:val="24"/>
          <w:szCs w:val="24"/>
        </w:rPr>
        <w:t xml:space="preserve">Vary sentence length aggressively. Short sentences punch. Long sentences layer context, connect concepts, and walk through reasoning. A mix of both creates the cadence of expert technical writing. Target distribution: 20% short (3–8 words), 30% medium (9–15), 30% longer (16–25), 20% very long (26+).</w:t>
      </w:r>
    </w:p>
    <w:p>
      <w:pPr>
        <w:pStyle w:val="Heading2"/>
        <w:spacing w:before="400" w:after="240"/>
      </w:pPr>
      <w:r>
        <w:rPr>
          <w:rFonts w:ascii="Arial" w:cs="Arial" w:eastAsia="Arial" w:hAnsi="Arial"/>
          <w:b/>
          <w:bCs/>
          <w:sz w:val="32"/>
          <w:szCs w:val="32"/>
        </w:rPr>
        <w:t xml:space="preserve">Recurring Analogies</w:t>
      </w:r>
    </w:p>
    <w:p>
      <w:pPr>
        <w:spacing w:after="200" w:line="340"/>
        <w:jc w:val="both"/>
      </w:pPr>
      <w:r>
        <w:rPr>
          <w:rFonts w:ascii="Georgia" w:cs="Georgia" w:eastAsia="Georgia" w:hAnsi="Georgia"/>
          <w:sz w:val="24"/>
          <w:szCs w:val="24"/>
        </w:rPr>
        <w:t xml:space="preserve">The book uses a consistent set of analogies that readers can carry across chapters. These should be used when they’re genuinely illuminating, not forced:</w:t>
      </w:r>
    </w:p>
    <w:p>
      <w:pPr>
        <w:pStyle w:val="ListParagraph"/>
        <w:numPr>
          <w:ilvl w:val="0"/>
          <w:numId w:val="2"/>
        </w:numPr>
        <w:spacing w:after="140" w:line="320"/>
      </w:pPr>
      <w:r>
        <w:rPr>
          <w:rFonts w:ascii="Georgia" w:cs="Georgia" w:eastAsia="Georgia" w:hAnsi="Georgia"/>
          <w:b/>
          <w:bCs/>
          <w:sz w:val="24"/>
          <w:szCs w:val="24"/>
        </w:rPr>
        <w:t xml:space="preserve">Service mesh/Envoy/Istio: </w:t>
      </w:r>
      <w:r>
        <w:rPr>
          <w:rFonts w:ascii="Georgia" w:cs="Georgia" w:eastAsia="Georgia" w:hAnsi="Georgia"/>
          <w:sz w:val="24"/>
          <w:szCs w:val="24"/>
        </w:rPr>
        <w:t xml:space="preserve">For the sidecar pattern, policy enforcement proxies, and separating infrastructure concerns from application logic.</w:t>
      </w:r>
    </w:p>
    <w:p>
      <w:pPr>
        <w:pStyle w:val="ListParagraph"/>
        <w:numPr>
          <w:ilvl w:val="0"/>
          <w:numId w:val="2"/>
        </w:numPr>
        <w:spacing w:after="140" w:line="320"/>
      </w:pPr>
      <w:r>
        <w:rPr>
          <w:rFonts w:ascii="Georgia" w:cs="Georgia" w:eastAsia="Georgia" w:hAnsi="Georgia"/>
          <w:b/>
          <w:bCs/>
          <w:sz w:val="24"/>
          <w:szCs w:val="24"/>
        </w:rPr>
        <w:t xml:space="preserve">Kubernetes admission controllers: </w:t>
      </w:r>
      <w:r>
        <w:rPr>
          <w:rFonts w:ascii="Georgia" w:cs="Georgia" w:eastAsia="Georgia" w:hAnsi="Georgia"/>
          <w:sz w:val="24"/>
          <w:szCs w:val="24"/>
        </w:rPr>
        <w:t xml:space="preserve">For inline policy evaluation before an action is permitted.</w:t>
      </w:r>
    </w:p>
    <w:p>
      <w:pPr>
        <w:pStyle w:val="ListParagraph"/>
        <w:numPr>
          <w:ilvl w:val="0"/>
          <w:numId w:val="2"/>
        </w:numPr>
        <w:spacing w:after="140" w:line="320"/>
      </w:pPr>
      <w:r>
        <w:rPr>
          <w:rFonts w:ascii="Georgia" w:cs="Georgia" w:eastAsia="Georgia" w:hAnsi="Georgia"/>
          <w:b/>
          <w:bCs/>
          <w:sz w:val="24"/>
          <w:szCs w:val="24"/>
        </w:rPr>
        <w:t xml:space="preserve">OAuth scopes: </w:t>
      </w:r>
      <w:r>
        <w:rPr>
          <w:rFonts w:ascii="Georgia" w:cs="Georgia" w:eastAsia="Georgia" w:hAnsi="Georgia"/>
          <w:sz w:val="24"/>
          <w:szCs w:val="24"/>
        </w:rPr>
        <w:t xml:space="preserve">For delegated authority and bounded permissions.</w:t>
      </w:r>
    </w:p>
    <w:p>
      <w:pPr>
        <w:pStyle w:val="ListParagraph"/>
        <w:numPr>
          <w:ilvl w:val="0"/>
          <w:numId w:val="2"/>
        </w:numPr>
        <w:spacing w:after="140" w:line="320"/>
      </w:pPr>
      <w:r>
        <w:rPr>
          <w:rFonts w:ascii="Georgia" w:cs="Georgia" w:eastAsia="Georgia" w:hAnsi="Georgia"/>
          <w:b/>
          <w:bCs/>
          <w:sz w:val="24"/>
          <w:szCs w:val="24"/>
        </w:rPr>
        <w:t xml:space="preserve">Circuit breakers: </w:t>
      </w:r>
      <w:r>
        <w:rPr>
          <w:rFonts w:ascii="Georgia" w:cs="Georgia" w:eastAsia="Georgia" w:hAnsi="Georgia"/>
          <w:sz w:val="24"/>
          <w:szCs w:val="24"/>
        </w:rPr>
        <w:t xml:space="preserve">For fail-safe governance under partial outage.</w:t>
      </w:r>
    </w:p>
    <w:p>
      <w:pPr>
        <w:pStyle w:val="ListParagraph"/>
        <w:numPr>
          <w:ilvl w:val="0"/>
          <w:numId w:val="2"/>
        </w:numPr>
        <w:spacing w:after="140" w:line="320"/>
      </w:pPr>
      <w:r>
        <w:rPr>
          <w:rFonts w:ascii="Georgia" w:cs="Georgia" w:eastAsia="Georgia" w:hAnsi="Georgia"/>
          <w:b/>
          <w:bCs/>
          <w:sz w:val="24"/>
          <w:szCs w:val="24"/>
        </w:rPr>
        <w:t xml:space="preserve">SRE/SLOs: </w:t>
      </w:r>
      <w:r>
        <w:rPr>
          <w:rFonts w:ascii="Georgia" w:cs="Georgia" w:eastAsia="Georgia" w:hAnsi="Georgia"/>
          <w:sz w:val="24"/>
          <w:szCs w:val="24"/>
        </w:rPr>
        <w:t xml:space="preserve">For treating trustworthiness as an operational metric with error budgets.</w:t>
      </w:r>
    </w:p>
    <w:p>
      <w:pPr>
        <w:pStyle w:val="ListParagraph"/>
        <w:numPr>
          <w:ilvl w:val="0"/>
          <w:numId w:val="2"/>
        </w:numPr>
        <w:spacing w:after="140" w:line="320"/>
      </w:pPr>
      <w:r>
        <w:rPr>
          <w:rFonts w:ascii="Georgia" w:cs="Georgia" w:eastAsia="Georgia" w:hAnsi="Georgia"/>
          <w:b/>
          <w:bCs/>
          <w:sz w:val="24"/>
          <w:szCs w:val="24"/>
        </w:rPr>
        <w:t xml:space="preserve">Database consistency guarantees: </w:t>
      </w:r>
      <w:r>
        <w:rPr>
          <w:rFonts w:ascii="Georgia" w:cs="Georgia" w:eastAsia="Georgia" w:hAnsi="Georgia"/>
          <w:sz w:val="24"/>
          <w:szCs w:val="24"/>
        </w:rPr>
        <w:t xml:space="preserve">For governance state consistency across distributed components.</w:t>
      </w:r>
    </w:p>
    <w:p>
      <w:r>
        <w:r>
          <w:br w:type="page"/>
        </w:r>
      </w:r>
    </w:p>
    <w:p>
      <w:pPr>
        <w:pStyle w:val="Heading1"/>
        <w:spacing w:before="480" w:after="300"/>
      </w:pPr>
      <w:r>
        <w:rPr>
          <w:rFonts w:ascii="Arial" w:cs="Arial" w:eastAsia="Arial" w:hAnsi="Arial"/>
          <w:b/>
          <w:bCs/>
          <w:sz w:val="40"/>
          <w:szCs w:val="40"/>
        </w:rPr>
        <w:t xml:space="preserve">Part 5: Incident Writing Guide</w:t>
      </w:r>
    </w:p>
    <w:p>
      <w:pPr>
        <w:spacing w:after="200" w:line="340"/>
        <w:jc w:val="both"/>
      </w:pPr>
      <w:r>
        <w:rPr>
          <w:rFonts w:ascii="Georgia" w:cs="Georgia" w:eastAsia="Georgia" w:hAnsi="Georgia"/>
          <w:sz w:val="24"/>
          <w:szCs w:val="24"/>
        </w:rPr>
        <w:t xml:space="preserve">Every chapter opens Section II with a concrete incident. Incidents are the book’s narrative engine. Here are the rules for writing them consistently.</w:t>
      </w:r>
    </w:p>
    <w:p>
      <w:pPr>
        <w:pStyle w:val="Heading2"/>
        <w:spacing w:before="400" w:after="240"/>
      </w:pPr>
      <w:r>
        <w:rPr>
          <w:rFonts w:ascii="Arial" w:cs="Arial" w:eastAsia="Arial" w:hAnsi="Arial"/>
          <w:b/>
          <w:bCs/>
          <w:sz w:val="32"/>
          <w:szCs w:val="32"/>
        </w:rPr>
        <w:t xml:space="preserve">Incident Template</w:t>
      </w:r>
    </w:p>
    <w:p>
      <w:pPr>
        <w:spacing w:after="200" w:line="340"/>
        <w:jc w:val="both"/>
      </w:pPr>
      <w:r>
        <w:rPr>
          <w:rFonts w:ascii="Georgia" w:cs="Georgia" w:eastAsia="Georgia" w:hAnsi="Georgia"/>
          <w:b/>
          <w:bCs/>
          <w:sz w:val="24"/>
          <w:szCs w:val="24"/>
        </w:rPr>
        <w:t xml:space="preserve">1. Specificity. </w:t>
      </w:r>
      <w:r>
        <w:rPr>
          <w:rFonts w:ascii="Georgia" w:cs="Georgia" w:eastAsia="Georgia" w:hAnsi="Georgia"/>
          <w:sz w:val="24"/>
          <w:szCs w:val="24"/>
        </w:rPr>
        <w:t xml:space="preserve">Time, date, system type, industry. “At 2:14 AM Pacific on a Tuesday in March 2024…” Not “A company once had a problem.”</w:t>
      </w:r>
    </w:p>
    <w:p>
      <w:pPr>
        <w:spacing w:after="200" w:line="340"/>
        <w:jc w:val="both"/>
      </w:pPr>
      <w:r>
        <w:rPr>
          <w:rFonts w:ascii="Georgia" w:cs="Georgia" w:eastAsia="Georgia" w:hAnsi="Georgia"/>
          <w:b/>
          <w:bCs/>
          <w:sz w:val="24"/>
          <w:szCs w:val="24"/>
        </w:rPr>
        <w:t xml:space="preserve">2. The system worked correctly. </w:t>
      </w:r>
      <w:r>
        <w:rPr>
          <w:rFonts w:ascii="Georgia" w:cs="Georgia" w:eastAsia="Georgia" w:hAnsi="Georgia"/>
          <w:sz w:val="24"/>
          <w:szCs w:val="24"/>
        </w:rPr>
        <w:t xml:space="preserve">The incident should not be caused by a bug. The system did what it was designed to do. The failure is that governance didn’t constrain what the system was designed to do. This is the recurring theme.</w:t>
      </w:r>
    </w:p>
    <w:p>
      <w:pPr>
        <w:spacing w:after="200" w:line="340"/>
        <w:jc w:val="both"/>
      </w:pPr>
      <w:r>
        <w:rPr>
          <w:rFonts w:ascii="Georgia" w:cs="Georgia" w:eastAsia="Georgia" w:hAnsi="Georgia"/>
          <w:b/>
          <w:bCs/>
          <w:sz w:val="24"/>
          <w:szCs w:val="24"/>
        </w:rPr>
        <w:t xml:space="preserve">3. Quantified impact. </w:t>
      </w:r>
      <w:r>
        <w:rPr>
          <w:rFonts w:ascii="Georgia" w:cs="Georgia" w:eastAsia="Georgia" w:hAnsi="Georgia"/>
          <w:sz w:val="24"/>
          <w:szCs w:val="24"/>
        </w:rPr>
        <w:t xml:space="preserve">Numbers make incidents visceral. “1,847 loan pre-approvals totaling $23 million.” “340 duplicate refunds in 12 minutes.” “12,000 unreviewed decisions during the outage.”</w:t>
      </w:r>
    </w:p>
    <w:p>
      <w:pPr>
        <w:spacing w:after="200" w:line="340"/>
        <w:jc w:val="both"/>
      </w:pPr>
      <w:r>
        <w:rPr>
          <w:rFonts w:ascii="Georgia" w:cs="Georgia" w:eastAsia="Georgia" w:hAnsi="Georgia"/>
          <w:b/>
          <w:bCs/>
          <w:sz w:val="24"/>
          <w:szCs w:val="24"/>
        </w:rPr>
        <w:t xml:space="preserve">4. The post-mortem reveal. </w:t>
      </w:r>
      <w:r>
        <w:rPr>
          <w:rFonts w:ascii="Georgia" w:cs="Georgia" w:eastAsia="Georgia" w:hAnsi="Georgia"/>
          <w:sz w:val="24"/>
          <w:szCs w:val="24"/>
        </w:rPr>
        <w:t xml:space="preserve">Every incident ends with a post-mortem finding that traces the failure to a missing governance control. The finding is stated in italics as a direct quote from the fictional post-mortem.</w:t>
      </w:r>
    </w:p>
    <w:p>
      <w:pPr>
        <w:spacing w:after="200" w:line="340"/>
        <w:jc w:val="both"/>
      </w:pPr>
      <w:r>
        <w:rPr>
          <w:rFonts w:ascii="Georgia" w:cs="Georgia" w:eastAsia="Georgia" w:hAnsi="Georgia"/>
          <w:b/>
          <w:bCs/>
          <w:sz w:val="24"/>
          <w:szCs w:val="24"/>
        </w:rPr>
        <w:t xml:space="preserve">5. Bridge sentence. </w:t>
      </w:r>
      <w:r>
        <w:rPr>
          <w:rFonts w:ascii="Georgia" w:cs="Georgia" w:eastAsia="Georgia" w:hAnsi="Georgia"/>
          <w:sz w:val="24"/>
          <w:szCs w:val="24"/>
        </w:rPr>
        <w:t xml:space="preserve">After the incident, a single sentence connects it to the chapter’s core argument. “That sentence captures the central problem this book exists to solve.” Or: “This is what happens when [the chapter’s specific governance primitive] doesn’t exist.”</w:t>
      </w:r>
    </w:p>
    <w:p>
      <w:pPr>
        <w:pStyle w:val="Heading2"/>
        <w:spacing w:before="400" w:after="240"/>
      </w:pPr>
      <w:r>
        <w:rPr>
          <w:rFonts w:ascii="Arial" w:cs="Arial" w:eastAsia="Arial" w:hAnsi="Arial"/>
          <w:b/>
          <w:bCs/>
          <w:sz w:val="32"/>
          <w:szCs w:val="32"/>
        </w:rPr>
        <w:t xml:space="preserve">Incident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Industry</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Failure Type</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Missing Governance Primitive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Fintech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Bad loans from auto-retrained 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No runtime governance at all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E-commerce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Auth fragmentation across AI services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No centralized control plane pattern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Multi-tenant SaaS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Cross-tenant data leakage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No trust boundaries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Enterprise dev 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Agent commits to wrong repo branch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No identity/delegated authority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Healthcare AI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Regulation-violating diagnosis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No policy-as-code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Customer service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Refund loop (340 duplicates in 12 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No execution interlocks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Regulated enterprise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Cannot answer auditor’s provenance question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No provenance/attestation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Large platform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23% of decisions bypass policy engine undetected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No governance observability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Production outage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Policy engine down, 12K unreviewed decisions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No failure recovery patterns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Internal platform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Nobody uses the technically excellent control plane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No organizational strategy</w:t>
            </w:r>
          </w:p>
        </w:tc>
      </w:tr>
    </w:tbl>
    <w:p>
      <w:pPr>
        <w:spacing w:before="200"/>
      </w:pPr>
    </w:p>
    <w:p>
      <w:pPr>
        <w:spacing w:after="200" w:line="340"/>
        <w:jc w:val="both"/>
      </w:pPr>
      <w:r>
        <w:rPr>
          <w:rFonts w:ascii="Georgia" w:cs="Georgia" w:eastAsia="Georgia" w:hAnsi="Georgia"/>
          <w:b/>
          <w:bCs/>
          <w:sz w:val="24"/>
          <w:szCs w:val="24"/>
        </w:rPr>
        <w:t xml:space="preserve">Note: </w:t>
      </w:r>
      <w:r>
        <w:rPr>
          <w:rFonts w:ascii="Georgia" w:cs="Georgia" w:eastAsia="Georgia" w:hAnsi="Georgia"/>
          <w:sz w:val="24"/>
          <w:szCs w:val="24"/>
        </w:rPr>
        <w:t xml:space="preserve">Each incident uses a different industry to demonstrate that the AI control plane is not domain-specific. The incidents deliberately span fintech, healthcare, e-commerce, SaaS, enterprise tooling, customer service, and regulated industries.</w:t>
      </w:r>
    </w:p>
    <w:p>
      <w:r>
        <w:r>
          <w:br w:type="page"/>
        </w:r>
      </w:r>
    </w:p>
    <w:p>
      <w:pPr>
        <w:pStyle w:val="Heading1"/>
        <w:spacing w:before="480" w:after="300"/>
      </w:pPr>
      <w:r>
        <w:rPr>
          <w:rFonts w:ascii="Arial" w:cs="Arial" w:eastAsia="Arial" w:hAnsi="Arial"/>
          <w:b/>
          <w:bCs/>
          <w:sz w:val="40"/>
          <w:szCs w:val="40"/>
        </w:rPr>
        <w:t xml:space="preserve">Part 6: Cross-Chapter Continuity Rules</w:t>
      </w:r>
    </w:p>
    <w:p>
      <w:pPr>
        <w:pStyle w:val="Heading2"/>
        <w:spacing w:before="400" w:after="240"/>
      </w:pPr>
      <w:r>
        <w:rPr>
          <w:rFonts w:ascii="Arial" w:cs="Arial" w:eastAsia="Arial" w:hAnsi="Arial"/>
          <w:b/>
          <w:bCs/>
          <w:sz w:val="32"/>
          <w:szCs w:val="32"/>
        </w:rPr>
        <w:t xml:space="preserve">Forward and Backward References</w:t>
      </w:r>
    </w:p>
    <w:p>
      <w:pPr>
        <w:spacing w:after="200" w:line="340"/>
        <w:jc w:val="both"/>
      </w:pPr>
      <w:r>
        <w:rPr>
          <w:rFonts w:ascii="Georgia" w:cs="Georgia" w:eastAsia="Georgia" w:hAnsi="Georgia"/>
          <w:sz w:val="24"/>
          <w:szCs w:val="24"/>
        </w:rPr>
        <w:t xml:space="preserve">Every chapter references at least one previous chapter and previews at least one future chapter. This creates a web of connections that reinforces the book’s coherence.</w:t>
      </w:r>
    </w:p>
    <w:p>
      <w:pPr>
        <w:pStyle w:val="ListParagraph"/>
        <w:numPr>
          <w:ilvl w:val="0"/>
          <w:numId w:val="2"/>
        </w:numPr>
        <w:spacing w:after="140" w:line="320"/>
      </w:pPr>
      <w:r>
        <w:rPr>
          <w:rFonts w:ascii="Georgia" w:cs="Georgia" w:eastAsia="Georgia" w:hAnsi="Georgia"/>
          <w:b/>
          <w:bCs/>
          <w:sz w:val="24"/>
          <w:szCs w:val="24"/>
        </w:rPr>
        <w:t xml:space="preserve">Section I </w:t>
      </w:r>
      <w:r>
        <w:rPr>
          <w:rFonts w:ascii="Georgia" w:cs="Georgia" w:eastAsia="Georgia" w:hAnsi="Georgia"/>
          <w:sz w:val="24"/>
          <w:szCs w:val="24"/>
        </w:rPr>
        <w:t xml:space="preserve">of each chapter should reference the previous chapter’s conclusion to establish continuity (“In Chapter 4, we defined identity for every actor in the system. This chapter asks: now that we know </w:t>
      </w:r>
      <w:r>
        <w:rPr>
          <w:rFonts w:ascii="Georgia" w:cs="Georgia" w:eastAsia="Georgia" w:hAnsi="Georgia"/>
          <w:i/>
          <w:iCs/>
          <w:sz w:val="24"/>
          <w:szCs w:val="24"/>
        </w:rPr>
        <w:t xml:space="preserve">who</w:t>
      </w:r>
      <w:r>
        <w:rPr>
          <w:rFonts w:ascii="Georgia" w:cs="Georgia" w:eastAsia="Georgia" w:hAnsi="Georgia"/>
          <w:sz w:val="24"/>
          <w:szCs w:val="24"/>
        </w:rPr>
        <w:t xml:space="preserve"> is acting, what rules govern </w:t>
      </w:r>
      <w:r>
        <w:rPr>
          <w:rFonts w:ascii="Georgia" w:cs="Georgia" w:eastAsia="Georgia" w:hAnsi="Georgia"/>
          <w:i/>
          <w:iCs/>
          <w:sz w:val="24"/>
          <w:szCs w:val="24"/>
        </w:rPr>
        <w:t xml:space="preserve">what</w:t>
      </w:r>
      <w:r>
        <w:rPr>
          <w:rFonts w:ascii="Georgia" w:cs="Georgia" w:eastAsia="Georgia" w:hAnsi="Georgia"/>
          <w:sz w:val="24"/>
          <w:szCs w:val="24"/>
        </w:rPr>
        <w:t xml:space="preserve"> they can do?”).</w:t>
      </w:r>
    </w:p>
    <w:p>
      <w:pPr>
        <w:pStyle w:val="ListParagraph"/>
        <w:numPr>
          <w:ilvl w:val="0"/>
          <w:numId w:val="2"/>
        </w:numPr>
        <w:spacing w:after="140" w:line="320"/>
      </w:pPr>
      <w:r>
        <w:rPr>
          <w:rFonts w:ascii="Georgia" w:cs="Georgia" w:eastAsia="Georgia" w:hAnsi="Georgia"/>
          <w:b/>
          <w:bCs/>
          <w:sz w:val="24"/>
          <w:szCs w:val="24"/>
        </w:rPr>
        <w:t xml:space="preserve">Section V’s final takeaway </w:t>
      </w:r>
      <w:r>
        <w:rPr>
          <w:rFonts w:ascii="Georgia" w:cs="Georgia" w:eastAsia="Georgia" w:hAnsi="Georgia"/>
          <w:sz w:val="24"/>
          <w:szCs w:val="24"/>
        </w:rPr>
        <w:t xml:space="preserve">always transitions to the next chapter (“Policy-as-code defines the rules. But rules without enforcement are suggestions. Chapter 6 introduces execution interlocks—the mechanisms that enforce rules at the moment of action.”).</w:t>
      </w:r>
    </w:p>
    <w:p>
      <w:pPr>
        <w:pStyle w:val="Heading2"/>
        <w:spacing w:before="400" w:after="240"/>
      </w:pPr>
      <w:r>
        <w:rPr>
          <w:rFonts w:ascii="Arial" w:cs="Arial" w:eastAsia="Arial" w:hAnsi="Arial"/>
          <w:b/>
          <w:bCs/>
          <w:sz w:val="32"/>
          <w:szCs w:val="32"/>
        </w:rPr>
        <w:t xml:space="preserve">Term Consistency</w:t>
      </w:r>
    </w:p>
    <w:p>
      <w:pPr>
        <w:spacing w:after="200" w:line="340"/>
        <w:jc w:val="both"/>
      </w:pPr>
      <w:r>
        <w:rPr>
          <w:rFonts w:ascii="Georgia" w:cs="Georgia" w:eastAsia="Georgia" w:hAnsi="Georgia"/>
          <w:sz w:val="24"/>
          <w:szCs w:val="24"/>
        </w:rPr>
        <w:t xml:space="preserve">Once a term is defined, it is used consistently throughout the book. Key terms and their canonical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Defined In</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Canonical Definition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Governance gap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Ch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latency between an AI system taking an action and a governance control evaluating that 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AI data plane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Ch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inference and action path: model serving, agent orchestration, tool execution, response generation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AI control plane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Ch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The system layer that governs what the data plane is allowed to do at runtime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Governance gateway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Ch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Pre-execution enforcement point between API gateway and model/agent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Action gate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Ch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Post-inference enforcement point between model/agent and external side effects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Gap-tolerant controls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Ch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Governance mechanisms that accept a nonzero governance gap (reviews, audits)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Gap-closing controls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Ch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Governance mechanisms that execute inline at runtime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AICP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Ch 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AI Control Plane Architecture — the book’s reference architecture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Born-auditable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Ch 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Systems that produce audit evidence as a byproduct of operation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Governance SLO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Ch 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Georgia" w:cs="Georgia" w:eastAsia="Georgia" w:hAnsi="Georgia"/>
                <w:sz w:val="20"/>
                <w:szCs w:val="20"/>
              </w:rPr>
              <w:t xml:space="preserve">An SLO that measures governance properties (policy latency, enforcement coverage, audit completeness)</w:t>
            </w:r>
          </w:p>
        </w:tc>
      </w:tr>
    </w:tbl>
    <w:p>
      <w:pPr>
        <w:spacing w:before="300"/>
      </w:pPr>
    </w:p>
    <w:p>
      <w:pPr>
        <w:pStyle w:val="Heading2"/>
        <w:spacing w:before="400" w:after="240"/>
      </w:pPr>
      <w:r>
        <w:rPr>
          <w:rFonts w:ascii="Arial" w:cs="Arial" w:eastAsia="Arial" w:hAnsi="Arial"/>
          <w:b/>
          <w:bCs/>
          <w:sz w:val="32"/>
          <w:szCs w:val="32"/>
        </w:rPr>
        <w:t xml:space="preserve">Running Themes</w:t>
      </w:r>
    </w:p>
    <w:p>
      <w:pPr>
        <w:spacing w:after="200" w:line="340"/>
        <w:jc w:val="both"/>
      </w:pPr>
      <w:r>
        <w:rPr>
          <w:rFonts w:ascii="Georgia" w:cs="Georgia" w:eastAsia="Georgia" w:hAnsi="Georgia"/>
          <w:sz w:val="24"/>
          <w:szCs w:val="24"/>
        </w:rPr>
        <w:t xml:space="preserve">These themes should surface in every chapter, though not all in equal measure:</w:t>
      </w:r>
    </w:p>
    <w:p>
      <w:pPr>
        <w:pStyle w:val="ListParagraph"/>
        <w:numPr>
          <w:ilvl w:val="0"/>
          <w:numId w:val="2"/>
        </w:numPr>
        <w:spacing w:after="140" w:line="320"/>
      </w:pPr>
      <w:r>
        <w:rPr>
          <w:rFonts w:ascii="Georgia" w:cs="Georgia" w:eastAsia="Georgia" w:hAnsi="Georgia"/>
          <w:b/>
          <w:bCs/>
          <w:sz w:val="24"/>
          <w:szCs w:val="24"/>
        </w:rPr>
        <w:t xml:space="preserve">Governance is system correctness. </w:t>
      </w:r>
      <w:r>
        <w:rPr>
          <w:rFonts w:ascii="Georgia" w:cs="Georgia" w:eastAsia="Georgia" w:hAnsi="Georgia"/>
          <w:sz w:val="24"/>
          <w:szCs w:val="24"/>
        </w:rPr>
        <w:t xml:space="preserve">A broken governance control is as serious as a broken consistency guarantee.</w:t>
      </w:r>
    </w:p>
    <w:p>
      <w:pPr>
        <w:pStyle w:val="ListParagraph"/>
        <w:numPr>
          <w:ilvl w:val="0"/>
          <w:numId w:val="2"/>
        </w:numPr>
        <w:spacing w:after="140" w:line="320"/>
      </w:pPr>
      <w:r>
        <w:rPr>
          <w:rFonts w:ascii="Georgia" w:cs="Georgia" w:eastAsia="Georgia" w:hAnsi="Georgia"/>
          <w:b/>
          <w:bCs/>
          <w:sz w:val="24"/>
          <w:szCs w:val="24"/>
        </w:rPr>
        <w:t xml:space="preserve">Engineer, don’t document. </w:t>
      </w:r>
      <w:r>
        <w:rPr>
          <w:rFonts w:ascii="Georgia" w:cs="Georgia" w:eastAsia="Georgia" w:hAnsi="Georgia"/>
          <w:sz w:val="24"/>
          <w:szCs w:val="24"/>
        </w:rPr>
        <w:t xml:space="preserve">Every governance need in this book is expressed as a system design, not a process.</w:t>
      </w:r>
    </w:p>
    <w:p>
      <w:pPr>
        <w:pStyle w:val="ListParagraph"/>
        <w:numPr>
          <w:ilvl w:val="0"/>
          <w:numId w:val="2"/>
        </w:numPr>
        <w:spacing w:after="140" w:line="320"/>
      </w:pPr>
      <w:r>
        <w:rPr>
          <w:rFonts w:ascii="Georgia" w:cs="Georgia" w:eastAsia="Georgia" w:hAnsi="Georgia"/>
          <w:b/>
          <w:bCs/>
          <w:sz w:val="24"/>
          <w:szCs w:val="24"/>
        </w:rPr>
        <w:t xml:space="preserve">Distributed systems patterns apply directly. </w:t>
      </w:r>
      <w:r>
        <w:rPr>
          <w:rFonts w:ascii="Georgia" w:cs="Georgia" w:eastAsia="Georgia" w:hAnsi="Georgia"/>
          <w:sz w:val="24"/>
          <w:szCs w:val="24"/>
        </w:rPr>
        <w:t xml:space="preserve">The solutions are borrowed, not invented. Service meshes, control planes, SRE, and consensus protocols are the prior art.</w:t>
      </w:r>
    </w:p>
    <w:p>
      <w:pPr>
        <w:pStyle w:val="ListParagraph"/>
        <w:numPr>
          <w:ilvl w:val="0"/>
          <w:numId w:val="2"/>
        </w:numPr>
        <w:spacing w:after="140" w:line="320"/>
      </w:pPr>
      <w:r>
        <w:rPr>
          <w:rFonts w:ascii="Georgia" w:cs="Georgia" w:eastAsia="Georgia" w:hAnsi="Georgia"/>
          <w:b/>
          <w:bCs/>
          <w:sz w:val="24"/>
          <w:szCs w:val="24"/>
        </w:rPr>
        <w:t xml:space="preserve">Failure modes are designed, not accidental. </w:t>
      </w:r>
      <w:r>
        <w:rPr>
          <w:rFonts w:ascii="Georgia" w:cs="Georgia" w:eastAsia="Georgia" w:hAnsi="Georgia"/>
          <w:sz w:val="24"/>
          <w:szCs w:val="24"/>
        </w:rPr>
        <w:t xml:space="preserve">What happens when the governance system itself fails is a design decision.</w:t>
      </w:r>
    </w:p>
    <w:p>
      <w:pPr>
        <w:pStyle w:val="ListParagraph"/>
        <w:numPr>
          <w:ilvl w:val="0"/>
          <w:numId w:val="2"/>
        </w:numPr>
        <w:spacing w:after="140" w:line="320"/>
      </w:pPr>
      <w:r>
        <w:rPr>
          <w:rFonts w:ascii="Georgia" w:cs="Georgia" w:eastAsia="Georgia" w:hAnsi="Georgia"/>
          <w:b/>
          <w:bCs/>
          <w:sz w:val="24"/>
          <w:szCs w:val="24"/>
        </w:rPr>
        <w:t xml:space="preserve">Measurable trustworthiness. </w:t>
      </w:r>
      <w:r>
        <w:rPr>
          <w:rFonts w:ascii="Georgia" w:cs="Georgia" w:eastAsia="Georgia" w:hAnsi="Georgia"/>
          <w:sz w:val="24"/>
          <w:szCs w:val="24"/>
        </w:rPr>
        <w:t xml:space="preserve">If it can’t be measured, it can’t be governed. SLOs for trust, not aspirations.</w:t>
      </w:r>
    </w:p>
    <w:p>
      <w:pPr>
        <w:pStyle w:val="Heading2"/>
        <w:spacing w:before="400" w:after="240"/>
      </w:pPr>
      <w:r>
        <w:rPr>
          <w:rFonts w:ascii="Arial" w:cs="Arial" w:eastAsia="Arial" w:hAnsi="Arial"/>
          <w:b/>
          <w:bCs/>
          <w:sz w:val="32"/>
          <w:szCs w:val="32"/>
        </w:rPr>
        <w:t xml:space="preserve">Page and Header Convention</w:t>
      </w:r>
    </w:p>
    <w:p>
      <w:pPr>
        <w:spacing w:after="200" w:line="340"/>
        <w:jc w:val="both"/>
      </w:pPr>
      <w:r>
        <w:rPr>
          <w:rFonts w:ascii="Georgia" w:cs="Georgia" w:eastAsia="Georgia" w:hAnsi="Georgia"/>
          <w:sz w:val="24"/>
          <w:szCs w:val="24"/>
        </w:rPr>
        <w:t xml:space="preserve">Every chapter uses a running header in Arial 9pt, italic, gray (#999999), right-aligned:</w:t>
      </w:r>
    </w:p>
    <w:p>
      <w:pPr>
        <w:pBdr>
          <w:left w:val="single" w:color="4A7C9E" w:sz="6"/>
        </w:pBdr>
        <w:shd w:fill="F0F4F8" w:val="clear"/>
        <w:spacing w:before="200" w:after="200" w:line="320"/>
        <w:ind w:left="360" w:right="360"/>
      </w:pPr>
      <w:r>
        <w:rPr>
          <w:rFonts w:ascii="Georgia" w:cs="Georgia" w:eastAsia="Georgia" w:hAnsi="Georgia"/>
          <w:i/>
          <w:iCs/>
          <w:sz w:val="22"/>
          <w:szCs w:val="22"/>
        </w:rPr>
        <w:t xml:space="preserve">The AI Control Plane  •  Chapter N: [Chapter Title]</w:t>
      </w:r>
    </w:p>
    <w:p>
      <w:pPr>
        <w:spacing w:after="200" w:line="340"/>
        <w:jc w:val="both"/>
      </w:pPr>
      <w:r>
        <w:rPr>
          <w:rFonts w:ascii="Georgia" w:cs="Georgia" w:eastAsia="Georgia" w:hAnsi="Georgia"/>
          <w:sz w:val="24"/>
          <w:szCs w:val="24"/>
        </w:rPr>
        <w:t xml:space="preserve">Page numbers are centered in the footer in Arial 9pt, gray (#999999), formatted as “Page N”.</w:t>
      </w:r>
    </w:p>
    <w:p>
      <w:pPr>
        <w:spacing w:before="300" w:after="300"/>
        <w:jc w:val="center"/>
      </w:pPr>
      <w:r>
        <w:rPr>
          <w:rFonts w:ascii="Georgia" w:cs="Georgia" w:eastAsia="Georgia" w:hAnsi="Georgia"/>
          <w:sz w:val="24"/>
          <w:szCs w:val="24"/>
        </w:rPr>
        <w:t xml:space="preserve">∗  ∗  ∗</w:t>
      </w:r>
    </w:p>
    <w:p>
      <w:pPr>
        <w:spacing w:after="200" w:line="340"/>
        <w:jc w:val="both"/>
      </w:pPr>
      <w:r>
        <w:rPr>
          <w:rFonts w:ascii="Georgia" w:cs="Georgia" w:eastAsia="Georgia" w:hAnsi="Georgia"/>
          <w:i/>
          <w:iCs/>
          <w:sz w:val="24"/>
          <w:szCs w:val="24"/>
        </w:rPr>
        <w:t xml:space="preserve">This style guide is the contract between the author and every chapter generation. Follow it precisely. When in doubt, refer to Chapter 1 as the canonical example of the template in action.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The AI Control Plane  •  Book Blueprint &amp; Style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00"/>
      <w:outlineLvl w:val="0"/>
    </w:pPr>
    <w:rPr>
      <w:rFonts w:ascii="Arial" w:cs="Arial" w:eastAsia="Arial" w:hAnsi="Arial"/>
      <w:b/>
      <w:bCs/>
      <w:sz w:val="40"/>
      <w:szCs w:val="40"/>
    </w:rPr>
  </w:style>
  <w:style w:type="paragraph" w:styleId="Heading2">
    <w:name w:val="Heading 2"/>
    <w:basedOn w:val="Normal"/>
    <w:next w:val="Normal"/>
    <w:qFormat/>
    <w:pPr>
      <w:spacing w:before="400" w:after="240"/>
      <w:outlineLvl w:val="1"/>
    </w:pPr>
    <w:rPr>
      <w:rFonts w:ascii="Arial" w:cs="Arial" w:eastAsia="Arial" w:hAnsi="Arial"/>
      <w:b/>
      <w:bCs/>
      <w:sz w:val="32"/>
      <w:szCs w:val="32"/>
    </w:rPr>
  </w:style>
  <w:style w:type="paragraph" w:styleId="Heading3">
    <w:name w:val="Heading 3"/>
    <w:basedOn w:val="Normal"/>
    <w:next w:val="Normal"/>
    <w:qFormat/>
    <w:pPr>
      <w:spacing w:before="320" w:after="200"/>
      <w:outlineLvl w:val="2"/>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2026-02-05T23:39:22.572Z</dcterms:created>
  <dcterms:modified xsi:type="dcterms:W3CDTF">2026-02-05T23:39:22.573Z</dcterms:modified>
</cp:coreProperties>
</file>

<file path=docProps/custom.xml><?xml version="1.0" encoding="utf-8"?>
<Properties xmlns="http://schemas.openxmlformats.org/officeDocument/2006/custom-properties" xmlns:vt="http://schemas.openxmlformats.org/officeDocument/2006/docPropsVTypes"/>
</file>