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1406182634"/>
        <w:placeholder>
          <w:docPart w:val="2987E3534C794FE1819BADA8A36A9AEE"/>
        </w:placeholder>
        <w:dataBinding w:prefixMappings="xmlns:ns0='http://purl.org/dc/elements/1.1/' xmlns:ns1='http://schemas.openxmlformats.org/package/2006/metadata/core-properties' " w:xpath="/ns1:coreProperties[1]/ns0:title[1]" w:storeItemID="{6C3C8BC8-F283-45AE-878A-BAB7291924A1}"/>
        <w:text/>
      </w:sdtPr>
      <w:sdtEndPr/>
      <w:sdtContent>
        <w:p w14:paraId="6E22BD91" w14:textId="6133F0E8" w:rsidR="008C43C3" w:rsidRDefault="00847D38" w:rsidP="008C43C3">
          <w:pPr>
            <w:pStyle w:val="Title"/>
          </w:pPr>
          <w:r>
            <w:t>Technology Valuations Pre and Post-Tech Boom</w:t>
          </w:r>
        </w:p>
      </w:sdtContent>
    </w:sdt>
    <w:p w14:paraId="5A2D3E7A" w14:textId="316CBEAC" w:rsidR="001736B2" w:rsidRDefault="00857061" w:rsidP="00415035">
      <w:r>
        <w:t>M</w:t>
      </w:r>
      <w:r w:rsidR="00C75892">
        <w:t xml:space="preserve">y focus has been to analyze </w:t>
      </w:r>
      <w:r w:rsidR="00E36BAB">
        <w:t>how valuation has changed before and after the tech boom. It seems today that many companies wh</w:t>
      </w:r>
      <w:r w:rsidR="00230A2D">
        <w:t>ich</w:t>
      </w:r>
      <w:r w:rsidR="00E36BAB">
        <w:t xml:space="preserve"> make very little money are valued very high and I was interested in analyzing whether this trend truly exists, whether this has always been the case, or whether accounting standards have changed so much so that the valuations are on</w:t>
      </w:r>
      <w:r w:rsidR="00230A2D">
        <w:t xml:space="preserve"> </w:t>
      </w:r>
      <w:r w:rsidR="00E36BAB">
        <w:t>par with other companies based on earnings. I have compiled yearly data from FactSet from 1990 through 2021, created a new profitability</w:t>
      </w:r>
      <w:r w:rsidR="00230A2D">
        <w:t>-</w:t>
      </w:r>
      <w:r w:rsidR="00E36BAB">
        <w:t xml:space="preserve">determining number based on an adjusted-EBIT, calculated to determine which companies were profitable and which ones were unprofitable. </w:t>
      </w:r>
      <w:r w:rsidR="00DD4B60">
        <w:t>I compared the average</w:t>
      </w:r>
      <w:r>
        <w:t xml:space="preserve"> and median Enterprise Value-to-Sales multiple</w:t>
      </w:r>
      <w:r w:rsidR="00DD4B60">
        <w:t xml:space="preserve"> </w:t>
      </w:r>
      <w:r>
        <w:t>(</w:t>
      </w:r>
      <w:r w:rsidR="00DD4B60">
        <w:t>EV/Sales</w:t>
      </w:r>
      <w:r>
        <w:t>)</w:t>
      </w:r>
      <w:r w:rsidR="00DD4B60">
        <w:t xml:space="preserve"> for </w:t>
      </w:r>
      <w:r w:rsidR="00230A2D">
        <w:t xml:space="preserve">profitable and unprofitable companies in the same industry </w:t>
      </w:r>
      <w:r w:rsidR="00DD4B60">
        <w:t>based on</w:t>
      </w:r>
      <w:r>
        <w:t xml:space="preserve"> Revere Business Industry Classifications System (RBICS)</w:t>
      </w:r>
      <w:r w:rsidR="00230A2D">
        <w:t xml:space="preserve"> over </w:t>
      </w:r>
      <w:r w:rsidR="00633547">
        <w:t xml:space="preserve">two </w:t>
      </w:r>
      <w:r w:rsidR="00230A2D">
        <w:t xml:space="preserve">time periods: </w:t>
      </w:r>
      <w:r w:rsidR="00F97F78">
        <w:t>Pre-Tech Boom (prior to March 10</w:t>
      </w:r>
      <w:r w:rsidR="00F97F78" w:rsidRPr="00F97F78">
        <w:rPr>
          <w:vertAlign w:val="superscript"/>
        </w:rPr>
        <w:t>th</w:t>
      </w:r>
      <w:r w:rsidR="00F97F78">
        <w:t>, 2000) and Post-Tech Boom (following March 10</w:t>
      </w:r>
      <w:r w:rsidR="00F97F78" w:rsidRPr="00F97F78">
        <w:rPr>
          <w:vertAlign w:val="superscript"/>
        </w:rPr>
        <w:t>th</w:t>
      </w:r>
      <w:r w:rsidR="00F97F78">
        <w:t>, 2000</w:t>
      </w:r>
      <w:r w:rsidR="00DD4B60">
        <w:t xml:space="preserve">. </w:t>
      </w:r>
      <w:r w:rsidR="005E460D">
        <w:t xml:space="preserve">Our results showed evidence that unprofitability was treated with a higher EV/Sales multiple in the Pre-Tech Boom period rather than in the Post-Tech Boom period. </w:t>
      </w:r>
    </w:p>
    <w:p w14:paraId="2693BC7A" w14:textId="77777777" w:rsidR="00A83157" w:rsidRDefault="00A83157" w:rsidP="00415035"/>
    <w:p w14:paraId="1A3343E3" w14:textId="6859585C" w:rsidR="00847D38" w:rsidRDefault="00847D38" w:rsidP="00415035">
      <w:r>
        <w:t>Anshul Rana</w:t>
      </w:r>
      <w:r w:rsidR="00415035">
        <w:br/>
      </w:r>
      <w:hyperlink r:id="rId8" w:history="1">
        <w:r w:rsidRPr="00BF51DE">
          <w:rPr>
            <w:rStyle w:val="Hyperlink"/>
          </w:rPr>
          <w:t>anshulr@umich.edu</w:t>
        </w:r>
      </w:hyperlink>
    </w:p>
    <w:p w14:paraId="7A200095" w14:textId="77777777" w:rsidR="00847D38" w:rsidRDefault="00847D38" w:rsidP="00415035">
      <w:r>
        <w:t>(732) 710-5735</w:t>
      </w:r>
    </w:p>
    <w:p w14:paraId="404E7F73" w14:textId="76F5E81A" w:rsidR="00415035" w:rsidRDefault="00847D38" w:rsidP="00415035">
      <w:r>
        <w:t>12/1/21</w:t>
      </w:r>
      <w:r w:rsidR="00415035">
        <w:br/>
      </w:r>
      <w:r w:rsidR="00415035">
        <w:br w:type="page"/>
      </w:r>
    </w:p>
    <w:bookmarkStart w:id="0" w:name="_Toc4169848" w:displacedByCustomXml="next"/>
    <w:sdt>
      <w:sdtPr>
        <w:rPr>
          <w:rFonts w:asciiTheme="minorHAnsi" w:eastAsiaTheme="minorEastAsia" w:hAnsiTheme="minorHAnsi" w:cstheme="minorBidi"/>
          <w:color w:val="auto"/>
          <w:sz w:val="21"/>
          <w:szCs w:val="21"/>
        </w:rPr>
        <w:id w:val="-1989165954"/>
        <w:docPartObj>
          <w:docPartGallery w:val="Table of Contents"/>
          <w:docPartUnique/>
        </w:docPartObj>
      </w:sdtPr>
      <w:sdtEndPr>
        <w:rPr>
          <w:rFonts w:ascii="News Gothic MT" w:hAnsi="News Gothic MT"/>
          <w:b/>
          <w:bCs/>
          <w:noProof/>
        </w:rPr>
      </w:sdtEndPr>
      <w:sdtContent>
        <w:p w14:paraId="6AC76E8E" w14:textId="5136F73E" w:rsidR="006D6108" w:rsidRDefault="006D6108">
          <w:pPr>
            <w:pStyle w:val="TOCHeading"/>
          </w:pPr>
          <w:r>
            <w:t>Contents</w:t>
          </w:r>
        </w:p>
        <w:p w14:paraId="23BDFECB" w14:textId="4AA331F6" w:rsidR="001A17F8" w:rsidRDefault="006801A0">
          <w:pPr>
            <w:pStyle w:val="TOC1"/>
            <w:tabs>
              <w:tab w:val="right" w:leader="dot" w:pos="9350"/>
            </w:tabs>
            <w:rPr>
              <w:rFonts w:asciiTheme="minorHAnsi" w:hAnsiTheme="minorHAnsi"/>
              <w:b w:val="0"/>
              <w:bCs w:val="0"/>
              <w:caps w:val="0"/>
              <w:noProof/>
            </w:rPr>
          </w:pPr>
          <w:r>
            <w:fldChar w:fldCharType="begin"/>
          </w:r>
          <w:r>
            <w:instrText xml:space="preserve"> TOC \o "1-3" \h \z \u </w:instrText>
          </w:r>
          <w:r>
            <w:fldChar w:fldCharType="separate"/>
          </w:r>
          <w:hyperlink w:anchor="_Toc90181477" w:history="1">
            <w:r w:rsidR="001A17F8" w:rsidRPr="00167744">
              <w:rPr>
                <w:rStyle w:val="Hyperlink"/>
                <w:noProof/>
              </w:rPr>
              <w:t>Introduction</w:t>
            </w:r>
            <w:r w:rsidR="001A17F8">
              <w:rPr>
                <w:noProof/>
                <w:webHidden/>
              </w:rPr>
              <w:tab/>
            </w:r>
            <w:r w:rsidR="001A17F8">
              <w:rPr>
                <w:noProof/>
                <w:webHidden/>
              </w:rPr>
              <w:fldChar w:fldCharType="begin"/>
            </w:r>
            <w:r w:rsidR="001A17F8">
              <w:rPr>
                <w:noProof/>
                <w:webHidden/>
              </w:rPr>
              <w:instrText xml:space="preserve"> PAGEREF _Toc90181477 \h </w:instrText>
            </w:r>
            <w:r w:rsidR="001A17F8">
              <w:rPr>
                <w:noProof/>
                <w:webHidden/>
              </w:rPr>
            </w:r>
            <w:r w:rsidR="001A17F8">
              <w:rPr>
                <w:noProof/>
                <w:webHidden/>
              </w:rPr>
              <w:fldChar w:fldCharType="separate"/>
            </w:r>
            <w:r w:rsidR="001A17F8">
              <w:rPr>
                <w:noProof/>
                <w:webHidden/>
              </w:rPr>
              <w:t>1</w:t>
            </w:r>
            <w:r w:rsidR="001A17F8">
              <w:rPr>
                <w:noProof/>
                <w:webHidden/>
              </w:rPr>
              <w:fldChar w:fldCharType="end"/>
            </w:r>
          </w:hyperlink>
        </w:p>
        <w:p w14:paraId="4AE4884A" w14:textId="70573283" w:rsidR="001A17F8" w:rsidRDefault="00305165">
          <w:pPr>
            <w:pStyle w:val="TOC2"/>
            <w:tabs>
              <w:tab w:val="right" w:leader="dot" w:pos="9350"/>
            </w:tabs>
            <w:rPr>
              <w:rFonts w:asciiTheme="minorHAnsi" w:hAnsiTheme="minorHAnsi"/>
              <w:b w:val="0"/>
              <w:bCs w:val="0"/>
              <w:noProof/>
              <w:sz w:val="24"/>
              <w:szCs w:val="24"/>
            </w:rPr>
          </w:pPr>
          <w:hyperlink w:anchor="_Toc90181478" w:history="1">
            <w:r w:rsidR="001A17F8" w:rsidRPr="00167744">
              <w:rPr>
                <w:rStyle w:val="Hyperlink"/>
                <w:noProof/>
              </w:rPr>
              <w:t>Changes in Profitability</w:t>
            </w:r>
            <w:r w:rsidR="001A17F8">
              <w:rPr>
                <w:noProof/>
                <w:webHidden/>
              </w:rPr>
              <w:tab/>
            </w:r>
            <w:r w:rsidR="001A17F8">
              <w:rPr>
                <w:noProof/>
                <w:webHidden/>
              </w:rPr>
              <w:fldChar w:fldCharType="begin"/>
            </w:r>
            <w:r w:rsidR="001A17F8">
              <w:rPr>
                <w:noProof/>
                <w:webHidden/>
              </w:rPr>
              <w:instrText xml:space="preserve"> PAGEREF _Toc90181478 \h </w:instrText>
            </w:r>
            <w:r w:rsidR="001A17F8">
              <w:rPr>
                <w:noProof/>
                <w:webHidden/>
              </w:rPr>
            </w:r>
            <w:r w:rsidR="001A17F8">
              <w:rPr>
                <w:noProof/>
                <w:webHidden/>
              </w:rPr>
              <w:fldChar w:fldCharType="separate"/>
            </w:r>
            <w:r w:rsidR="001A17F8">
              <w:rPr>
                <w:noProof/>
                <w:webHidden/>
              </w:rPr>
              <w:t>1</w:t>
            </w:r>
            <w:r w:rsidR="001A17F8">
              <w:rPr>
                <w:noProof/>
                <w:webHidden/>
              </w:rPr>
              <w:fldChar w:fldCharType="end"/>
            </w:r>
          </w:hyperlink>
        </w:p>
        <w:p w14:paraId="3C4D50DB" w14:textId="7A68218B" w:rsidR="001A17F8" w:rsidRDefault="00305165">
          <w:pPr>
            <w:pStyle w:val="TOC2"/>
            <w:tabs>
              <w:tab w:val="right" w:leader="dot" w:pos="9350"/>
            </w:tabs>
            <w:rPr>
              <w:rFonts w:asciiTheme="minorHAnsi" w:hAnsiTheme="minorHAnsi"/>
              <w:b w:val="0"/>
              <w:bCs w:val="0"/>
              <w:noProof/>
              <w:sz w:val="24"/>
              <w:szCs w:val="24"/>
            </w:rPr>
          </w:pPr>
          <w:hyperlink w:anchor="_Toc90181479" w:history="1">
            <w:r w:rsidR="001A17F8" w:rsidRPr="00167744">
              <w:rPr>
                <w:rStyle w:val="Hyperlink"/>
                <w:noProof/>
              </w:rPr>
              <w:t>Relevance to Investing Today</w:t>
            </w:r>
            <w:r w:rsidR="001A17F8">
              <w:rPr>
                <w:noProof/>
                <w:webHidden/>
              </w:rPr>
              <w:tab/>
            </w:r>
            <w:r w:rsidR="001A17F8">
              <w:rPr>
                <w:noProof/>
                <w:webHidden/>
              </w:rPr>
              <w:fldChar w:fldCharType="begin"/>
            </w:r>
            <w:r w:rsidR="001A17F8">
              <w:rPr>
                <w:noProof/>
                <w:webHidden/>
              </w:rPr>
              <w:instrText xml:space="preserve"> PAGEREF _Toc90181479 \h </w:instrText>
            </w:r>
            <w:r w:rsidR="001A17F8">
              <w:rPr>
                <w:noProof/>
                <w:webHidden/>
              </w:rPr>
            </w:r>
            <w:r w:rsidR="001A17F8">
              <w:rPr>
                <w:noProof/>
                <w:webHidden/>
              </w:rPr>
              <w:fldChar w:fldCharType="separate"/>
            </w:r>
            <w:r w:rsidR="001A17F8">
              <w:rPr>
                <w:noProof/>
                <w:webHidden/>
              </w:rPr>
              <w:t>1</w:t>
            </w:r>
            <w:r w:rsidR="001A17F8">
              <w:rPr>
                <w:noProof/>
                <w:webHidden/>
              </w:rPr>
              <w:fldChar w:fldCharType="end"/>
            </w:r>
          </w:hyperlink>
        </w:p>
        <w:p w14:paraId="7D23B074" w14:textId="615914AD" w:rsidR="001A17F8" w:rsidRDefault="00305165">
          <w:pPr>
            <w:pStyle w:val="TOC1"/>
            <w:tabs>
              <w:tab w:val="right" w:leader="dot" w:pos="9350"/>
            </w:tabs>
            <w:rPr>
              <w:rFonts w:asciiTheme="minorHAnsi" w:hAnsiTheme="minorHAnsi"/>
              <w:b w:val="0"/>
              <w:bCs w:val="0"/>
              <w:caps w:val="0"/>
              <w:noProof/>
            </w:rPr>
          </w:pPr>
          <w:hyperlink w:anchor="_Toc90181480" w:history="1">
            <w:r w:rsidR="001A17F8" w:rsidRPr="00167744">
              <w:rPr>
                <w:rStyle w:val="Hyperlink"/>
                <w:noProof/>
              </w:rPr>
              <w:t>Method and data</w:t>
            </w:r>
            <w:r w:rsidR="001A17F8">
              <w:rPr>
                <w:noProof/>
                <w:webHidden/>
              </w:rPr>
              <w:tab/>
            </w:r>
            <w:r w:rsidR="001A17F8">
              <w:rPr>
                <w:noProof/>
                <w:webHidden/>
              </w:rPr>
              <w:fldChar w:fldCharType="begin"/>
            </w:r>
            <w:r w:rsidR="001A17F8">
              <w:rPr>
                <w:noProof/>
                <w:webHidden/>
              </w:rPr>
              <w:instrText xml:space="preserve"> PAGEREF _Toc90181480 \h </w:instrText>
            </w:r>
            <w:r w:rsidR="001A17F8">
              <w:rPr>
                <w:noProof/>
                <w:webHidden/>
              </w:rPr>
            </w:r>
            <w:r w:rsidR="001A17F8">
              <w:rPr>
                <w:noProof/>
                <w:webHidden/>
              </w:rPr>
              <w:fldChar w:fldCharType="separate"/>
            </w:r>
            <w:r w:rsidR="001A17F8">
              <w:rPr>
                <w:noProof/>
                <w:webHidden/>
              </w:rPr>
              <w:t>2</w:t>
            </w:r>
            <w:r w:rsidR="001A17F8">
              <w:rPr>
                <w:noProof/>
                <w:webHidden/>
              </w:rPr>
              <w:fldChar w:fldCharType="end"/>
            </w:r>
          </w:hyperlink>
        </w:p>
        <w:p w14:paraId="5D355C9B" w14:textId="679AC3F2" w:rsidR="001A17F8" w:rsidRDefault="00305165">
          <w:pPr>
            <w:pStyle w:val="TOC1"/>
            <w:tabs>
              <w:tab w:val="right" w:leader="dot" w:pos="9350"/>
            </w:tabs>
            <w:rPr>
              <w:rFonts w:asciiTheme="minorHAnsi" w:hAnsiTheme="minorHAnsi"/>
              <w:b w:val="0"/>
              <w:bCs w:val="0"/>
              <w:caps w:val="0"/>
              <w:noProof/>
            </w:rPr>
          </w:pPr>
          <w:hyperlink w:anchor="_Toc90181481" w:history="1">
            <w:r w:rsidR="001A17F8" w:rsidRPr="00167744">
              <w:rPr>
                <w:rStyle w:val="Hyperlink"/>
                <w:noProof/>
              </w:rPr>
              <w:t>Results</w:t>
            </w:r>
            <w:r w:rsidR="001A17F8">
              <w:rPr>
                <w:noProof/>
                <w:webHidden/>
              </w:rPr>
              <w:tab/>
            </w:r>
            <w:r w:rsidR="001A17F8">
              <w:rPr>
                <w:noProof/>
                <w:webHidden/>
              </w:rPr>
              <w:fldChar w:fldCharType="begin"/>
            </w:r>
            <w:r w:rsidR="001A17F8">
              <w:rPr>
                <w:noProof/>
                <w:webHidden/>
              </w:rPr>
              <w:instrText xml:space="preserve"> PAGEREF _Toc90181481 \h </w:instrText>
            </w:r>
            <w:r w:rsidR="001A17F8">
              <w:rPr>
                <w:noProof/>
                <w:webHidden/>
              </w:rPr>
            </w:r>
            <w:r w:rsidR="001A17F8">
              <w:rPr>
                <w:noProof/>
                <w:webHidden/>
              </w:rPr>
              <w:fldChar w:fldCharType="separate"/>
            </w:r>
            <w:r w:rsidR="001A17F8">
              <w:rPr>
                <w:noProof/>
                <w:webHidden/>
              </w:rPr>
              <w:t>3</w:t>
            </w:r>
            <w:r w:rsidR="001A17F8">
              <w:rPr>
                <w:noProof/>
                <w:webHidden/>
              </w:rPr>
              <w:fldChar w:fldCharType="end"/>
            </w:r>
          </w:hyperlink>
        </w:p>
        <w:p w14:paraId="632E99EC" w14:textId="377D49E0" w:rsidR="001A17F8" w:rsidRDefault="00305165">
          <w:pPr>
            <w:pStyle w:val="TOC2"/>
            <w:tabs>
              <w:tab w:val="right" w:leader="dot" w:pos="9350"/>
            </w:tabs>
            <w:rPr>
              <w:rFonts w:asciiTheme="minorHAnsi" w:hAnsiTheme="minorHAnsi"/>
              <w:b w:val="0"/>
              <w:bCs w:val="0"/>
              <w:noProof/>
              <w:sz w:val="24"/>
              <w:szCs w:val="24"/>
            </w:rPr>
          </w:pPr>
          <w:hyperlink w:anchor="_Toc90181482" w:history="1">
            <w:r w:rsidR="001A17F8" w:rsidRPr="00167744">
              <w:rPr>
                <w:rStyle w:val="Hyperlink"/>
                <w:noProof/>
              </w:rPr>
              <w:t>Number of Profitable Observations Over Time</w:t>
            </w:r>
            <w:r w:rsidR="001A17F8">
              <w:rPr>
                <w:noProof/>
                <w:webHidden/>
              </w:rPr>
              <w:tab/>
            </w:r>
            <w:r w:rsidR="001A17F8">
              <w:rPr>
                <w:noProof/>
                <w:webHidden/>
              </w:rPr>
              <w:fldChar w:fldCharType="begin"/>
            </w:r>
            <w:r w:rsidR="001A17F8">
              <w:rPr>
                <w:noProof/>
                <w:webHidden/>
              </w:rPr>
              <w:instrText xml:space="preserve"> PAGEREF _Toc90181482 \h </w:instrText>
            </w:r>
            <w:r w:rsidR="001A17F8">
              <w:rPr>
                <w:noProof/>
                <w:webHidden/>
              </w:rPr>
            </w:r>
            <w:r w:rsidR="001A17F8">
              <w:rPr>
                <w:noProof/>
                <w:webHidden/>
              </w:rPr>
              <w:fldChar w:fldCharType="separate"/>
            </w:r>
            <w:r w:rsidR="001A17F8">
              <w:rPr>
                <w:noProof/>
                <w:webHidden/>
              </w:rPr>
              <w:t>3</w:t>
            </w:r>
            <w:r w:rsidR="001A17F8">
              <w:rPr>
                <w:noProof/>
                <w:webHidden/>
              </w:rPr>
              <w:fldChar w:fldCharType="end"/>
            </w:r>
          </w:hyperlink>
        </w:p>
        <w:p w14:paraId="0DD3D6FE" w14:textId="1F157CA5" w:rsidR="001A17F8" w:rsidRDefault="00305165">
          <w:pPr>
            <w:pStyle w:val="TOC2"/>
            <w:tabs>
              <w:tab w:val="right" w:leader="dot" w:pos="9350"/>
            </w:tabs>
            <w:rPr>
              <w:rFonts w:asciiTheme="minorHAnsi" w:hAnsiTheme="minorHAnsi"/>
              <w:b w:val="0"/>
              <w:bCs w:val="0"/>
              <w:noProof/>
              <w:sz w:val="24"/>
              <w:szCs w:val="24"/>
            </w:rPr>
          </w:pPr>
          <w:hyperlink w:anchor="_Toc90181483" w:history="1">
            <w:r w:rsidR="001A17F8" w:rsidRPr="00167744">
              <w:rPr>
                <w:rStyle w:val="Hyperlink"/>
                <w:noProof/>
              </w:rPr>
              <w:t>Valuation Comparison (Mean and Median EV/Sales)</w:t>
            </w:r>
            <w:r w:rsidR="001A17F8">
              <w:rPr>
                <w:noProof/>
                <w:webHidden/>
              </w:rPr>
              <w:tab/>
            </w:r>
            <w:r w:rsidR="001A17F8">
              <w:rPr>
                <w:noProof/>
                <w:webHidden/>
              </w:rPr>
              <w:fldChar w:fldCharType="begin"/>
            </w:r>
            <w:r w:rsidR="001A17F8">
              <w:rPr>
                <w:noProof/>
                <w:webHidden/>
              </w:rPr>
              <w:instrText xml:space="preserve"> PAGEREF _Toc90181483 \h </w:instrText>
            </w:r>
            <w:r w:rsidR="001A17F8">
              <w:rPr>
                <w:noProof/>
                <w:webHidden/>
              </w:rPr>
            </w:r>
            <w:r w:rsidR="001A17F8">
              <w:rPr>
                <w:noProof/>
                <w:webHidden/>
              </w:rPr>
              <w:fldChar w:fldCharType="separate"/>
            </w:r>
            <w:r w:rsidR="001A17F8">
              <w:rPr>
                <w:noProof/>
                <w:webHidden/>
              </w:rPr>
              <w:t>4</w:t>
            </w:r>
            <w:r w:rsidR="001A17F8">
              <w:rPr>
                <w:noProof/>
                <w:webHidden/>
              </w:rPr>
              <w:fldChar w:fldCharType="end"/>
            </w:r>
          </w:hyperlink>
        </w:p>
        <w:p w14:paraId="12EB831A" w14:textId="72FCFBA9" w:rsidR="001A17F8" w:rsidRDefault="00305165">
          <w:pPr>
            <w:pStyle w:val="TOC1"/>
            <w:tabs>
              <w:tab w:val="right" w:leader="dot" w:pos="9350"/>
            </w:tabs>
            <w:rPr>
              <w:rFonts w:asciiTheme="minorHAnsi" w:hAnsiTheme="minorHAnsi"/>
              <w:b w:val="0"/>
              <w:bCs w:val="0"/>
              <w:caps w:val="0"/>
              <w:noProof/>
            </w:rPr>
          </w:pPr>
          <w:hyperlink w:anchor="_Toc90181484" w:history="1">
            <w:r w:rsidR="001A17F8" w:rsidRPr="00167744">
              <w:rPr>
                <w:rStyle w:val="Hyperlink"/>
                <w:noProof/>
              </w:rPr>
              <w:t>Conclusion</w:t>
            </w:r>
            <w:r w:rsidR="001A17F8">
              <w:rPr>
                <w:noProof/>
                <w:webHidden/>
              </w:rPr>
              <w:tab/>
            </w:r>
            <w:r w:rsidR="001A17F8">
              <w:rPr>
                <w:noProof/>
                <w:webHidden/>
              </w:rPr>
              <w:fldChar w:fldCharType="begin"/>
            </w:r>
            <w:r w:rsidR="001A17F8">
              <w:rPr>
                <w:noProof/>
                <w:webHidden/>
              </w:rPr>
              <w:instrText xml:space="preserve"> PAGEREF _Toc90181484 \h </w:instrText>
            </w:r>
            <w:r w:rsidR="001A17F8">
              <w:rPr>
                <w:noProof/>
                <w:webHidden/>
              </w:rPr>
            </w:r>
            <w:r w:rsidR="001A17F8">
              <w:rPr>
                <w:noProof/>
                <w:webHidden/>
              </w:rPr>
              <w:fldChar w:fldCharType="separate"/>
            </w:r>
            <w:r w:rsidR="001A17F8">
              <w:rPr>
                <w:noProof/>
                <w:webHidden/>
              </w:rPr>
              <w:t>5</w:t>
            </w:r>
            <w:r w:rsidR="001A17F8">
              <w:rPr>
                <w:noProof/>
                <w:webHidden/>
              </w:rPr>
              <w:fldChar w:fldCharType="end"/>
            </w:r>
          </w:hyperlink>
        </w:p>
        <w:p w14:paraId="7FE925BC" w14:textId="7C354C53" w:rsidR="006D6108" w:rsidRDefault="006801A0">
          <w:r>
            <w:rPr>
              <w:rFonts w:asciiTheme="majorHAnsi" w:hAnsiTheme="majorHAnsi"/>
              <w:sz w:val="24"/>
              <w:szCs w:val="24"/>
            </w:rPr>
            <w:fldChar w:fldCharType="end"/>
          </w:r>
        </w:p>
      </w:sdtContent>
    </w:sdt>
    <w:p w14:paraId="26BF2E0F" w14:textId="754607AD" w:rsidR="006D6108" w:rsidRDefault="006D6108" w:rsidP="006D6108">
      <w:pPr>
        <w:pStyle w:val="TOCHeading"/>
      </w:pPr>
      <w:r>
        <w:t>Tables</w:t>
      </w:r>
    </w:p>
    <w:p w14:paraId="1954AAF2" w14:textId="01C0BF93" w:rsidR="005E460D" w:rsidRDefault="006D6108">
      <w:pPr>
        <w:pStyle w:val="TableofFigures"/>
        <w:tabs>
          <w:tab w:val="right" w:leader="dot" w:pos="9350"/>
        </w:tabs>
        <w:rPr>
          <w:rFonts w:asciiTheme="minorHAnsi" w:hAnsiTheme="minorHAnsi"/>
          <w:noProof/>
          <w:sz w:val="24"/>
          <w:szCs w:val="24"/>
        </w:rPr>
      </w:pPr>
      <w:r>
        <w:fldChar w:fldCharType="begin"/>
      </w:r>
      <w:r>
        <w:instrText xml:space="preserve"> TOC \c "Table" </w:instrText>
      </w:r>
      <w:r>
        <w:fldChar w:fldCharType="separate"/>
      </w:r>
      <w:r w:rsidR="005E460D">
        <w:rPr>
          <w:noProof/>
        </w:rPr>
        <w:t>Table 1. Data</w:t>
      </w:r>
      <w:r w:rsidR="005E460D">
        <w:rPr>
          <w:noProof/>
        </w:rPr>
        <w:tab/>
      </w:r>
      <w:r w:rsidR="005E460D">
        <w:rPr>
          <w:noProof/>
        </w:rPr>
        <w:fldChar w:fldCharType="begin"/>
      </w:r>
      <w:r w:rsidR="005E460D">
        <w:rPr>
          <w:noProof/>
        </w:rPr>
        <w:instrText xml:space="preserve"> PAGEREF _Toc90812714 \h </w:instrText>
      </w:r>
      <w:r w:rsidR="005E460D">
        <w:rPr>
          <w:noProof/>
        </w:rPr>
      </w:r>
      <w:r w:rsidR="005E460D">
        <w:rPr>
          <w:noProof/>
        </w:rPr>
        <w:fldChar w:fldCharType="separate"/>
      </w:r>
      <w:r w:rsidR="005E460D">
        <w:rPr>
          <w:noProof/>
        </w:rPr>
        <w:t>2</w:t>
      </w:r>
      <w:r w:rsidR="005E460D">
        <w:rPr>
          <w:noProof/>
        </w:rPr>
        <w:fldChar w:fldCharType="end"/>
      </w:r>
    </w:p>
    <w:p w14:paraId="602EBF62" w14:textId="5912F7B1" w:rsidR="005E460D" w:rsidRDefault="005E460D">
      <w:pPr>
        <w:pStyle w:val="TableofFigures"/>
        <w:tabs>
          <w:tab w:val="right" w:leader="dot" w:pos="9350"/>
        </w:tabs>
        <w:rPr>
          <w:rFonts w:asciiTheme="minorHAnsi" w:hAnsiTheme="minorHAnsi"/>
          <w:noProof/>
          <w:sz w:val="24"/>
          <w:szCs w:val="24"/>
        </w:rPr>
      </w:pPr>
      <w:r>
        <w:rPr>
          <w:noProof/>
        </w:rPr>
        <w:t>Table 2. Key Variables</w:t>
      </w:r>
      <w:r>
        <w:rPr>
          <w:noProof/>
        </w:rPr>
        <w:tab/>
      </w:r>
      <w:r>
        <w:rPr>
          <w:noProof/>
        </w:rPr>
        <w:fldChar w:fldCharType="begin"/>
      </w:r>
      <w:r>
        <w:rPr>
          <w:noProof/>
        </w:rPr>
        <w:instrText xml:space="preserve"> PAGEREF _Toc90812715 \h </w:instrText>
      </w:r>
      <w:r>
        <w:rPr>
          <w:noProof/>
        </w:rPr>
      </w:r>
      <w:r>
        <w:rPr>
          <w:noProof/>
        </w:rPr>
        <w:fldChar w:fldCharType="separate"/>
      </w:r>
      <w:r>
        <w:rPr>
          <w:noProof/>
        </w:rPr>
        <w:t>2</w:t>
      </w:r>
      <w:r>
        <w:rPr>
          <w:noProof/>
        </w:rPr>
        <w:fldChar w:fldCharType="end"/>
      </w:r>
    </w:p>
    <w:p w14:paraId="7C70F8A7" w14:textId="7497D41F" w:rsidR="005E460D" w:rsidRDefault="005E460D">
      <w:pPr>
        <w:pStyle w:val="TableofFigures"/>
        <w:tabs>
          <w:tab w:val="right" w:leader="dot" w:pos="9350"/>
        </w:tabs>
        <w:rPr>
          <w:rFonts w:asciiTheme="minorHAnsi" w:hAnsiTheme="minorHAnsi"/>
          <w:noProof/>
          <w:sz w:val="24"/>
          <w:szCs w:val="24"/>
        </w:rPr>
      </w:pPr>
      <w:r>
        <w:rPr>
          <w:noProof/>
        </w:rPr>
        <w:t>Table 3. Descriptive Statistics</w:t>
      </w:r>
      <w:r>
        <w:rPr>
          <w:noProof/>
        </w:rPr>
        <w:tab/>
      </w:r>
      <w:r>
        <w:rPr>
          <w:noProof/>
        </w:rPr>
        <w:fldChar w:fldCharType="begin"/>
      </w:r>
      <w:r>
        <w:rPr>
          <w:noProof/>
        </w:rPr>
        <w:instrText xml:space="preserve"> PAGEREF _Toc90812716 \h </w:instrText>
      </w:r>
      <w:r>
        <w:rPr>
          <w:noProof/>
        </w:rPr>
      </w:r>
      <w:r>
        <w:rPr>
          <w:noProof/>
        </w:rPr>
        <w:fldChar w:fldCharType="separate"/>
      </w:r>
      <w:r>
        <w:rPr>
          <w:noProof/>
        </w:rPr>
        <w:t>3</w:t>
      </w:r>
      <w:r>
        <w:rPr>
          <w:noProof/>
        </w:rPr>
        <w:fldChar w:fldCharType="end"/>
      </w:r>
    </w:p>
    <w:p w14:paraId="150007A5" w14:textId="58A5ECE8" w:rsidR="005E460D" w:rsidRDefault="005E460D">
      <w:pPr>
        <w:pStyle w:val="TableofFigures"/>
        <w:tabs>
          <w:tab w:val="right" w:leader="dot" w:pos="9350"/>
        </w:tabs>
        <w:rPr>
          <w:rFonts w:asciiTheme="minorHAnsi" w:hAnsiTheme="minorHAnsi"/>
          <w:noProof/>
          <w:sz w:val="24"/>
          <w:szCs w:val="24"/>
        </w:rPr>
      </w:pPr>
      <w:r>
        <w:rPr>
          <w:noProof/>
        </w:rPr>
        <w:t>Table 4. Percentage of Observations Across Time</w:t>
      </w:r>
      <w:r>
        <w:rPr>
          <w:noProof/>
        </w:rPr>
        <w:tab/>
      </w:r>
      <w:r>
        <w:rPr>
          <w:noProof/>
        </w:rPr>
        <w:fldChar w:fldCharType="begin"/>
      </w:r>
      <w:r>
        <w:rPr>
          <w:noProof/>
        </w:rPr>
        <w:instrText xml:space="preserve"> PAGEREF _Toc90812717 \h </w:instrText>
      </w:r>
      <w:r>
        <w:rPr>
          <w:noProof/>
        </w:rPr>
      </w:r>
      <w:r>
        <w:rPr>
          <w:noProof/>
        </w:rPr>
        <w:fldChar w:fldCharType="separate"/>
      </w:r>
      <w:r>
        <w:rPr>
          <w:noProof/>
        </w:rPr>
        <w:t>4</w:t>
      </w:r>
      <w:r>
        <w:rPr>
          <w:noProof/>
        </w:rPr>
        <w:fldChar w:fldCharType="end"/>
      </w:r>
    </w:p>
    <w:p w14:paraId="3D320ADA" w14:textId="06B9BF17" w:rsidR="005E460D" w:rsidRDefault="005E460D">
      <w:pPr>
        <w:pStyle w:val="TableofFigures"/>
        <w:tabs>
          <w:tab w:val="right" w:leader="dot" w:pos="9350"/>
        </w:tabs>
        <w:rPr>
          <w:rFonts w:asciiTheme="minorHAnsi" w:hAnsiTheme="minorHAnsi"/>
          <w:noProof/>
          <w:sz w:val="24"/>
          <w:szCs w:val="24"/>
        </w:rPr>
      </w:pPr>
      <w:r>
        <w:rPr>
          <w:noProof/>
        </w:rPr>
        <w:t>Table 5. Percent Change in Multiples for Profitable and Unprofitable Companies Across Time</w:t>
      </w:r>
      <w:r>
        <w:rPr>
          <w:noProof/>
        </w:rPr>
        <w:tab/>
      </w:r>
      <w:r>
        <w:rPr>
          <w:noProof/>
        </w:rPr>
        <w:fldChar w:fldCharType="begin"/>
      </w:r>
      <w:r>
        <w:rPr>
          <w:noProof/>
        </w:rPr>
        <w:instrText xml:space="preserve"> PAGEREF _Toc90812718 \h </w:instrText>
      </w:r>
      <w:r>
        <w:rPr>
          <w:noProof/>
        </w:rPr>
      </w:r>
      <w:r>
        <w:rPr>
          <w:noProof/>
        </w:rPr>
        <w:fldChar w:fldCharType="separate"/>
      </w:r>
      <w:r>
        <w:rPr>
          <w:noProof/>
        </w:rPr>
        <w:t>5</w:t>
      </w:r>
      <w:r>
        <w:rPr>
          <w:noProof/>
        </w:rPr>
        <w:fldChar w:fldCharType="end"/>
      </w:r>
    </w:p>
    <w:p w14:paraId="79BE330B" w14:textId="77777777" w:rsidR="009D2C87" w:rsidRDefault="006D6108" w:rsidP="00CA4784">
      <w:pPr>
        <w:pStyle w:val="TOCHeading"/>
        <w:rPr>
          <w:noProof/>
        </w:rPr>
      </w:pPr>
      <w:r>
        <w:fldChar w:fldCharType="end"/>
      </w:r>
      <w:r w:rsidR="00CA4784">
        <w:t>Figures</w:t>
      </w:r>
      <w:r w:rsidR="00CA4784">
        <w:fldChar w:fldCharType="begin"/>
      </w:r>
      <w:r w:rsidR="00CA4784">
        <w:instrText xml:space="preserve"> TOC \c "Figure" </w:instrText>
      </w:r>
      <w:r w:rsidR="00CA4784">
        <w:fldChar w:fldCharType="separate"/>
      </w:r>
    </w:p>
    <w:p w14:paraId="1AA15D3B" w14:textId="10B92123" w:rsidR="006D6108" w:rsidRPr="006D6108" w:rsidRDefault="009D2C87" w:rsidP="006D6108">
      <w:r>
        <w:rPr>
          <w:b/>
          <w:bCs/>
          <w:noProof/>
        </w:rPr>
        <w:t>No table of figures entries found.</w:t>
      </w:r>
      <w:r w:rsidR="00CA4784">
        <w:fldChar w:fldCharType="end"/>
      </w:r>
    </w:p>
    <w:p w14:paraId="4B29CA9F" w14:textId="77777777" w:rsidR="001736B2" w:rsidRPr="00CD5B21" w:rsidRDefault="001736B2" w:rsidP="000A6D8C"/>
    <w:bookmarkEnd w:id="0"/>
    <w:p w14:paraId="6B55FB23" w14:textId="77777777" w:rsidR="00415035" w:rsidRDefault="00415035" w:rsidP="00DB7C48">
      <w:pPr>
        <w:pStyle w:val="Heading1"/>
        <w:sectPr w:rsidR="00415035" w:rsidSect="006D6108">
          <w:headerReference w:type="default" r:id="rId9"/>
          <w:footerReference w:type="default" r:id="rId10"/>
          <w:headerReference w:type="first" r:id="rId11"/>
          <w:pgSz w:w="12240" w:h="15840"/>
          <w:pgMar w:top="1440" w:right="1440" w:bottom="1440" w:left="1440" w:header="432" w:footer="720" w:gutter="0"/>
          <w:pgNumType w:fmt="lowerRoman"/>
          <w:cols w:space="720"/>
          <w:titlePg/>
          <w:docGrid w:linePitch="360"/>
        </w:sectPr>
      </w:pPr>
    </w:p>
    <w:p w14:paraId="087B0457" w14:textId="04125D78" w:rsidR="009E5545" w:rsidRDefault="00C6651D" w:rsidP="00B74EF4">
      <w:pPr>
        <w:pStyle w:val="Heading1"/>
      </w:pPr>
      <w:bookmarkStart w:id="1" w:name="_Toc90181477"/>
      <w:r>
        <w:lastRenderedPageBreak/>
        <w:t>Introduction</w:t>
      </w:r>
      <w:bookmarkEnd w:id="1"/>
    </w:p>
    <w:p w14:paraId="584B438E" w14:textId="4497E26B" w:rsidR="00725E01" w:rsidRDefault="00857061" w:rsidP="00725E01">
      <w:pPr>
        <w:pStyle w:val="Heading2"/>
      </w:pPr>
      <w:bookmarkStart w:id="2" w:name="_Toc90181478"/>
      <w:r>
        <w:t>Changes in Profitability</w:t>
      </w:r>
      <w:bookmarkEnd w:id="2"/>
    </w:p>
    <w:p w14:paraId="0FE80FE9" w14:textId="4636862B" w:rsidR="00725E01" w:rsidRDefault="001A295E" w:rsidP="00725E01">
      <w:r>
        <w:t>How has valuation changed in the time since the 2000 Dot Com Bubble burst? It seems that now, more than ever, tech companies with very negative net income receive significant valuations</w:t>
      </w:r>
      <w:r w:rsidR="00FC67CF">
        <w:t xml:space="preserve">, but perhaps this is rather an issue with the </w:t>
      </w:r>
      <w:r w:rsidR="00497D8F">
        <w:t>way</w:t>
      </w:r>
      <w:r w:rsidR="00FC67CF">
        <w:t xml:space="preserve"> net income is calculated as compared to whether these </w:t>
      </w:r>
      <w:r w:rsidR="00230A2D">
        <w:t>un</w:t>
      </w:r>
      <w:r w:rsidR="00FC67CF">
        <w:t xml:space="preserve">profitable companies deserve such a valuation. </w:t>
      </w:r>
      <w:r w:rsidR="00497D8F">
        <w:t xml:space="preserve">For example, in years past, a mining company </w:t>
      </w:r>
      <w:r w:rsidR="00230A2D">
        <w:t>woul</w:t>
      </w:r>
      <w:r w:rsidR="00752326">
        <w:t xml:space="preserve">d </w:t>
      </w:r>
      <w:r w:rsidR="00497D8F">
        <w:t xml:space="preserve">buy equipment that would increase its future output and growth, charge it to its balance sheet and slowly depreciate it away. However, in today’s modern era, </w:t>
      </w:r>
      <w:r w:rsidR="00A8349A">
        <w:t xml:space="preserve">tech </w:t>
      </w:r>
      <w:r w:rsidR="00497D8F">
        <w:t xml:space="preserve">companies put few resources in hard assets, but invest heavily in Research and Development or put </w:t>
      </w:r>
      <w:r w:rsidR="00A8349A">
        <w:t>money</w:t>
      </w:r>
      <w:r w:rsidR="00497D8F">
        <w:t xml:space="preserve"> towards creating network effects through Sales and Marketing expenditure. </w:t>
      </w:r>
      <w:r w:rsidR="00A8349A">
        <w:t xml:space="preserve">Both these expenses act similarly to the expenditure done by a mining company in that they grow future potential, but they are accounted for distinctly. </w:t>
      </w:r>
      <w:r w:rsidR="00230A2D">
        <w:t>It is possible that company profitability is the same as it always was, but a change in industry composition has led to a higher proportion of firms reporting losses due to conservative accounting conventions.</w:t>
      </w:r>
    </w:p>
    <w:p w14:paraId="62C50908" w14:textId="39A2C578" w:rsidR="00A8349A" w:rsidRDefault="00A8349A" w:rsidP="00725E01">
      <w:r>
        <w:t xml:space="preserve">To mitigate the effects of this change in </w:t>
      </w:r>
      <w:r w:rsidR="00230A2D">
        <w:t>industry composition</w:t>
      </w:r>
      <w:r>
        <w:t xml:space="preserve"> over time, I opted to evaluate profitability on an adjusted</w:t>
      </w:r>
      <w:r w:rsidR="00230A2D">
        <w:t>-</w:t>
      </w:r>
      <w:r>
        <w:t xml:space="preserve">EBIT basis. </w:t>
      </w:r>
      <w:r w:rsidR="00551BB6">
        <w:t xml:space="preserve">By evaluating on this basis, we can focus more so on the </w:t>
      </w:r>
      <w:r w:rsidR="00A22ADF">
        <w:t>company’s</w:t>
      </w:r>
      <w:r w:rsidR="00551BB6">
        <w:t xml:space="preserve"> cash flow (since EBIT can serve as a good proxy for cash flow), but also </w:t>
      </w:r>
      <w:r w:rsidR="00A22ADF">
        <w:t>adjust</w:t>
      </w:r>
      <w:r w:rsidR="00551BB6">
        <w:t xml:space="preserve"> </w:t>
      </w:r>
      <w:r w:rsidR="00B56700">
        <w:t>it</w:t>
      </w:r>
      <w:r w:rsidR="00551BB6">
        <w:t xml:space="preserve"> to get our desired results and eliminate the major effects of capital structure from profitability analysis since the time changes may make certain capital structures better at certain points in time. The Adjusted EBIT Equation was as follow</w:t>
      </w:r>
      <w:r w:rsidR="00230A2D">
        <w:t>s</w:t>
      </w:r>
      <w:r w:rsidR="00551BB6">
        <w:t>:</w:t>
      </w:r>
    </w:p>
    <w:p w14:paraId="3815945D" w14:textId="347E55A6" w:rsidR="00551BB6" w:rsidRPr="00752326" w:rsidRDefault="00230A2D" w:rsidP="00551BB6">
      <w:pPr>
        <w:jc w:val="center"/>
        <w:rPr>
          <w:iCs/>
        </w:rPr>
      </w:pPr>
      <m:oMathPara>
        <m:oMath>
          <m:r>
            <m:rPr>
              <m:sty m:val="p"/>
            </m:rPr>
            <w:rPr>
              <w:rFonts w:ascii="Cambria Math" w:hAnsi="Cambria Math"/>
            </w:rPr>
            <m:t>Adjusted EBIT=EBIT+R&amp;D Expense+0.5×Marketing Expense</m:t>
          </m:r>
        </m:oMath>
      </m:oMathPara>
    </w:p>
    <w:p w14:paraId="1D3BBA2D" w14:textId="5B62C66C" w:rsidR="00B56700" w:rsidRDefault="00363E08" w:rsidP="00363E08">
      <w:r>
        <w:t xml:space="preserve">The basis for </w:t>
      </w:r>
      <w:r w:rsidR="00230A2D">
        <w:t>this</w:t>
      </w:r>
      <w:r>
        <w:t xml:space="preserve"> calculation was to add back R&amp;D fully since this expense serves more so as a long-term value driver for the company </w:t>
      </w:r>
      <w:r w:rsidR="00A22ADF">
        <w:t>like</w:t>
      </w:r>
      <w:r>
        <w:t xml:space="preserve"> PP&amp;</w:t>
      </w:r>
      <w:r w:rsidR="00A22ADF">
        <w:t>E but</w:t>
      </w:r>
      <w:r>
        <w:t xml:space="preserve"> is immediately expensed as a part of the EBIT </w:t>
      </w:r>
      <w:r w:rsidR="00230A2D">
        <w:t>c</w:t>
      </w:r>
      <w:r>
        <w:t xml:space="preserve">alculation. Reversing this expense can give a better idea of profitability without being tarnished for future growth. There was also research done by </w:t>
      </w:r>
      <w:proofErr w:type="spellStart"/>
      <w:r>
        <w:t>Aswath</w:t>
      </w:r>
      <w:proofErr w:type="spellEnd"/>
      <w:r>
        <w:t xml:space="preserve"> Damodaran on R&amp;D </w:t>
      </w:r>
      <w:r w:rsidR="00230A2D">
        <w:t>e</w:t>
      </w:r>
      <w:r>
        <w:t>xpense and how it should be added back for more effective valuation of companies</w:t>
      </w:r>
      <w:r>
        <w:rPr>
          <w:rStyle w:val="FootnoteReference"/>
        </w:rPr>
        <w:footnoteReference w:id="1"/>
      </w:r>
      <w:r>
        <w:t>.</w:t>
      </w:r>
      <w:r w:rsidR="00A22ADF">
        <w:t xml:space="preserve"> </w:t>
      </w:r>
    </w:p>
    <w:p w14:paraId="28173D26" w14:textId="75A16926" w:rsidR="006C0D76" w:rsidRPr="00725E01" w:rsidRDefault="00A22ADF" w:rsidP="00363E08">
      <w:r>
        <w:t xml:space="preserve">The 50% Marketing expense was a more generalized add back. Certain marketing expenses by companies nowadays are growth-focused such as promotions to incentivize new customers (as is often done with companies like </w:t>
      </w:r>
      <w:proofErr w:type="spellStart"/>
      <w:r>
        <w:t>DoorDash</w:t>
      </w:r>
      <w:proofErr w:type="spellEnd"/>
      <w:r>
        <w:t xml:space="preserve">). However, since not </w:t>
      </w:r>
      <w:r w:rsidR="00B56700">
        <w:t>all</w:t>
      </w:r>
      <w:r>
        <w:t xml:space="preserve"> marketing expenses can be attributed to growth, I used 50% as a generalization for how much of marketing expense really drives future growth. It may be the case for some companies it is closer to 100% and for others it is closer to 0%, but there is limited research on the subject, so instead I relied on taking a seeming average of both ends with 50%. </w:t>
      </w:r>
    </w:p>
    <w:p w14:paraId="6B44D4CB" w14:textId="4FFA9083" w:rsidR="00725E01" w:rsidRDefault="00857061" w:rsidP="00725E01">
      <w:pPr>
        <w:pStyle w:val="Heading2"/>
      </w:pPr>
      <w:bookmarkStart w:id="3" w:name="_Toc90181479"/>
      <w:r>
        <w:t>Relevance to Investing Today</w:t>
      </w:r>
      <w:bookmarkEnd w:id="3"/>
    </w:p>
    <w:p w14:paraId="495F09B8" w14:textId="61764612" w:rsidR="00166DDC" w:rsidRDefault="00497D8F" w:rsidP="00497D8F">
      <w:r>
        <w:t>As more and more speculative opportunities become available and companies with very limited earnings (</w:t>
      </w:r>
      <w:r w:rsidR="00B56700">
        <w:t>i.e.,</w:t>
      </w:r>
      <w:r>
        <w:t xml:space="preserve"> Tesla or Uber) gain enormous valuations, the question left to be asked is if this is justified</w:t>
      </w:r>
      <w:r w:rsidR="00A22ADF">
        <w:t xml:space="preserve"> for such companies? If it turns out that in the past, people were just as bullish on unprofitable companies, it paints a picture that perhaps the current valuations for tech are not really a bubble and perhaps these companies spending in R&amp;D and Marketing will truly give them an edge that justifies their valuation. </w:t>
      </w:r>
      <w:r w:rsidR="00166DDC">
        <w:t>Of course,</w:t>
      </w:r>
      <w:r w:rsidR="00B56700">
        <w:t xml:space="preserve"> the results will likely not be 100% generalizable to all companies with negative net income, but it may show that perhaps as a whole, a bubble may not necessarily be forming around tech</w:t>
      </w:r>
      <w:r w:rsidR="0028334A">
        <w:t xml:space="preserve"> </w:t>
      </w:r>
      <w:r w:rsidR="00B56700">
        <w:t xml:space="preserve">and other industries. </w:t>
      </w:r>
      <w:r w:rsidR="0028334A">
        <w:t>The critical date is March</w:t>
      </w:r>
      <w:r w:rsidR="00F2563F">
        <w:rPr>
          <w:vertAlign w:val="superscript"/>
        </w:rPr>
        <w:t xml:space="preserve"> </w:t>
      </w:r>
      <w:r w:rsidR="00F2563F">
        <w:t>10</w:t>
      </w:r>
      <w:r w:rsidR="00F2563F" w:rsidRPr="006F0C8A">
        <w:rPr>
          <w:vertAlign w:val="superscript"/>
        </w:rPr>
        <w:t>th</w:t>
      </w:r>
      <w:r w:rsidR="0028334A">
        <w:t>, 2000, whe</w:t>
      </w:r>
      <w:r w:rsidR="00F2563F">
        <w:t>n</w:t>
      </w:r>
      <w:r w:rsidR="0028334A">
        <w:t xml:space="preserve"> the NASDAQ reached its peak right before the bubble burst. </w:t>
      </w:r>
    </w:p>
    <w:p w14:paraId="4857F275" w14:textId="54FD246F" w:rsidR="006C0D76" w:rsidRDefault="00166DDC" w:rsidP="00497D8F">
      <w:r>
        <w:lastRenderedPageBreak/>
        <w:t>To</w:t>
      </w:r>
      <w:r w:rsidR="0028334A">
        <w:t xml:space="preserve"> effectively analyze this, I will compare EV/Sales multiples previous to this date for profitable and unprofitable companies and after this date for profitable and unprofitable companies. Then, I will analyze by industry</w:t>
      </w:r>
      <w:r>
        <w:t xml:space="preserve"> and determine any significant changes in multiples since then by comparing Median and Mean EV/Sales multiples. The Sales multiple was primarily chosen since P/E is affected by other factors of interest and other random expenses that we are not trying to keep relevant, and an EBIT or EBITDA multiple did not make sense since we are using an adjusted version to determine profitability. So, EV/Sales made the most sense to move forward for analysis. </w:t>
      </w:r>
    </w:p>
    <w:p w14:paraId="71A7B23E" w14:textId="74BD03B6" w:rsidR="00C6651D" w:rsidRDefault="00C6651D" w:rsidP="00C6651D">
      <w:pPr>
        <w:pStyle w:val="Heading1"/>
      </w:pPr>
      <w:bookmarkStart w:id="4" w:name="_Toc90181480"/>
      <w:r>
        <w:t>Method and data</w:t>
      </w:r>
      <w:bookmarkEnd w:id="4"/>
    </w:p>
    <w:p w14:paraId="1F8D06B6" w14:textId="77C2CDAF" w:rsidR="00FC67CF" w:rsidRDefault="00497D8F" w:rsidP="00725E01">
      <w:r>
        <w:t>To start, an initial screen was created on FactSet that included</w:t>
      </w:r>
      <w:r w:rsidR="00CA299C">
        <w:t xml:space="preserve"> </w:t>
      </w:r>
      <w:r w:rsidR="00F2563F">
        <w:t xml:space="preserve">active and inactive </w:t>
      </w:r>
      <w:r w:rsidR="00CA299C">
        <w:t>NASDAQ-</w:t>
      </w:r>
      <w:r w:rsidR="00F2563F">
        <w:t xml:space="preserve"> and NYSE-</w:t>
      </w:r>
      <w:r w:rsidR="00CA299C">
        <w:t xml:space="preserve">listed companies. </w:t>
      </w:r>
      <w:r w:rsidR="0028334A">
        <w:t xml:space="preserve">This led to approximately 13,634 companies that could potentially be analyzed. </w:t>
      </w:r>
      <w:r w:rsidR="00AD3B6C">
        <w:t>I chose the NYSE and NASDAQ as these are the two biggest and most relevant exchanges in the United States. The NYSE serves well as a very varied exchange whereas the NASDAQ works well in being slightly more tech-focused, so in this way, both exchanges together can provide a lot of meaningful data.</w:t>
      </w:r>
    </w:p>
    <w:p w14:paraId="077EF968" w14:textId="77D0318C" w:rsidR="00786549" w:rsidRDefault="005D5D66" w:rsidP="0028334A">
      <w:r>
        <w:t>Data for each of these companies was needed in the specific time frame of 1990 through 2021 (if available)</w:t>
      </w:r>
      <w:r w:rsidR="003374AD">
        <w:t>, collecting annual data</w:t>
      </w:r>
      <w:r>
        <w:t xml:space="preserve">. </w:t>
      </w:r>
      <w:r w:rsidR="00AD3B6C">
        <w:t>The reason for this time period was primarily because</w:t>
      </w:r>
      <w:r w:rsidR="00F2563F">
        <w:t xml:space="preserve"> I</w:t>
      </w:r>
      <w:r w:rsidR="00AD3B6C">
        <w:t xml:space="preserve"> wanted as much recent data as possible, but also wanted enough tech companies from the past. Although it would have been preferable to have 20 years of data pre and post-tech boom, the 1980s to 90s may not have many tech companies, so 1990 made more sense as a starting point. </w:t>
      </w:r>
      <w:r>
        <w:t xml:space="preserve">Yearly data was needed for </w:t>
      </w:r>
      <w:r w:rsidR="003374AD">
        <w:t xml:space="preserve">the key variables in </w:t>
      </w:r>
      <w:r w:rsidR="009768B8">
        <w:fldChar w:fldCharType="begin"/>
      </w:r>
      <w:r w:rsidR="009768B8">
        <w:instrText xml:space="preserve"> REF _Ref90072035 \h </w:instrText>
      </w:r>
      <w:r w:rsidR="009768B8">
        <w:fldChar w:fldCharType="separate"/>
      </w:r>
      <w:r w:rsidR="00F2563F">
        <w:t xml:space="preserve">Table </w:t>
      </w:r>
      <w:r w:rsidR="00F2563F">
        <w:rPr>
          <w:noProof/>
        </w:rPr>
        <w:t>2</w:t>
      </w:r>
      <w:r w:rsidR="00F2563F">
        <w:t>. Key Variables</w:t>
      </w:r>
      <w:r w:rsidR="009768B8">
        <w:fldChar w:fldCharType="end"/>
      </w:r>
      <w:r>
        <w:t>, so using the current date, I retrieved data from each year for each of the companies.</w:t>
      </w:r>
      <w:r w:rsidR="00786549">
        <w:t xml:space="preserve"> </w:t>
      </w:r>
    </w:p>
    <w:p w14:paraId="759ABBED" w14:textId="0909AE4A" w:rsidR="006C0D76" w:rsidRDefault="005D5D66" w:rsidP="0028334A">
      <w:r>
        <w:t>Since there were a number of inactive companies during the period or multiple new companies that have not yet had a whole fiscal year of sales, a large portion of the 13,634 were filtered out since they had no viable data</w:t>
      </w:r>
      <w:r w:rsidR="009768B8">
        <w:t xml:space="preserve"> as shown in </w:t>
      </w:r>
      <w:r w:rsidR="009768B8">
        <w:fldChar w:fldCharType="begin"/>
      </w:r>
      <w:r w:rsidR="009768B8">
        <w:instrText xml:space="preserve"> REF _Ref90072116 \h </w:instrText>
      </w:r>
      <w:r w:rsidR="009768B8">
        <w:fldChar w:fldCharType="separate"/>
      </w:r>
      <w:r w:rsidR="009768B8">
        <w:t xml:space="preserve">Table </w:t>
      </w:r>
      <w:r w:rsidR="009768B8">
        <w:rPr>
          <w:noProof/>
        </w:rPr>
        <w:t>1</w:t>
      </w:r>
      <w:r w:rsidR="009768B8">
        <w:t>. Data</w:t>
      </w:r>
      <w:r w:rsidR="009768B8">
        <w:fldChar w:fldCharType="end"/>
      </w:r>
      <w:r>
        <w:t>. Each piece of annual data was treated as its own for each company.</w:t>
      </w:r>
      <w:r w:rsidR="001C19C0">
        <w:t xml:space="preserve"> Below is</w:t>
      </w:r>
      <w:r w:rsidR="00556707">
        <w:t xml:space="preserve"> a t</w:t>
      </w:r>
      <w:r w:rsidR="001C19C0">
        <w:t>able specifying describing the data</w:t>
      </w:r>
      <w:r w:rsidR="00F2563F">
        <w:t>.</w:t>
      </w:r>
    </w:p>
    <w:p w14:paraId="2CAA68D1" w14:textId="44EF2F0C" w:rsidR="002A4089" w:rsidRDefault="001C19C0" w:rsidP="00067A85">
      <w:pPr>
        <w:pStyle w:val="Caption"/>
      </w:pPr>
      <w:bookmarkStart w:id="5" w:name="_Ref88579265"/>
      <w:bookmarkStart w:id="6" w:name="_Ref88579231"/>
      <w:bookmarkStart w:id="7" w:name="_Ref90072094"/>
      <w:bookmarkStart w:id="8" w:name="_Ref90072116"/>
      <w:bookmarkStart w:id="9" w:name="_Toc90812714"/>
      <w:r>
        <w:t xml:space="preserve">Table </w:t>
      </w:r>
      <w:r w:rsidR="00305165">
        <w:fldChar w:fldCharType="begin"/>
      </w:r>
      <w:r w:rsidR="00305165">
        <w:instrText xml:space="preserve"> SEQ Table \* ARABIC </w:instrText>
      </w:r>
      <w:r w:rsidR="00305165">
        <w:fldChar w:fldCharType="separate"/>
      </w:r>
      <w:r w:rsidR="004E42D7">
        <w:rPr>
          <w:noProof/>
        </w:rPr>
        <w:t>1</w:t>
      </w:r>
      <w:r w:rsidR="00305165">
        <w:rPr>
          <w:noProof/>
        </w:rPr>
        <w:fldChar w:fldCharType="end"/>
      </w:r>
      <w:bookmarkEnd w:id="5"/>
      <w:r>
        <w:t xml:space="preserve">. </w:t>
      </w:r>
      <w:bookmarkEnd w:id="6"/>
      <w:r w:rsidR="00067A85">
        <w:t>Data</w:t>
      </w:r>
      <w:bookmarkEnd w:id="7"/>
      <w:bookmarkEnd w:id="8"/>
      <w:bookmarkEnd w:id="9"/>
    </w:p>
    <w:tbl>
      <w:tblPr>
        <w:tblStyle w:val="TableGrid"/>
        <w:tblW w:w="0" w:type="auto"/>
        <w:tblLook w:val="04A0" w:firstRow="1" w:lastRow="0" w:firstColumn="1" w:lastColumn="0" w:noHBand="0" w:noVBand="1"/>
      </w:tblPr>
      <w:tblGrid>
        <w:gridCol w:w="2337"/>
        <w:gridCol w:w="2337"/>
        <w:gridCol w:w="2338"/>
        <w:gridCol w:w="2338"/>
      </w:tblGrid>
      <w:tr w:rsidR="00BD0870" w14:paraId="5FF49C1F" w14:textId="77777777" w:rsidTr="006F0C8A">
        <w:tc>
          <w:tcPr>
            <w:tcW w:w="2337" w:type="dxa"/>
            <w:shd w:val="clear" w:color="auto" w:fill="D0CECE" w:themeFill="background2" w:themeFillShade="E6"/>
            <w:tcMar>
              <w:top w:w="29" w:type="dxa"/>
              <w:left w:w="115" w:type="dxa"/>
              <w:bottom w:w="29" w:type="dxa"/>
              <w:right w:w="115" w:type="dxa"/>
            </w:tcMar>
            <w:vAlign w:val="center"/>
          </w:tcPr>
          <w:p w14:paraId="291E64FC" w14:textId="6DCB0D29" w:rsidR="00BD0870" w:rsidRPr="005F1D5B" w:rsidRDefault="00BD0870" w:rsidP="006F0C8A">
            <w:pPr>
              <w:spacing w:after="0"/>
              <w:jc w:val="center"/>
              <w:rPr>
                <w:b/>
              </w:rPr>
            </w:pPr>
            <w:r w:rsidRPr="005F1D5B">
              <w:rPr>
                <w:b/>
              </w:rPr>
              <w:t># of Observations</w:t>
            </w:r>
          </w:p>
        </w:tc>
        <w:tc>
          <w:tcPr>
            <w:tcW w:w="2337" w:type="dxa"/>
            <w:shd w:val="clear" w:color="auto" w:fill="D0CECE" w:themeFill="background2" w:themeFillShade="E6"/>
            <w:tcMar>
              <w:top w:w="29" w:type="dxa"/>
              <w:left w:w="115" w:type="dxa"/>
              <w:bottom w:w="29" w:type="dxa"/>
              <w:right w:w="115" w:type="dxa"/>
            </w:tcMar>
            <w:vAlign w:val="center"/>
          </w:tcPr>
          <w:p w14:paraId="0E14E6D3" w14:textId="45C92819" w:rsidR="00BD0870" w:rsidRPr="005F1D5B" w:rsidRDefault="00BD0870" w:rsidP="006F0C8A">
            <w:pPr>
              <w:spacing w:after="0"/>
              <w:jc w:val="center"/>
              <w:rPr>
                <w:b/>
              </w:rPr>
            </w:pPr>
            <w:r w:rsidRPr="005F1D5B">
              <w:rPr>
                <w:b/>
              </w:rPr>
              <w:t># of Companies</w:t>
            </w:r>
          </w:p>
        </w:tc>
        <w:tc>
          <w:tcPr>
            <w:tcW w:w="2338" w:type="dxa"/>
            <w:shd w:val="clear" w:color="auto" w:fill="D0CECE" w:themeFill="background2" w:themeFillShade="E6"/>
            <w:tcMar>
              <w:top w:w="29" w:type="dxa"/>
              <w:left w:w="115" w:type="dxa"/>
              <w:bottom w:w="29" w:type="dxa"/>
              <w:right w:w="115" w:type="dxa"/>
            </w:tcMar>
            <w:vAlign w:val="center"/>
          </w:tcPr>
          <w:p w14:paraId="52E7F25F" w14:textId="08AD1E9A" w:rsidR="00BD0870" w:rsidRPr="005F1D5B" w:rsidRDefault="00BD0870" w:rsidP="006F0C8A">
            <w:pPr>
              <w:spacing w:after="0"/>
              <w:jc w:val="center"/>
              <w:rPr>
                <w:b/>
              </w:rPr>
            </w:pPr>
            <w:r w:rsidRPr="005F1D5B">
              <w:rPr>
                <w:b/>
              </w:rPr>
              <w:t>Start Date of Data</w:t>
            </w:r>
          </w:p>
        </w:tc>
        <w:tc>
          <w:tcPr>
            <w:tcW w:w="2338" w:type="dxa"/>
            <w:shd w:val="clear" w:color="auto" w:fill="D0CECE" w:themeFill="background2" w:themeFillShade="E6"/>
            <w:tcMar>
              <w:top w:w="29" w:type="dxa"/>
              <w:left w:w="115" w:type="dxa"/>
              <w:bottom w:w="29" w:type="dxa"/>
              <w:right w:w="115" w:type="dxa"/>
            </w:tcMar>
            <w:vAlign w:val="center"/>
          </w:tcPr>
          <w:p w14:paraId="274A142C" w14:textId="5902AC43" w:rsidR="00BD0870" w:rsidRPr="005F1D5B" w:rsidRDefault="00BD0870" w:rsidP="006F0C8A">
            <w:pPr>
              <w:spacing w:after="0"/>
              <w:jc w:val="center"/>
              <w:rPr>
                <w:b/>
              </w:rPr>
            </w:pPr>
            <w:r w:rsidRPr="005F1D5B">
              <w:rPr>
                <w:b/>
              </w:rPr>
              <w:t>End Date of Data</w:t>
            </w:r>
          </w:p>
        </w:tc>
      </w:tr>
      <w:tr w:rsidR="00BD0870" w14:paraId="0FD59870" w14:textId="77777777" w:rsidTr="006F0C8A">
        <w:tc>
          <w:tcPr>
            <w:tcW w:w="2337" w:type="dxa"/>
            <w:tcMar>
              <w:top w:w="29" w:type="dxa"/>
              <w:left w:w="115" w:type="dxa"/>
              <w:bottom w:w="29" w:type="dxa"/>
              <w:right w:w="115" w:type="dxa"/>
            </w:tcMar>
            <w:vAlign w:val="center"/>
          </w:tcPr>
          <w:p w14:paraId="46163DAF" w14:textId="0249D3D8" w:rsidR="00BD0870" w:rsidRDefault="00BD0870" w:rsidP="006F0C8A">
            <w:pPr>
              <w:spacing w:after="0"/>
              <w:jc w:val="center"/>
            </w:pPr>
            <w:r>
              <w:t>10,297</w:t>
            </w:r>
          </w:p>
        </w:tc>
        <w:tc>
          <w:tcPr>
            <w:tcW w:w="2337" w:type="dxa"/>
            <w:tcMar>
              <w:top w:w="29" w:type="dxa"/>
              <w:left w:w="115" w:type="dxa"/>
              <w:bottom w:w="29" w:type="dxa"/>
              <w:right w:w="115" w:type="dxa"/>
            </w:tcMar>
            <w:vAlign w:val="center"/>
          </w:tcPr>
          <w:p w14:paraId="5E49360B" w14:textId="6CECC86A" w:rsidR="00BD0870" w:rsidRDefault="00E45512" w:rsidP="006F0C8A">
            <w:pPr>
              <w:spacing w:after="0"/>
              <w:jc w:val="center"/>
            </w:pPr>
            <w:r>
              <w:t>1,880</w:t>
            </w:r>
          </w:p>
        </w:tc>
        <w:tc>
          <w:tcPr>
            <w:tcW w:w="2338" w:type="dxa"/>
            <w:tcMar>
              <w:top w:w="29" w:type="dxa"/>
              <w:left w:w="115" w:type="dxa"/>
              <w:bottom w:w="29" w:type="dxa"/>
              <w:right w:w="115" w:type="dxa"/>
            </w:tcMar>
            <w:vAlign w:val="center"/>
          </w:tcPr>
          <w:p w14:paraId="39AB2B2C" w14:textId="21ED6D21" w:rsidR="00BD0870" w:rsidRDefault="00BD0870" w:rsidP="006F0C8A">
            <w:pPr>
              <w:spacing w:after="0"/>
              <w:jc w:val="center"/>
            </w:pPr>
            <w:r>
              <w:t>11/21</w:t>
            </w:r>
            <w:r w:rsidR="00C110DA">
              <w:t>/1990</w:t>
            </w:r>
          </w:p>
        </w:tc>
        <w:tc>
          <w:tcPr>
            <w:tcW w:w="2338" w:type="dxa"/>
            <w:tcMar>
              <w:top w:w="29" w:type="dxa"/>
              <w:left w:w="115" w:type="dxa"/>
              <w:bottom w:w="29" w:type="dxa"/>
              <w:right w:w="115" w:type="dxa"/>
            </w:tcMar>
            <w:vAlign w:val="center"/>
          </w:tcPr>
          <w:p w14:paraId="76A41564" w14:textId="50D8E918" w:rsidR="00BD0870" w:rsidRDefault="00C110DA" w:rsidP="006F0C8A">
            <w:pPr>
              <w:spacing w:after="0"/>
              <w:jc w:val="center"/>
            </w:pPr>
            <w:r>
              <w:t>11/21/2021</w:t>
            </w:r>
          </w:p>
        </w:tc>
      </w:tr>
    </w:tbl>
    <w:p w14:paraId="51273A2D" w14:textId="1FF2C3AD" w:rsidR="006C0D76" w:rsidRDefault="00556707" w:rsidP="00067A85">
      <w:r>
        <w:t>For each of these companies and observations, there were many key variables that I analyzed, below is a table with examples of that data:</w:t>
      </w:r>
    </w:p>
    <w:p w14:paraId="42B45569" w14:textId="23A37A85" w:rsidR="00556707" w:rsidRDefault="005F1D5B" w:rsidP="005F1D5B">
      <w:pPr>
        <w:pStyle w:val="Caption"/>
      </w:pPr>
      <w:bookmarkStart w:id="10" w:name="_Ref90072035"/>
      <w:bookmarkStart w:id="11" w:name="_Ref90072090"/>
      <w:bookmarkStart w:id="12" w:name="_Toc90812715"/>
      <w:r>
        <w:t xml:space="preserve">Table </w:t>
      </w:r>
      <w:r w:rsidR="00305165">
        <w:fldChar w:fldCharType="begin"/>
      </w:r>
      <w:r w:rsidR="00305165">
        <w:instrText xml:space="preserve"> SEQ Table \* ARABIC </w:instrText>
      </w:r>
      <w:r w:rsidR="00305165">
        <w:fldChar w:fldCharType="separate"/>
      </w:r>
      <w:r w:rsidR="004E42D7">
        <w:rPr>
          <w:noProof/>
        </w:rPr>
        <w:t>2</w:t>
      </w:r>
      <w:r w:rsidR="00305165">
        <w:rPr>
          <w:noProof/>
        </w:rPr>
        <w:fldChar w:fldCharType="end"/>
      </w:r>
      <w:r>
        <w:t>. Key Variables</w:t>
      </w:r>
      <w:bookmarkEnd w:id="10"/>
      <w:bookmarkEnd w:id="11"/>
      <w:bookmarkEnd w:id="12"/>
    </w:p>
    <w:tbl>
      <w:tblPr>
        <w:tblStyle w:val="TableGrid"/>
        <w:tblW w:w="0" w:type="auto"/>
        <w:tblLook w:val="04A0" w:firstRow="1" w:lastRow="0" w:firstColumn="1" w:lastColumn="0" w:noHBand="0" w:noVBand="1"/>
      </w:tblPr>
      <w:tblGrid>
        <w:gridCol w:w="7375"/>
        <w:gridCol w:w="1975"/>
      </w:tblGrid>
      <w:tr w:rsidR="005F1D5B" w14:paraId="167F2416" w14:textId="77777777" w:rsidTr="006F0C8A">
        <w:tc>
          <w:tcPr>
            <w:tcW w:w="7375" w:type="dxa"/>
            <w:shd w:val="clear" w:color="auto" w:fill="D0CECE" w:themeFill="background2" w:themeFillShade="E6"/>
            <w:tcMar>
              <w:top w:w="29" w:type="dxa"/>
              <w:bottom w:w="29" w:type="dxa"/>
            </w:tcMar>
            <w:vAlign w:val="center"/>
          </w:tcPr>
          <w:p w14:paraId="70AFE8D5" w14:textId="6AD4179D" w:rsidR="005F1D5B" w:rsidRPr="003D64B5" w:rsidRDefault="003D64B5" w:rsidP="006F0C8A">
            <w:pPr>
              <w:spacing w:after="0"/>
              <w:rPr>
                <w:b/>
              </w:rPr>
            </w:pPr>
            <w:r w:rsidRPr="003D64B5">
              <w:rPr>
                <w:b/>
              </w:rPr>
              <w:t>Key Variable</w:t>
            </w:r>
          </w:p>
        </w:tc>
        <w:tc>
          <w:tcPr>
            <w:tcW w:w="1975" w:type="dxa"/>
            <w:shd w:val="clear" w:color="auto" w:fill="D0CECE" w:themeFill="background2" w:themeFillShade="E6"/>
            <w:tcMar>
              <w:top w:w="29" w:type="dxa"/>
              <w:bottom w:w="29" w:type="dxa"/>
            </w:tcMar>
            <w:vAlign w:val="center"/>
          </w:tcPr>
          <w:p w14:paraId="278438AE" w14:textId="1C1AB5F1" w:rsidR="005F1D5B" w:rsidRPr="003D64B5" w:rsidRDefault="003D64B5" w:rsidP="006F0C8A">
            <w:pPr>
              <w:spacing w:after="0"/>
              <w:rPr>
                <w:b/>
              </w:rPr>
            </w:pPr>
            <w:r w:rsidRPr="003D64B5">
              <w:rPr>
                <w:b/>
              </w:rPr>
              <w:t>Example Data</w:t>
            </w:r>
          </w:p>
        </w:tc>
      </w:tr>
      <w:tr w:rsidR="005F1D5B" w14:paraId="0F28E3A4" w14:textId="77777777" w:rsidTr="006F0C8A">
        <w:tc>
          <w:tcPr>
            <w:tcW w:w="7375" w:type="dxa"/>
            <w:tcMar>
              <w:top w:w="29" w:type="dxa"/>
              <w:bottom w:w="29" w:type="dxa"/>
            </w:tcMar>
            <w:vAlign w:val="center"/>
          </w:tcPr>
          <w:p w14:paraId="26980E4D" w14:textId="739E52AE" w:rsidR="005F1D5B" w:rsidRDefault="003D64B5" w:rsidP="006F0C8A">
            <w:pPr>
              <w:spacing w:after="0"/>
            </w:pPr>
            <w:r>
              <w:t>Company</w:t>
            </w:r>
          </w:p>
        </w:tc>
        <w:tc>
          <w:tcPr>
            <w:tcW w:w="1975" w:type="dxa"/>
            <w:tcMar>
              <w:top w:w="29" w:type="dxa"/>
              <w:bottom w:w="29" w:type="dxa"/>
            </w:tcMar>
            <w:vAlign w:val="center"/>
          </w:tcPr>
          <w:p w14:paraId="32695D31" w14:textId="1195BB7D" w:rsidR="005F1D5B" w:rsidRDefault="003D64B5" w:rsidP="006F0C8A">
            <w:pPr>
              <w:spacing w:after="0"/>
            </w:pPr>
            <w:r>
              <w:t>Apple Inc.</w:t>
            </w:r>
          </w:p>
        </w:tc>
      </w:tr>
      <w:tr w:rsidR="003D64B5" w14:paraId="6261259A" w14:textId="77777777" w:rsidTr="006F0C8A">
        <w:tc>
          <w:tcPr>
            <w:tcW w:w="7375" w:type="dxa"/>
            <w:tcMar>
              <w:top w:w="29" w:type="dxa"/>
              <w:bottom w:w="29" w:type="dxa"/>
            </w:tcMar>
            <w:vAlign w:val="center"/>
          </w:tcPr>
          <w:p w14:paraId="72245734" w14:textId="4E0C40BF" w:rsidR="003D64B5" w:rsidRDefault="003D64B5" w:rsidP="006F0C8A">
            <w:pPr>
              <w:spacing w:after="0"/>
            </w:pPr>
            <w:r>
              <w:t>Ticker</w:t>
            </w:r>
            <w:r w:rsidR="005A09A8">
              <w:t>/Symbol</w:t>
            </w:r>
          </w:p>
        </w:tc>
        <w:tc>
          <w:tcPr>
            <w:tcW w:w="1975" w:type="dxa"/>
            <w:tcMar>
              <w:top w:w="29" w:type="dxa"/>
              <w:bottom w:w="29" w:type="dxa"/>
            </w:tcMar>
            <w:vAlign w:val="center"/>
          </w:tcPr>
          <w:p w14:paraId="77325E86" w14:textId="3316A6BF" w:rsidR="003D64B5" w:rsidRDefault="003D64B5" w:rsidP="006F0C8A">
            <w:pPr>
              <w:spacing w:after="0"/>
            </w:pPr>
            <w:r>
              <w:t>AAPL</w:t>
            </w:r>
          </w:p>
        </w:tc>
      </w:tr>
      <w:tr w:rsidR="005F1D5B" w14:paraId="7672128D" w14:textId="77777777" w:rsidTr="006F0C8A">
        <w:tc>
          <w:tcPr>
            <w:tcW w:w="7375" w:type="dxa"/>
            <w:tcMar>
              <w:top w:w="29" w:type="dxa"/>
              <w:bottom w:w="29" w:type="dxa"/>
            </w:tcMar>
            <w:vAlign w:val="center"/>
          </w:tcPr>
          <w:p w14:paraId="2EB1BEF4" w14:textId="231C5494" w:rsidR="005F1D5B" w:rsidRDefault="003D64B5" w:rsidP="006F0C8A">
            <w:pPr>
              <w:spacing w:after="0"/>
            </w:pPr>
            <w:r>
              <w:t>RBICS</w:t>
            </w:r>
          </w:p>
        </w:tc>
        <w:tc>
          <w:tcPr>
            <w:tcW w:w="1975" w:type="dxa"/>
            <w:tcMar>
              <w:top w:w="29" w:type="dxa"/>
              <w:bottom w:w="29" w:type="dxa"/>
            </w:tcMar>
            <w:vAlign w:val="center"/>
          </w:tcPr>
          <w:p w14:paraId="73F76F34" w14:textId="07AD79E0" w:rsidR="005F1D5B" w:rsidRDefault="00C90163" w:rsidP="006F0C8A">
            <w:pPr>
              <w:spacing w:after="0"/>
            </w:pPr>
            <w:r>
              <w:t>Technology</w:t>
            </w:r>
          </w:p>
        </w:tc>
      </w:tr>
      <w:tr w:rsidR="005F1D5B" w14:paraId="2E139C9B" w14:textId="77777777" w:rsidTr="006F0C8A">
        <w:tc>
          <w:tcPr>
            <w:tcW w:w="7375" w:type="dxa"/>
            <w:tcMar>
              <w:top w:w="29" w:type="dxa"/>
              <w:bottom w:w="29" w:type="dxa"/>
            </w:tcMar>
            <w:vAlign w:val="center"/>
          </w:tcPr>
          <w:p w14:paraId="113EA463" w14:textId="67E2C38F" w:rsidR="005F1D5B" w:rsidRDefault="003D64B5" w:rsidP="006F0C8A">
            <w:pPr>
              <w:spacing w:after="0"/>
            </w:pPr>
            <w:r>
              <w:t>Year (Multiple years of data collected, each is treated individually)</w:t>
            </w:r>
          </w:p>
        </w:tc>
        <w:tc>
          <w:tcPr>
            <w:tcW w:w="1975" w:type="dxa"/>
            <w:tcMar>
              <w:top w:w="29" w:type="dxa"/>
              <w:left w:w="115" w:type="dxa"/>
              <w:bottom w:w="29" w:type="dxa"/>
              <w:right w:w="720" w:type="dxa"/>
            </w:tcMar>
            <w:vAlign w:val="center"/>
          </w:tcPr>
          <w:p w14:paraId="2B351281" w14:textId="7161C5EF" w:rsidR="005F1D5B" w:rsidRDefault="0075739C" w:rsidP="006F0C8A">
            <w:pPr>
              <w:spacing w:after="0"/>
              <w:jc w:val="right"/>
            </w:pPr>
            <w:r>
              <w:t>2002</w:t>
            </w:r>
          </w:p>
        </w:tc>
      </w:tr>
      <w:tr w:rsidR="005F1D5B" w14:paraId="7C6EFB13" w14:textId="77777777" w:rsidTr="006F0C8A">
        <w:tc>
          <w:tcPr>
            <w:tcW w:w="7375" w:type="dxa"/>
            <w:tcMar>
              <w:top w:w="29" w:type="dxa"/>
              <w:bottom w:w="29" w:type="dxa"/>
            </w:tcMar>
            <w:vAlign w:val="center"/>
          </w:tcPr>
          <w:p w14:paraId="416BB38F" w14:textId="7C3E83A5" w:rsidR="005F1D5B" w:rsidRDefault="003D64B5" w:rsidP="006F0C8A">
            <w:pPr>
              <w:spacing w:after="0"/>
            </w:pPr>
            <w:r>
              <w:t>EBIT</w:t>
            </w:r>
          </w:p>
        </w:tc>
        <w:tc>
          <w:tcPr>
            <w:tcW w:w="1975" w:type="dxa"/>
            <w:tcMar>
              <w:top w:w="29" w:type="dxa"/>
              <w:left w:w="115" w:type="dxa"/>
              <w:bottom w:w="29" w:type="dxa"/>
              <w:right w:w="720" w:type="dxa"/>
            </w:tcMar>
            <w:vAlign w:val="center"/>
          </w:tcPr>
          <w:p w14:paraId="5BD45934" w14:textId="06093EB8" w:rsidR="005F1D5B" w:rsidRDefault="00C90163" w:rsidP="006F0C8A">
            <w:pPr>
              <w:spacing w:after="0"/>
              <w:jc w:val="right"/>
            </w:pPr>
            <w:r>
              <w:t>46</w:t>
            </w:r>
          </w:p>
        </w:tc>
      </w:tr>
      <w:tr w:rsidR="005F1D5B" w14:paraId="4BF0D7E7" w14:textId="77777777" w:rsidTr="006F0C8A">
        <w:tc>
          <w:tcPr>
            <w:tcW w:w="7375" w:type="dxa"/>
            <w:tcMar>
              <w:top w:w="29" w:type="dxa"/>
              <w:bottom w:w="29" w:type="dxa"/>
            </w:tcMar>
            <w:vAlign w:val="center"/>
          </w:tcPr>
          <w:p w14:paraId="48A30A47" w14:textId="6231449A" w:rsidR="005F1D5B" w:rsidRDefault="003D64B5" w:rsidP="006F0C8A">
            <w:pPr>
              <w:spacing w:after="0"/>
            </w:pPr>
            <w:r>
              <w:t>R&amp;D Expense</w:t>
            </w:r>
          </w:p>
        </w:tc>
        <w:tc>
          <w:tcPr>
            <w:tcW w:w="1975" w:type="dxa"/>
            <w:tcMar>
              <w:top w:w="29" w:type="dxa"/>
              <w:left w:w="115" w:type="dxa"/>
              <w:bottom w:w="29" w:type="dxa"/>
              <w:right w:w="720" w:type="dxa"/>
            </w:tcMar>
            <w:vAlign w:val="center"/>
          </w:tcPr>
          <w:p w14:paraId="31CE21BB" w14:textId="3D78AE4F" w:rsidR="005F1D5B" w:rsidRDefault="0075739C" w:rsidP="006F0C8A">
            <w:pPr>
              <w:spacing w:after="0"/>
              <w:jc w:val="right"/>
            </w:pPr>
            <w:r>
              <w:t>446</w:t>
            </w:r>
          </w:p>
        </w:tc>
      </w:tr>
      <w:tr w:rsidR="003D64B5" w14:paraId="732F936C" w14:textId="77777777" w:rsidTr="006F0C8A">
        <w:tc>
          <w:tcPr>
            <w:tcW w:w="7375" w:type="dxa"/>
            <w:tcMar>
              <w:top w:w="29" w:type="dxa"/>
              <w:bottom w:w="29" w:type="dxa"/>
            </w:tcMar>
            <w:vAlign w:val="center"/>
          </w:tcPr>
          <w:p w14:paraId="281AD781" w14:textId="58C22826" w:rsidR="003D64B5" w:rsidRDefault="003D64B5" w:rsidP="006F0C8A">
            <w:pPr>
              <w:spacing w:after="0"/>
            </w:pPr>
            <w:r>
              <w:t>Marketing Expense</w:t>
            </w:r>
          </w:p>
        </w:tc>
        <w:tc>
          <w:tcPr>
            <w:tcW w:w="1975" w:type="dxa"/>
            <w:tcMar>
              <w:top w:w="29" w:type="dxa"/>
              <w:left w:w="115" w:type="dxa"/>
              <w:bottom w:w="29" w:type="dxa"/>
              <w:right w:w="720" w:type="dxa"/>
            </w:tcMar>
            <w:vAlign w:val="center"/>
          </w:tcPr>
          <w:p w14:paraId="28CA47C2" w14:textId="416BDC10" w:rsidR="003D64B5" w:rsidRDefault="00C90163" w:rsidP="006F0C8A">
            <w:pPr>
              <w:spacing w:after="0"/>
              <w:jc w:val="right"/>
            </w:pPr>
            <w:r>
              <w:t>209</w:t>
            </w:r>
          </w:p>
        </w:tc>
      </w:tr>
      <w:tr w:rsidR="00C90163" w14:paraId="467FCF71" w14:textId="77777777" w:rsidTr="006F0C8A">
        <w:tc>
          <w:tcPr>
            <w:tcW w:w="7375" w:type="dxa"/>
            <w:tcMar>
              <w:top w:w="29" w:type="dxa"/>
              <w:bottom w:w="29" w:type="dxa"/>
            </w:tcMar>
            <w:vAlign w:val="center"/>
          </w:tcPr>
          <w:p w14:paraId="52350F5A" w14:textId="6997BBB7" w:rsidR="00C90163" w:rsidRDefault="00C90163" w:rsidP="006F0C8A">
            <w:pPr>
              <w:spacing w:after="0"/>
            </w:pPr>
            <w:r>
              <w:t>EV/Sales</w:t>
            </w:r>
          </w:p>
        </w:tc>
        <w:tc>
          <w:tcPr>
            <w:tcW w:w="1975" w:type="dxa"/>
            <w:tcMar>
              <w:top w:w="29" w:type="dxa"/>
              <w:left w:w="115" w:type="dxa"/>
              <w:bottom w:w="29" w:type="dxa"/>
              <w:right w:w="720" w:type="dxa"/>
            </w:tcMar>
            <w:vAlign w:val="center"/>
          </w:tcPr>
          <w:p w14:paraId="589AD23A" w14:textId="15F9FD08" w:rsidR="00C90163" w:rsidRDefault="0075739C" w:rsidP="006F0C8A">
            <w:pPr>
              <w:spacing w:after="0"/>
              <w:jc w:val="right"/>
            </w:pPr>
            <w:r>
              <w:t>0.2</w:t>
            </w:r>
            <w:r w:rsidR="00D077F5">
              <w:t>3</w:t>
            </w:r>
          </w:p>
        </w:tc>
      </w:tr>
    </w:tbl>
    <w:p w14:paraId="58DD9802" w14:textId="77777777" w:rsidR="00D077F5" w:rsidRDefault="00D077F5" w:rsidP="006F0C8A">
      <w:pPr>
        <w:pStyle w:val="NoSpacing"/>
      </w:pPr>
    </w:p>
    <w:p w14:paraId="22D86053" w14:textId="4A2DEB10" w:rsidR="00122C6C" w:rsidRDefault="00D077F5">
      <w:r>
        <w:t xml:space="preserve">In </w:t>
      </w:r>
      <w:r w:rsidR="00305165">
        <w:fldChar w:fldCharType="begin"/>
      </w:r>
      <w:r w:rsidR="00305165">
        <w:instrText xml:space="preserve"> REF _Ref90416829 </w:instrText>
      </w:r>
      <w:r w:rsidR="00305165">
        <w:fldChar w:fldCharType="separate"/>
      </w:r>
      <w:r>
        <w:t xml:space="preserve">Table </w:t>
      </w:r>
      <w:r>
        <w:rPr>
          <w:noProof/>
        </w:rPr>
        <w:t>3</w:t>
      </w:r>
      <w:r>
        <w:t>. Descriptive statistics</w:t>
      </w:r>
      <w:r w:rsidR="00305165">
        <w:fldChar w:fldCharType="end"/>
      </w:r>
      <w:r>
        <w:t xml:space="preserve"> I show descriptive statistics. </w:t>
      </w:r>
      <w:r w:rsidR="00E03C52">
        <w:t xml:space="preserve">Below, </w:t>
      </w:r>
      <w:r w:rsidR="00B13CBB">
        <w:t>is</w:t>
      </w:r>
      <w:r w:rsidR="00E03C52">
        <w:t xml:space="preserve"> a summary of my observations</w:t>
      </w:r>
      <w:r w:rsidR="00CE7C19">
        <w:t>. It is of key importance to look at the EBIT, the adjusted EBIT, and the EV/Sales numbers as they can provide a lot of interesting analysis.</w:t>
      </w:r>
      <w:r w:rsidR="001D4C7D">
        <w:t xml:space="preserve"> The</w:t>
      </w:r>
      <w:r w:rsidR="00AA2A86">
        <w:t xml:space="preserve"> data shows how profitable observations in the pre-boom era are significantly higher with the 50</w:t>
      </w:r>
      <w:r w:rsidR="00AA2A86" w:rsidRPr="00AA2A86">
        <w:rPr>
          <w:vertAlign w:val="superscript"/>
        </w:rPr>
        <w:t>th</w:t>
      </w:r>
      <w:r w:rsidR="00AA2A86">
        <w:t xml:space="preserve"> percentile being 88.57 for adjusted EBIT and with a high median multiple of 1.44x, but one that is higher with </w:t>
      </w:r>
      <w:r w:rsidR="00AA2A86">
        <w:lastRenderedPageBreak/>
        <w:t xml:space="preserve">unprofitable observations before the tech boom with 6.80x. In general, the data shows that valuations were higher </w:t>
      </w:r>
      <w:r w:rsidR="00122C6C">
        <w:t>for profitable and unprofitable companies before the boom. Interestingly, profitable companies had higher highs and lower lows of spending in R&amp;D with 25</w:t>
      </w:r>
      <w:r w:rsidR="00122C6C" w:rsidRPr="00122C6C">
        <w:rPr>
          <w:vertAlign w:val="superscript"/>
        </w:rPr>
        <w:t>th</w:t>
      </w:r>
      <w:r w:rsidR="00122C6C">
        <w:t xml:space="preserve"> percentile being 0, but the 75</w:t>
      </w:r>
      <w:r w:rsidR="00122C6C" w:rsidRPr="00122C6C">
        <w:rPr>
          <w:vertAlign w:val="superscript"/>
        </w:rPr>
        <w:t>th</w:t>
      </w:r>
      <w:r w:rsidR="00122C6C">
        <w:t xml:space="preserve"> percentile being 37.47 and 30.53, which is higher than the post boom 17.40 and 11.53. </w:t>
      </w:r>
      <w:bookmarkStart w:id="13" w:name="_GoBack"/>
      <w:bookmarkEnd w:id="13"/>
    </w:p>
    <w:p w14:paraId="3EBDA0FE" w14:textId="03F6768D" w:rsidR="00B03C78" w:rsidRDefault="00B03C78" w:rsidP="00B03C78">
      <w:pPr>
        <w:pStyle w:val="Caption"/>
      </w:pPr>
      <w:bookmarkStart w:id="14" w:name="_Ref90072610"/>
      <w:bookmarkStart w:id="15" w:name="_Ref90416829"/>
      <w:bookmarkStart w:id="16" w:name="_Toc90812716"/>
      <w:r>
        <w:t xml:space="preserve">Table </w:t>
      </w:r>
      <w:r w:rsidR="00305165">
        <w:fldChar w:fldCharType="begin"/>
      </w:r>
      <w:r w:rsidR="00305165">
        <w:instrText xml:space="preserve"> SEQ Table \* ARABIC </w:instrText>
      </w:r>
      <w:r w:rsidR="00305165">
        <w:fldChar w:fldCharType="separate"/>
      </w:r>
      <w:r w:rsidR="004E42D7">
        <w:rPr>
          <w:noProof/>
        </w:rPr>
        <w:t>3</w:t>
      </w:r>
      <w:r w:rsidR="00305165">
        <w:rPr>
          <w:noProof/>
        </w:rPr>
        <w:fldChar w:fldCharType="end"/>
      </w:r>
      <w:r>
        <w:t xml:space="preserve">. </w:t>
      </w:r>
      <w:bookmarkEnd w:id="14"/>
      <w:r w:rsidR="00D077F5">
        <w:t xml:space="preserve">Descriptive </w:t>
      </w:r>
      <w:r w:rsidR="005E460D">
        <w:t>S</w:t>
      </w:r>
      <w:r w:rsidR="00D077F5">
        <w:t>tatistics</w:t>
      </w:r>
      <w:bookmarkEnd w:id="15"/>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956"/>
        <w:gridCol w:w="1956"/>
        <w:gridCol w:w="1956"/>
        <w:gridCol w:w="1956"/>
      </w:tblGrid>
      <w:tr w:rsidR="002B084A" w14:paraId="18F35F12" w14:textId="77777777" w:rsidTr="006F0C8A">
        <w:tc>
          <w:tcPr>
            <w:tcW w:w="1526" w:type="dxa"/>
            <w:tcBorders>
              <w:top w:val="single" w:sz="4" w:space="0" w:color="auto"/>
              <w:bottom w:val="single" w:sz="4" w:space="0" w:color="auto"/>
            </w:tcBorders>
            <w:shd w:val="clear" w:color="auto" w:fill="D0CECE" w:themeFill="background2" w:themeFillShade="E6"/>
            <w:tcMar>
              <w:top w:w="29" w:type="dxa"/>
              <w:left w:w="115" w:type="dxa"/>
              <w:bottom w:w="29" w:type="dxa"/>
              <w:right w:w="115" w:type="dxa"/>
            </w:tcMar>
            <w:vAlign w:val="center"/>
          </w:tcPr>
          <w:p w14:paraId="77D30330" w14:textId="27F226C8" w:rsidR="00D077F5" w:rsidRPr="00B03C78" w:rsidRDefault="00D077F5" w:rsidP="006F0C8A">
            <w:pPr>
              <w:spacing w:after="0"/>
              <w:rPr>
                <w:b/>
              </w:rPr>
            </w:pPr>
            <w:r>
              <w:rPr>
                <w:b/>
              </w:rPr>
              <w:t>Cohort</w:t>
            </w:r>
          </w:p>
        </w:tc>
        <w:tc>
          <w:tcPr>
            <w:tcW w:w="1956" w:type="dxa"/>
            <w:tcBorders>
              <w:top w:val="single" w:sz="4" w:space="0" w:color="auto"/>
              <w:bottom w:val="single" w:sz="4" w:space="0" w:color="auto"/>
            </w:tcBorders>
            <w:shd w:val="clear" w:color="auto" w:fill="D0CECE" w:themeFill="background2" w:themeFillShade="E6"/>
            <w:tcMar>
              <w:top w:w="29" w:type="dxa"/>
              <w:left w:w="115" w:type="dxa"/>
              <w:bottom w:w="29" w:type="dxa"/>
              <w:right w:w="115" w:type="dxa"/>
            </w:tcMar>
            <w:vAlign w:val="center"/>
          </w:tcPr>
          <w:p w14:paraId="0BB619F7" w14:textId="2ED33633" w:rsidR="00D077F5" w:rsidRPr="00B03C78" w:rsidRDefault="00D077F5" w:rsidP="006F0C8A">
            <w:pPr>
              <w:spacing w:after="0"/>
              <w:jc w:val="center"/>
              <w:rPr>
                <w:b/>
              </w:rPr>
            </w:pPr>
            <w:r w:rsidRPr="00B03C78">
              <w:rPr>
                <w:b/>
              </w:rPr>
              <w:t xml:space="preserve">Profitable </w:t>
            </w:r>
            <w:r>
              <w:rPr>
                <w:b/>
              </w:rPr>
              <w:t>Observations</w:t>
            </w:r>
            <w:r w:rsidRPr="00B03C78">
              <w:rPr>
                <w:b/>
              </w:rPr>
              <w:t xml:space="preserve"> Based on Adjusted EBIT (Pre-March 10th, 2000)</w:t>
            </w:r>
          </w:p>
        </w:tc>
        <w:tc>
          <w:tcPr>
            <w:tcW w:w="1956" w:type="dxa"/>
            <w:tcBorders>
              <w:top w:val="single" w:sz="4" w:space="0" w:color="auto"/>
              <w:bottom w:val="single" w:sz="4" w:space="0" w:color="auto"/>
            </w:tcBorders>
            <w:shd w:val="clear" w:color="auto" w:fill="D0CECE" w:themeFill="background2" w:themeFillShade="E6"/>
            <w:tcMar>
              <w:top w:w="29" w:type="dxa"/>
              <w:left w:w="115" w:type="dxa"/>
              <w:bottom w:w="29" w:type="dxa"/>
              <w:right w:w="115" w:type="dxa"/>
            </w:tcMar>
            <w:vAlign w:val="center"/>
          </w:tcPr>
          <w:p w14:paraId="640EDD5D" w14:textId="6CAD8687" w:rsidR="00D077F5" w:rsidRPr="00B03C78" w:rsidRDefault="00D077F5" w:rsidP="006F0C8A">
            <w:pPr>
              <w:spacing w:after="0"/>
              <w:jc w:val="center"/>
              <w:rPr>
                <w:b/>
              </w:rPr>
            </w:pPr>
            <w:r w:rsidRPr="00B03C78">
              <w:rPr>
                <w:b/>
              </w:rPr>
              <w:t xml:space="preserve">Profitable </w:t>
            </w:r>
            <w:r>
              <w:rPr>
                <w:b/>
              </w:rPr>
              <w:t>Observations</w:t>
            </w:r>
            <w:r w:rsidRPr="00B03C78">
              <w:rPr>
                <w:b/>
              </w:rPr>
              <w:t xml:space="preserve"> Based on Adjusted EBIT (Post-March 10th, 2000)</w:t>
            </w:r>
          </w:p>
        </w:tc>
        <w:tc>
          <w:tcPr>
            <w:tcW w:w="1956" w:type="dxa"/>
            <w:tcBorders>
              <w:top w:val="single" w:sz="4" w:space="0" w:color="auto"/>
              <w:bottom w:val="single" w:sz="4" w:space="0" w:color="auto"/>
            </w:tcBorders>
            <w:shd w:val="clear" w:color="auto" w:fill="D0CECE" w:themeFill="background2" w:themeFillShade="E6"/>
            <w:tcMar>
              <w:top w:w="29" w:type="dxa"/>
              <w:left w:w="115" w:type="dxa"/>
              <w:bottom w:w="29" w:type="dxa"/>
              <w:right w:w="115" w:type="dxa"/>
            </w:tcMar>
            <w:vAlign w:val="center"/>
          </w:tcPr>
          <w:p w14:paraId="294F2150" w14:textId="05E42D94" w:rsidR="00D077F5" w:rsidRPr="00B03C78" w:rsidRDefault="00D077F5" w:rsidP="006F0C8A">
            <w:pPr>
              <w:spacing w:after="0"/>
              <w:jc w:val="center"/>
              <w:rPr>
                <w:b/>
              </w:rPr>
            </w:pPr>
            <w:r w:rsidRPr="00B03C78">
              <w:rPr>
                <w:b/>
              </w:rPr>
              <w:t xml:space="preserve">Unprofitable </w:t>
            </w:r>
            <w:r>
              <w:rPr>
                <w:b/>
              </w:rPr>
              <w:t>Observations</w:t>
            </w:r>
            <w:r w:rsidRPr="00B03C78">
              <w:rPr>
                <w:b/>
              </w:rPr>
              <w:t xml:space="preserve"> Based on Adjusted EBIT (Pre-March 10th, 2000)</w:t>
            </w:r>
          </w:p>
        </w:tc>
        <w:tc>
          <w:tcPr>
            <w:tcW w:w="1956" w:type="dxa"/>
            <w:tcBorders>
              <w:top w:val="single" w:sz="4" w:space="0" w:color="auto"/>
              <w:bottom w:val="single" w:sz="4" w:space="0" w:color="auto"/>
            </w:tcBorders>
            <w:shd w:val="clear" w:color="auto" w:fill="D0CECE" w:themeFill="background2" w:themeFillShade="E6"/>
            <w:tcMar>
              <w:top w:w="29" w:type="dxa"/>
              <w:left w:w="115" w:type="dxa"/>
              <w:bottom w:w="29" w:type="dxa"/>
              <w:right w:w="115" w:type="dxa"/>
            </w:tcMar>
            <w:vAlign w:val="center"/>
          </w:tcPr>
          <w:p w14:paraId="5BBDBC73" w14:textId="7CF1437A" w:rsidR="00D077F5" w:rsidRPr="00B03C78" w:rsidRDefault="00D077F5" w:rsidP="006F0C8A">
            <w:pPr>
              <w:spacing w:after="0"/>
              <w:jc w:val="center"/>
              <w:rPr>
                <w:b/>
              </w:rPr>
            </w:pPr>
            <w:r w:rsidRPr="00B03C78">
              <w:rPr>
                <w:b/>
              </w:rPr>
              <w:t xml:space="preserve">Unprofitable </w:t>
            </w:r>
            <w:r>
              <w:rPr>
                <w:b/>
              </w:rPr>
              <w:t>Observations</w:t>
            </w:r>
            <w:r w:rsidRPr="00B03C78">
              <w:rPr>
                <w:b/>
              </w:rPr>
              <w:t xml:space="preserve"> Based on Adjusted EBIT (Post-March 10th, 2000)</w:t>
            </w:r>
          </w:p>
        </w:tc>
      </w:tr>
      <w:tr w:rsidR="002B084A" w:rsidRPr="001C1ED6" w14:paraId="57C5BF2D" w14:textId="77777777" w:rsidTr="006F0C8A">
        <w:tc>
          <w:tcPr>
            <w:tcW w:w="1526" w:type="dxa"/>
            <w:tcBorders>
              <w:top w:val="single" w:sz="4" w:space="0" w:color="auto"/>
            </w:tcBorders>
            <w:tcMar>
              <w:top w:w="29" w:type="dxa"/>
              <w:left w:w="115" w:type="dxa"/>
              <w:bottom w:w="29" w:type="dxa"/>
              <w:right w:w="115" w:type="dxa"/>
            </w:tcMar>
            <w:vAlign w:val="center"/>
          </w:tcPr>
          <w:p w14:paraId="692D79C2" w14:textId="3BF35E39" w:rsidR="00D077F5" w:rsidRDefault="00D077F5" w:rsidP="006F0C8A">
            <w:pPr>
              <w:spacing w:after="0"/>
            </w:pPr>
            <w:r>
              <w:t>Observations</w:t>
            </w:r>
          </w:p>
        </w:tc>
        <w:tc>
          <w:tcPr>
            <w:tcW w:w="1956" w:type="dxa"/>
            <w:tcBorders>
              <w:top w:val="single" w:sz="4" w:space="0" w:color="auto"/>
              <w:bottom w:val="single" w:sz="4" w:space="0" w:color="auto"/>
            </w:tcBorders>
            <w:shd w:val="clear" w:color="auto" w:fill="auto"/>
            <w:tcMar>
              <w:top w:w="29" w:type="dxa"/>
              <w:left w:w="115" w:type="dxa"/>
              <w:bottom w:w="29" w:type="dxa"/>
              <w:right w:w="648" w:type="dxa"/>
            </w:tcMar>
            <w:vAlign w:val="center"/>
          </w:tcPr>
          <w:p w14:paraId="0D4A18B1" w14:textId="3D5BE111" w:rsidR="006F0C8A" w:rsidRPr="001C1ED6" w:rsidRDefault="00D077F5" w:rsidP="006F0C8A">
            <w:pPr>
              <w:spacing w:after="0"/>
              <w:jc w:val="right"/>
            </w:pPr>
            <w:r>
              <w:t>1,656</w:t>
            </w:r>
          </w:p>
        </w:tc>
        <w:tc>
          <w:tcPr>
            <w:tcW w:w="1956" w:type="dxa"/>
            <w:tcBorders>
              <w:top w:val="single" w:sz="4" w:space="0" w:color="auto"/>
              <w:bottom w:val="single" w:sz="4" w:space="0" w:color="auto"/>
            </w:tcBorders>
            <w:shd w:val="clear" w:color="auto" w:fill="auto"/>
            <w:tcMar>
              <w:top w:w="29" w:type="dxa"/>
              <w:left w:w="115" w:type="dxa"/>
              <w:bottom w:w="29" w:type="dxa"/>
              <w:right w:w="648" w:type="dxa"/>
            </w:tcMar>
            <w:vAlign w:val="center"/>
          </w:tcPr>
          <w:p w14:paraId="6EA20482" w14:textId="3B1249BF" w:rsidR="00D077F5" w:rsidRPr="001C1ED6" w:rsidRDefault="00D077F5" w:rsidP="006F0C8A">
            <w:pPr>
              <w:spacing w:after="0"/>
              <w:jc w:val="right"/>
            </w:pPr>
            <w:r w:rsidRPr="001C1ED6">
              <w:t>7</w:t>
            </w:r>
            <w:r>
              <w:t>,</w:t>
            </w:r>
            <w:r w:rsidRPr="001C1ED6">
              <w:t>085</w:t>
            </w:r>
          </w:p>
        </w:tc>
        <w:tc>
          <w:tcPr>
            <w:tcW w:w="1956" w:type="dxa"/>
            <w:tcBorders>
              <w:top w:val="single" w:sz="4" w:space="0" w:color="auto"/>
              <w:bottom w:val="single" w:sz="4" w:space="0" w:color="auto"/>
            </w:tcBorders>
            <w:shd w:val="clear" w:color="auto" w:fill="auto"/>
            <w:tcMar>
              <w:top w:w="29" w:type="dxa"/>
              <w:left w:w="115" w:type="dxa"/>
              <w:bottom w:w="29" w:type="dxa"/>
              <w:right w:w="648" w:type="dxa"/>
            </w:tcMar>
            <w:vAlign w:val="center"/>
          </w:tcPr>
          <w:p w14:paraId="5893D0A2" w14:textId="4BF4BD7E" w:rsidR="00D077F5" w:rsidRPr="001C1ED6" w:rsidRDefault="00D077F5" w:rsidP="006F0C8A">
            <w:pPr>
              <w:spacing w:after="0"/>
              <w:jc w:val="right"/>
            </w:pPr>
            <w:r>
              <w:t>242</w:t>
            </w:r>
          </w:p>
        </w:tc>
        <w:tc>
          <w:tcPr>
            <w:tcW w:w="1956" w:type="dxa"/>
            <w:tcBorders>
              <w:top w:val="single" w:sz="4" w:space="0" w:color="auto"/>
              <w:bottom w:val="single" w:sz="4" w:space="0" w:color="auto"/>
            </w:tcBorders>
            <w:shd w:val="clear" w:color="auto" w:fill="auto"/>
            <w:tcMar>
              <w:top w:w="29" w:type="dxa"/>
              <w:left w:w="115" w:type="dxa"/>
              <w:bottom w:w="29" w:type="dxa"/>
              <w:right w:w="648" w:type="dxa"/>
            </w:tcMar>
            <w:vAlign w:val="center"/>
          </w:tcPr>
          <w:p w14:paraId="39B7B5C9" w14:textId="071D4B74" w:rsidR="00D077F5" w:rsidRPr="001C1ED6" w:rsidRDefault="00D077F5" w:rsidP="006F0C8A">
            <w:pPr>
              <w:spacing w:after="0"/>
              <w:jc w:val="right"/>
            </w:pPr>
            <w:r>
              <w:t>1,314</w:t>
            </w:r>
          </w:p>
        </w:tc>
      </w:tr>
      <w:tr w:rsidR="002B084A" w:rsidRPr="001C1ED6" w14:paraId="0AC25484" w14:textId="77777777" w:rsidTr="006F0C8A">
        <w:tc>
          <w:tcPr>
            <w:tcW w:w="9350" w:type="dxa"/>
            <w:gridSpan w:val="5"/>
            <w:tcMar>
              <w:top w:w="29" w:type="dxa"/>
              <w:left w:w="115" w:type="dxa"/>
              <w:bottom w:w="29" w:type="dxa"/>
              <w:right w:w="115" w:type="dxa"/>
            </w:tcMar>
            <w:vAlign w:val="center"/>
          </w:tcPr>
          <w:p w14:paraId="2469D2A2" w14:textId="42DB6A6C" w:rsidR="002B084A" w:rsidRDefault="002B084A" w:rsidP="006F0C8A">
            <w:pPr>
              <w:spacing w:after="0"/>
            </w:pPr>
            <w:r>
              <w:t>EBIT ($m)</w:t>
            </w:r>
          </w:p>
        </w:tc>
      </w:tr>
      <w:tr w:rsidR="00D077F5" w:rsidRPr="001C1ED6" w14:paraId="3FE8EBF4" w14:textId="77777777" w:rsidTr="006F0C8A">
        <w:tc>
          <w:tcPr>
            <w:tcW w:w="1526" w:type="dxa"/>
            <w:tcMar>
              <w:top w:w="29" w:type="dxa"/>
              <w:left w:w="115" w:type="dxa"/>
              <w:bottom w:w="29" w:type="dxa"/>
              <w:right w:w="115" w:type="dxa"/>
            </w:tcMar>
            <w:vAlign w:val="center"/>
          </w:tcPr>
          <w:p w14:paraId="2EC00BF0" w14:textId="7F3AB077" w:rsidR="00D077F5" w:rsidRDefault="002B084A" w:rsidP="006F0C8A">
            <w:pPr>
              <w:spacing w:after="0"/>
            </w:pPr>
            <w:r>
              <w:t>25</w:t>
            </w:r>
            <w:r w:rsidRPr="006F0C8A">
              <w:rPr>
                <w:vertAlign w:val="superscript"/>
              </w:rPr>
              <w:t>th</w:t>
            </w:r>
            <w:r>
              <w:t xml:space="preserve"> perc</w:t>
            </w:r>
          </w:p>
        </w:tc>
        <w:tc>
          <w:tcPr>
            <w:tcW w:w="1956" w:type="dxa"/>
            <w:shd w:val="clear" w:color="auto" w:fill="auto"/>
            <w:tcMar>
              <w:top w:w="29" w:type="dxa"/>
              <w:left w:w="115" w:type="dxa"/>
              <w:bottom w:w="29" w:type="dxa"/>
              <w:right w:w="648" w:type="dxa"/>
            </w:tcMar>
            <w:vAlign w:val="center"/>
          </w:tcPr>
          <w:p w14:paraId="1896B68E" w14:textId="31B82504" w:rsidR="00D077F5" w:rsidRDefault="00724BA3" w:rsidP="006F0C8A">
            <w:pPr>
              <w:spacing w:after="0"/>
              <w:jc w:val="right"/>
            </w:pPr>
            <w:r>
              <w:t>13.88</w:t>
            </w:r>
          </w:p>
        </w:tc>
        <w:tc>
          <w:tcPr>
            <w:tcW w:w="1956" w:type="dxa"/>
            <w:shd w:val="clear" w:color="auto" w:fill="auto"/>
            <w:tcMar>
              <w:top w:w="29" w:type="dxa"/>
              <w:left w:w="115" w:type="dxa"/>
              <w:bottom w:w="29" w:type="dxa"/>
              <w:right w:w="648" w:type="dxa"/>
            </w:tcMar>
            <w:vAlign w:val="center"/>
          </w:tcPr>
          <w:p w14:paraId="68E61A2F" w14:textId="05677DAD" w:rsidR="00D077F5" w:rsidRPr="001C1ED6" w:rsidRDefault="003D01DA" w:rsidP="006F0C8A">
            <w:pPr>
              <w:spacing w:after="0"/>
              <w:jc w:val="right"/>
            </w:pPr>
            <w:r>
              <w:t>2.41</w:t>
            </w:r>
          </w:p>
        </w:tc>
        <w:tc>
          <w:tcPr>
            <w:tcW w:w="1956" w:type="dxa"/>
            <w:shd w:val="clear" w:color="auto" w:fill="auto"/>
            <w:tcMar>
              <w:top w:w="29" w:type="dxa"/>
              <w:left w:w="115" w:type="dxa"/>
              <w:bottom w:w="29" w:type="dxa"/>
              <w:right w:w="648" w:type="dxa"/>
            </w:tcMar>
            <w:vAlign w:val="center"/>
          </w:tcPr>
          <w:p w14:paraId="5E876A8B" w14:textId="0B6531B8" w:rsidR="00D077F5" w:rsidRDefault="0086695F" w:rsidP="006F0C8A">
            <w:pPr>
              <w:spacing w:after="0"/>
              <w:jc w:val="right"/>
            </w:pPr>
            <w:r>
              <w:t>-64.31</w:t>
            </w:r>
          </w:p>
        </w:tc>
        <w:tc>
          <w:tcPr>
            <w:tcW w:w="1956" w:type="dxa"/>
            <w:shd w:val="clear" w:color="auto" w:fill="auto"/>
            <w:tcMar>
              <w:top w:w="29" w:type="dxa"/>
              <w:left w:w="115" w:type="dxa"/>
              <w:bottom w:w="29" w:type="dxa"/>
              <w:right w:w="648" w:type="dxa"/>
            </w:tcMar>
            <w:vAlign w:val="center"/>
          </w:tcPr>
          <w:p w14:paraId="0C0F3ECD" w14:textId="0E7593F8" w:rsidR="00D077F5" w:rsidRDefault="00CA036E" w:rsidP="006F0C8A">
            <w:pPr>
              <w:spacing w:after="0"/>
              <w:jc w:val="right"/>
            </w:pPr>
            <w:r>
              <w:t>-33.07</w:t>
            </w:r>
          </w:p>
        </w:tc>
      </w:tr>
      <w:tr w:rsidR="00D077F5" w:rsidRPr="001C1ED6" w14:paraId="0F80C0FB" w14:textId="77777777" w:rsidTr="006F0C8A">
        <w:tc>
          <w:tcPr>
            <w:tcW w:w="1526" w:type="dxa"/>
            <w:tcMar>
              <w:top w:w="29" w:type="dxa"/>
              <w:left w:w="115" w:type="dxa"/>
              <w:bottom w:w="29" w:type="dxa"/>
              <w:right w:w="115" w:type="dxa"/>
            </w:tcMar>
            <w:vAlign w:val="center"/>
          </w:tcPr>
          <w:p w14:paraId="0EEB0CC6" w14:textId="7C9D07EF" w:rsidR="00D077F5" w:rsidRDefault="002B084A" w:rsidP="006F0C8A">
            <w:pPr>
              <w:spacing w:after="0"/>
            </w:pPr>
            <w:r>
              <w:t>50</w:t>
            </w:r>
            <w:r w:rsidRPr="006F0C8A">
              <w:rPr>
                <w:vertAlign w:val="superscript"/>
              </w:rPr>
              <w:t>th</w:t>
            </w:r>
            <w:r>
              <w:t xml:space="preserve"> perc</w:t>
            </w:r>
          </w:p>
        </w:tc>
        <w:tc>
          <w:tcPr>
            <w:tcW w:w="1956" w:type="dxa"/>
            <w:shd w:val="clear" w:color="auto" w:fill="auto"/>
            <w:tcMar>
              <w:top w:w="29" w:type="dxa"/>
              <w:left w:w="115" w:type="dxa"/>
              <w:bottom w:w="29" w:type="dxa"/>
              <w:right w:w="648" w:type="dxa"/>
            </w:tcMar>
            <w:vAlign w:val="center"/>
          </w:tcPr>
          <w:p w14:paraId="6A55B93B" w14:textId="16D590B3" w:rsidR="00D077F5" w:rsidRDefault="00724BA3" w:rsidP="006F0C8A">
            <w:pPr>
              <w:spacing w:after="0"/>
              <w:jc w:val="right"/>
            </w:pPr>
            <w:r>
              <w:t>54.29</w:t>
            </w:r>
          </w:p>
        </w:tc>
        <w:tc>
          <w:tcPr>
            <w:tcW w:w="1956" w:type="dxa"/>
            <w:shd w:val="clear" w:color="auto" w:fill="auto"/>
            <w:tcMar>
              <w:top w:w="29" w:type="dxa"/>
              <w:left w:w="115" w:type="dxa"/>
              <w:bottom w:w="29" w:type="dxa"/>
              <w:right w:w="648" w:type="dxa"/>
            </w:tcMar>
            <w:vAlign w:val="center"/>
          </w:tcPr>
          <w:p w14:paraId="75AFFA33" w14:textId="115CC9F1" w:rsidR="00D077F5" w:rsidRPr="001C1ED6" w:rsidRDefault="003D01DA" w:rsidP="006F0C8A">
            <w:pPr>
              <w:spacing w:after="0"/>
              <w:jc w:val="right"/>
            </w:pPr>
            <w:r>
              <w:t>19.84</w:t>
            </w:r>
          </w:p>
        </w:tc>
        <w:tc>
          <w:tcPr>
            <w:tcW w:w="1956" w:type="dxa"/>
            <w:shd w:val="clear" w:color="auto" w:fill="auto"/>
            <w:tcMar>
              <w:top w:w="29" w:type="dxa"/>
              <w:left w:w="115" w:type="dxa"/>
              <w:bottom w:w="29" w:type="dxa"/>
              <w:right w:w="648" w:type="dxa"/>
            </w:tcMar>
            <w:vAlign w:val="center"/>
          </w:tcPr>
          <w:p w14:paraId="7B1E7AB3" w14:textId="54E80656" w:rsidR="00D077F5" w:rsidRDefault="0086695F" w:rsidP="006F0C8A">
            <w:pPr>
              <w:spacing w:after="0"/>
              <w:jc w:val="right"/>
            </w:pPr>
            <w:r>
              <w:t>-28.69</w:t>
            </w:r>
          </w:p>
        </w:tc>
        <w:tc>
          <w:tcPr>
            <w:tcW w:w="1956" w:type="dxa"/>
            <w:shd w:val="clear" w:color="auto" w:fill="auto"/>
            <w:tcMar>
              <w:top w:w="29" w:type="dxa"/>
              <w:left w:w="115" w:type="dxa"/>
              <w:bottom w:w="29" w:type="dxa"/>
              <w:right w:w="648" w:type="dxa"/>
            </w:tcMar>
            <w:vAlign w:val="center"/>
          </w:tcPr>
          <w:p w14:paraId="5B560EC0" w14:textId="6881C7D6" w:rsidR="00D077F5" w:rsidRDefault="00CA036E" w:rsidP="006F0C8A">
            <w:pPr>
              <w:spacing w:after="0"/>
              <w:jc w:val="right"/>
            </w:pPr>
            <w:r>
              <w:t>-13.85</w:t>
            </w:r>
          </w:p>
        </w:tc>
      </w:tr>
      <w:tr w:rsidR="00D077F5" w:rsidRPr="001C1ED6" w14:paraId="14D3F335" w14:textId="77777777" w:rsidTr="006F0C8A">
        <w:tc>
          <w:tcPr>
            <w:tcW w:w="1526" w:type="dxa"/>
            <w:tcMar>
              <w:top w:w="29" w:type="dxa"/>
              <w:left w:w="115" w:type="dxa"/>
              <w:bottom w:w="29" w:type="dxa"/>
              <w:right w:w="115" w:type="dxa"/>
            </w:tcMar>
            <w:vAlign w:val="center"/>
          </w:tcPr>
          <w:p w14:paraId="02B48B79" w14:textId="5DD44449" w:rsidR="00D077F5" w:rsidRDefault="002B084A" w:rsidP="006F0C8A">
            <w:pPr>
              <w:spacing w:after="0"/>
            </w:pPr>
            <w:r>
              <w:t>75</w:t>
            </w:r>
            <w:r w:rsidRPr="006F0C8A">
              <w:rPr>
                <w:vertAlign w:val="superscript"/>
              </w:rPr>
              <w:t>th</w:t>
            </w:r>
            <w:r>
              <w:t xml:space="preserve"> perc</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6357582D" w14:textId="35B6AAB6" w:rsidR="00D077F5" w:rsidRDefault="00B7629F" w:rsidP="006F0C8A">
            <w:pPr>
              <w:spacing w:after="0"/>
              <w:jc w:val="right"/>
            </w:pPr>
            <w:r>
              <w:t>255.51</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28DEB189" w14:textId="6C149BBA" w:rsidR="00D077F5" w:rsidRPr="001C1ED6" w:rsidRDefault="003D01DA" w:rsidP="006F0C8A">
            <w:pPr>
              <w:spacing w:after="0"/>
              <w:jc w:val="right"/>
            </w:pPr>
            <w:r>
              <w:t>96.09</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024D9091" w14:textId="0F72D8FF" w:rsidR="00D077F5" w:rsidRDefault="003D01DA" w:rsidP="006F0C8A">
            <w:pPr>
              <w:spacing w:after="0"/>
              <w:jc w:val="right"/>
            </w:pPr>
            <w:r>
              <w:t>-12.55</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74AFBC33" w14:textId="319C849C" w:rsidR="00D077F5" w:rsidRDefault="0086695F" w:rsidP="006F0C8A">
            <w:pPr>
              <w:spacing w:after="0"/>
              <w:jc w:val="right"/>
            </w:pPr>
            <w:r>
              <w:t>-5.74</w:t>
            </w:r>
          </w:p>
        </w:tc>
      </w:tr>
      <w:tr w:rsidR="002B084A" w:rsidRPr="001C1ED6" w14:paraId="5E9FAE79" w14:textId="77777777" w:rsidTr="006F0C8A">
        <w:tc>
          <w:tcPr>
            <w:tcW w:w="9350" w:type="dxa"/>
            <w:gridSpan w:val="5"/>
            <w:tcMar>
              <w:top w:w="29" w:type="dxa"/>
              <w:left w:w="115" w:type="dxa"/>
              <w:bottom w:w="29" w:type="dxa"/>
              <w:right w:w="115" w:type="dxa"/>
            </w:tcMar>
            <w:vAlign w:val="center"/>
          </w:tcPr>
          <w:p w14:paraId="414DBEDB" w14:textId="6E8755CD" w:rsidR="002B084A" w:rsidRDefault="002B084A" w:rsidP="006F0C8A">
            <w:pPr>
              <w:spacing w:after="0"/>
            </w:pPr>
            <w:r>
              <w:t>R&amp;D ($m)</w:t>
            </w:r>
          </w:p>
        </w:tc>
      </w:tr>
      <w:tr w:rsidR="002B084A" w:rsidRPr="001C1ED6" w14:paraId="5AC47777" w14:textId="77777777" w:rsidTr="006F0C8A">
        <w:tc>
          <w:tcPr>
            <w:tcW w:w="1526" w:type="dxa"/>
            <w:tcMar>
              <w:top w:w="29" w:type="dxa"/>
              <w:left w:w="115" w:type="dxa"/>
              <w:bottom w:w="29" w:type="dxa"/>
              <w:right w:w="115" w:type="dxa"/>
            </w:tcMar>
            <w:vAlign w:val="center"/>
          </w:tcPr>
          <w:p w14:paraId="7385F184" w14:textId="66B3F6CD" w:rsidR="002B084A" w:rsidRDefault="002B084A" w:rsidP="006F0C8A">
            <w:pPr>
              <w:spacing w:after="0"/>
            </w:pPr>
            <w:r>
              <w:t>25</w:t>
            </w:r>
            <w:r w:rsidRPr="00061CB2">
              <w:rPr>
                <w:vertAlign w:val="superscript"/>
              </w:rPr>
              <w:t>th</w:t>
            </w:r>
            <w:r>
              <w:t xml:space="preserve"> perc</w:t>
            </w:r>
          </w:p>
        </w:tc>
        <w:tc>
          <w:tcPr>
            <w:tcW w:w="1956" w:type="dxa"/>
            <w:shd w:val="clear" w:color="auto" w:fill="auto"/>
            <w:tcMar>
              <w:top w:w="29" w:type="dxa"/>
              <w:left w:w="115" w:type="dxa"/>
              <w:bottom w:w="29" w:type="dxa"/>
              <w:right w:w="648" w:type="dxa"/>
            </w:tcMar>
            <w:vAlign w:val="center"/>
          </w:tcPr>
          <w:p w14:paraId="748F5993" w14:textId="0070CE6B" w:rsidR="002B084A" w:rsidRDefault="00724BA3" w:rsidP="006F0C8A">
            <w:pPr>
              <w:spacing w:after="0"/>
              <w:jc w:val="right"/>
            </w:pPr>
            <w:r>
              <w:t>0</w:t>
            </w:r>
          </w:p>
        </w:tc>
        <w:tc>
          <w:tcPr>
            <w:tcW w:w="1956" w:type="dxa"/>
            <w:shd w:val="clear" w:color="auto" w:fill="auto"/>
            <w:tcMar>
              <w:top w:w="29" w:type="dxa"/>
              <w:left w:w="115" w:type="dxa"/>
              <w:bottom w:w="29" w:type="dxa"/>
              <w:right w:w="648" w:type="dxa"/>
            </w:tcMar>
            <w:vAlign w:val="center"/>
          </w:tcPr>
          <w:p w14:paraId="3A6C60A7" w14:textId="6E4CF850" w:rsidR="002B084A" w:rsidRPr="001C1ED6" w:rsidRDefault="003D01DA" w:rsidP="006F0C8A">
            <w:pPr>
              <w:spacing w:after="0"/>
              <w:jc w:val="right"/>
            </w:pPr>
            <w:r>
              <w:t>0</w:t>
            </w:r>
          </w:p>
        </w:tc>
        <w:tc>
          <w:tcPr>
            <w:tcW w:w="1956" w:type="dxa"/>
            <w:shd w:val="clear" w:color="auto" w:fill="auto"/>
            <w:tcMar>
              <w:top w:w="29" w:type="dxa"/>
              <w:left w:w="115" w:type="dxa"/>
              <w:bottom w:w="29" w:type="dxa"/>
              <w:right w:w="648" w:type="dxa"/>
            </w:tcMar>
            <w:vAlign w:val="center"/>
          </w:tcPr>
          <w:p w14:paraId="6AC4B112" w14:textId="00C2A760" w:rsidR="002B084A" w:rsidRDefault="0086695F" w:rsidP="006F0C8A">
            <w:pPr>
              <w:spacing w:after="0"/>
              <w:jc w:val="right"/>
            </w:pPr>
            <w:r>
              <w:t>2.29</w:t>
            </w:r>
          </w:p>
        </w:tc>
        <w:tc>
          <w:tcPr>
            <w:tcW w:w="1956" w:type="dxa"/>
            <w:shd w:val="clear" w:color="auto" w:fill="auto"/>
            <w:tcMar>
              <w:top w:w="29" w:type="dxa"/>
              <w:left w:w="115" w:type="dxa"/>
              <w:bottom w:w="29" w:type="dxa"/>
              <w:right w:w="648" w:type="dxa"/>
            </w:tcMar>
            <w:vAlign w:val="center"/>
          </w:tcPr>
          <w:p w14:paraId="16C9E78B" w14:textId="418BAA87" w:rsidR="002B084A" w:rsidRDefault="00CA036E" w:rsidP="006F0C8A">
            <w:pPr>
              <w:spacing w:after="0"/>
              <w:jc w:val="right"/>
            </w:pPr>
            <w:r>
              <w:t>0.11</w:t>
            </w:r>
          </w:p>
        </w:tc>
      </w:tr>
      <w:tr w:rsidR="002B084A" w:rsidRPr="001C1ED6" w14:paraId="5CE942BE" w14:textId="77777777" w:rsidTr="006F0C8A">
        <w:tc>
          <w:tcPr>
            <w:tcW w:w="1526" w:type="dxa"/>
            <w:tcMar>
              <w:top w:w="29" w:type="dxa"/>
              <w:left w:w="115" w:type="dxa"/>
              <w:bottom w:w="29" w:type="dxa"/>
              <w:right w:w="115" w:type="dxa"/>
            </w:tcMar>
            <w:vAlign w:val="center"/>
          </w:tcPr>
          <w:p w14:paraId="26A69BD5" w14:textId="2110096A" w:rsidR="002B084A" w:rsidRDefault="002B084A" w:rsidP="006F0C8A">
            <w:pPr>
              <w:spacing w:after="0"/>
            </w:pPr>
            <w:r>
              <w:t>50</w:t>
            </w:r>
            <w:r w:rsidRPr="00061CB2">
              <w:rPr>
                <w:vertAlign w:val="superscript"/>
              </w:rPr>
              <w:t>th</w:t>
            </w:r>
            <w:r>
              <w:t xml:space="preserve"> perc</w:t>
            </w:r>
          </w:p>
        </w:tc>
        <w:tc>
          <w:tcPr>
            <w:tcW w:w="1956" w:type="dxa"/>
            <w:shd w:val="clear" w:color="auto" w:fill="auto"/>
            <w:tcMar>
              <w:top w:w="29" w:type="dxa"/>
              <w:left w:w="115" w:type="dxa"/>
              <w:bottom w:w="29" w:type="dxa"/>
              <w:right w:w="648" w:type="dxa"/>
            </w:tcMar>
            <w:vAlign w:val="center"/>
          </w:tcPr>
          <w:p w14:paraId="60B4FA4B" w14:textId="3D5D2CCD" w:rsidR="002B084A" w:rsidRDefault="00724BA3" w:rsidP="006F0C8A">
            <w:pPr>
              <w:spacing w:after="0"/>
              <w:jc w:val="right"/>
            </w:pPr>
            <w:r>
              <w:t>8.51</w:t>
            </w:r>
          </w:p>
        </w:tc>
        <w:tc>
          <w:tcPr>
            <w:tcW w:w="1956" w:type="dxa"/>
            <w:shd w:val="clear" w:color="auto" w:fill="auto"/>
            <w:tcMar>
              <w:top w:w="29" w:type="dxa"/>
              <w:left w:w="115" w:type="dxa"/>
              <w:bottom w:w="29" w:type="dxa"/>
              <w:right w:w="648" w:type="dxa"/>
            </w:tcMar>
            <w:vAlign w:val="center"/>
          </w:tcPr>
          <w:p w14:paraId="19F2E6C4" w14:textId="79E299AD" w:rsidR="002B084A" w:rsidRPr="001C1ED6" w:rsidRDefault="003D01DA" w:rsidP="006F0C8A">
            <w:pPr>
              <w:spacing w:after="0"/>
              <w:jc w:val="right"/>
            </w:pPr>
            <w:r>
              <w:t>6.06</w:t>
            </w:r>
          </w:p>
        </w:tc>
        <w:tc>
          <w:tcPr>
            <w:tcW w:w="1956" w:type="dxa"/>
            <w:shd w:val="clear" w:color="auto" w:fill="auto"/>
            <w:tcMar>
              <w:top w:w="29" w:type="dxa"/>
              <w:left w:w="115" w:type="dxa"/>
              <w:bottom w:w="29" w:type="dxa"/>
              <w:right w:w="648" w:type="dxa"/>
            </w:tcMar>
            <w:vAlign w:val="center"/>
          </w:tcPr>
          <w:p w14:paraId="168BA6AD" w14:textId="1C282397" w:rsidR="002B084A" w:rsidRDefault="0086695F" w:rsidP="006F0C8A">
            <w:pPr>
              <w:spacing w:after="0"/>
              <w:jc w:val="right"/>
            </w:pPr>
            <w:r>
              <w:t>7.15</w:t>
            </w:r>
          </w:p>
        </w:tc>
        <w:tc>
          <w:tcPr>
            <w:tcW w:w="1956" w:type="dxa"/>
            <w:shd w:val="clear" w:color="auto" w:fill="auto"/>
            <w:tcMar>
              <w:top w:w="29" w:type="dxa"/>
              <w:left w:w="115" w:type="dxa"/>
              <w:bottom w:w="29" w:type="dxa"/>
              <w:right w:w="648" w:type="dxa"/>
            </w:tcMar>
            <w:vAlign w:val="center"/>
          </w:tcPr>
          <w:p w14:paraId="0685FA8A" w14:textId="752CE436" w:rsidR="002B084A" w:rsidRDefault="00CA036E" w:rsidP="006F0C8A">
            <w:pPr>
              <w:spacing w:after="0"/>
              <w:jc w:val="right"/>
            </w:pPr>
            <w:r>
              <w:t>3.70</w:t>
            </w:r>
          </w:p>
        </w:tc>
      </w:tr>
      <w:tr w:rsidR="002B084A" w:rsidRPr="001C1ED6" w14:paraId="5FDB97A8" w14:textId="77777777" w:rsidTr="006F0C8A">
        <w:tc>
          <w:tcPr>
            <w:tcW w:w="1526" w:type="dxa"/>
            <w:tcMar>
              <w:top w:w="29" w:type="dxa"/>
              <w:left w:w="115" w:type="dxa"/>
              <w:bottom w:w="29" w:type="dxa"/>
              <w:right w:w="115" w:type="dxa"/>
            </w:tcMar>
            <w:vAlign w:val="center"/>
          </w:tcPr>
          <w:p w14:paraId="03220AFD" w14:textId="7F45F368" w:rsidR="002B084A" w:rsidRDefault="002B084A" w:rsidP="002B084A">
            <w:pPr>
              <w:spacing w:after="0"/>
            </w:pPr>
            <w:r>
              <w:t>75</w:t>
            </w:r>
            <w:r w:rsidRPr="00061CB2">
              <w:rPr>
                <w:vertAlign w:val="superscript"/>
              </w:rPr>
              <w:t>th</w:t>
            </w:r>
            <w:r>
              <w:t xml:space="preserve"> perc</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4C0C4F92" w14:textId="77AF0F6E" w:rsidR="002B084A" w:rsidRDefault="00724BA3" w:rsidP="002B084A">
            <w:pPr>
              <w:spacing w:after="0"/>
              <w:jc w:val="right"/>
            </w:pPr>
            <w:r>
              <w:t>37.47</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0F556EB5" w14:textId="554DE6FE" w:rsidR="002B084A" w:rsidRPr="001C1ED6" w:rsidRDefault="003D01DA" w:rsidP="002B084A">
            <w:pPr>
              <w:spacing w:after="0"/>
              <w:jc w:val="right"/>
            </w:pPr>
            <w:r>
              <w:t>30.53</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5B84D7FD" w14:textId="469BCE17" w:rsidR="002B084A" w:rsidRDefault="003D01DA" w:rsidP="002B084A">
            <w:pPr>
              <w:spacing w:after="0"/>
              <w:jc w:val="right"/>
            </w:pPr>
            <w:r>
              <w:t>17.4</w:t>
            </w:r>
            <w:r w:rsidR="0086695F">
              <w:t>0</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125EF4A2" w14:textId="67E188A6" w:rsidR="002B084A" w:rsidRDefault="0086695F" w:rsidP="002B084A">
            <w:pPr>
              <w:spacing w:after="0"/>
              <w:jc w:val="right"/>
            </w:pPr>
            <w:r>
              <w:t>11.53</w:t>
            </w:r>
          </w:p>
        </w:tc>
      </w:tr>
      <w:tr w:rsidR="002B084A" w:rsidRPr="001C1ED6" w14:paraId="492059BB" w14:textId="77777777" w:rsidTr="006F0C8A">
        <w:tc>
          <w:tcPr>
            <w:tcW w:w="9350" w:type="dxa"/>
            <w:gridSpan w:val="5"/>
            <w:tcMar>
              <w:top w:w="29" w:type="dxa"/>
              <w:left w:w="115" w:type="dxa"/>
              <w:bottom w:w="29" w:type="dxa"/>
              <w:right w:w="115" w:type="dxa"/>
            </w:tcMar>
            <w:vAlign w:val="center"/>
          </w:tcPr>
          <w:p w14:paraId="3D1E293A" w14:textId="4E5CC3F4" w:rsidR="002B084A" w:rsidRDefault="002B084A" w:rsidP="006F0C8A">
            <w:pPr>
              <w:spacing w:after="0"/>
            </w:pPr>
            <w:r>
              <w:t>Marketing ($m)</w:t>
            </w:r>
          </w:p>
        </w:tc>
      </w:tr>
      <w:tr w:rsidR="002B084A" w:rsidRPr="001C1ED6" w14:paraId="2278B22A" w14:textId="77777777" w:rsidTr="006F0C8A">
        <w:tc>
          <w:tcPr>
            <w:tcW w:w="1526" w:type="dxa"/>
            <w:tcMar>
              <w:top w:w="29" w:type="dxa"/>
              <w:left w:w="115" w:type="dxa"/>
              <w:bottom w:w="29" w:type="dxa"/>
              <w:right w:w="115" w:type="dxa"/>
            </w:tcMar>
            <w:vAlign w:val="center"/>
          </w:tcPr>
          <w:p w14:paraId="178A69B8" w14:textId="0359F3CE" w:rsidR="002B084A" w:rsidRDefault="002B084A" w:rsidP="006F0C8A">
            <w:pPr>
              <w:spacing w:after="0"/>
            </w:pPr>
            <w:r>
              <w:t>25</w:t>
            </w:r>
            <w:r w:rsidRPr="00061CB2">
              <w:rPr>
                <w:vertAlign w:val="superscript"/>
              </w:rPr>
              <w:t>th</w:t>
            </w:r>
            <w:r>
              <w:t xml:space="preserve"> perc</w:t>
            </w:r>
          </w:p>
        </w:tc>
        <w:tc>
          <w:tcPr>
            <w:tcW w:w="1956" w:type="dxa"/>
            <w:shd w:val="clear" w:color="auto" w:fill="auto"/>
            <w:tcMar>
              <w:top w:w="29" w:type="dxa"/>
              <w:left w:w="115" w:type="dxa"/>
              <w:bottom w:w="29" w:type="dxa"/>
              <w:right w:w="648" w:type="dxa"/>
            </w:tcMar>
            <w:vAlign w:val="center"/>
          </w:tcPr>
          <w:p w14:paraId="34066A6C" w14:textId="117C5A57" w:rsidR="002B084A" w:rsidRDefault="00724BA3" w:rsidP="006F0C8A">
            <w:pPr>
              <w:spacing w:after="0"/>
              <w:jc w:val="right"/>
            </w:pPr>
            <w:r>
              <w:t>5.41</w:t>
            </w:r>
          </w:p>
        </w:tc>
        <w:tc>
          <w:tcPr>
            <w:tcW w:w="1956" w:type="dxa"/>
            <w:shd w:val="clear" w:color="auto" w:fill="auto"/>
            <w:tcMar>
              <w:top w:w="29" w:type="dxa"/>
              <w:left w:w="115" w:type="dxa"/>
              <w:bottom w:w="29" w:type="dxa"/>
              <w:right w:w="648" w:type="dxa"/>
            </w:tcMar>
            <w:vAlign w:val="center"/>
          </w:tcPr>
          <w:p w14:paraId="752D7C03" w14:textId="5580C196" w:rsidR="002B084A" w:rsidRPr="001C1ED6" w:rsidRDefault="003D01DA" w:rsidP="006F0C8A">
            <w:pPr>
              <w:spacing w:after="0"/>
              <w:jc w:val="right"/>
            </w:pPr>
            <w:r>
              <w:t>0.68</w:t>
            </w:r>
          </w:p>
        </w:tc>
        <w:tc>
          <w:tcPr>
            <w:tcW w:w="1956" w:type="dxa"/>
            <w:shd w:val="clear" w:color="auto" w:fill="auto"/>
            <w:tcMar>
              <w:top w:w="29" w:type="dxa"/>
              <w:left w:w="115" w:type="dxa"/>
              <w:bottom w:w="29" w:type="dxa"/>
              <w:right w:w="648" w:type="dxa"/>
            </w:tcMar>
            <w:vAlign w:val="center"/>
          </w:tcPr>
          <w:p w14:paraId="6CFB6391" w14:textId="110BCD7D" w:rsidR="002B084A" w:rsidRDefault="0086695F" w:rsidP="006F0C8A">
            <w:pPr>
              <w:spacing w:after="0"/>
              <w:jc w:val="right"/>
            </w:pPr>
            <w:r>
              <w:t>0.76</w:t>
            </w:r>
          </w:p>
        </w:tc>
        <w:tc>
          <w:tcPr>
            <w:tcW w:w="1956" w:type="dxa"/>
            <w:shd w:val="clear" w:color="auto" w:fill="auto"/>
            <w:tcMar>
              <w:top w:w="29" w:type="dxa"/>
              <w:left w:w="115" w:type="dxa"/>
              <w:bottom w:w="29" w:type="dxa"/>
              <w:right w:w="648" w:type="dxa"/>
            </w:tcMar>
            <w:vAlign w:val="center"/>
          </w:tcPr>
          <w:p w14:paraId="0327A1D9" w14:textId="71272674" w:rsidR="002B084A" w:rsidRDefault="00CA036E" w:rsidP="006F0C8A">
            <w:pPr>
              <w:spacing w:after="0"/>
              <w:jc w:val="right"/>
            </w:pPr>
            <w:r>
              <w:t>0.15</w:t>
            </w:r>
          </w:p>
        </w:tc>
      </w:tr>
      <w:tr w:rsidR="002B084A" w:rsidRPr="001C1ED6" w14:paraId="34375365" w14:textId="77777777" w:rsidTr="006F0C8A">
        <w:tc>
          <w:tcPr>
            <w:tcW w:w="1526" w:type="dxa"/>
            <w:tcMar>
              <w:top w:w="29" w:type="dxa"/>
              <w:left w:w="115" w:type="dxa"/>
              <w:bottom w:w="29" w:type="dxa"/>
              <w:right w:w="115" w:type="dxa"/>
            </w:tcMar>
            <w:vAlign w:val="center"/>
          </w:tcPr>
          <w:p w14:paraId="0472ACC2" w14:textId="2CEADD36" w:rsidR="002B084A" w:rsidRDefault="002B084A" w:rsidP="006F0C8A">
            <w:pPr>
              <w:spacing w:after="0"/>
            </w:pPr>
            <w:r>
              <w:t>50</w:t>
            </w:r>
            <w:r w:rsidRPr="00061CB2">
              <w:rPr>
                <w:vertAlign w:val="superscript"/>
              </w:rPr>
              <w:t>th</w:t>
            </w:r>
            <w:r>
              <w:t xml:space="preserve"> perc</w:t>
            </w:r>
          </w:p>
        </w:tc>
        <w:tc>
          <w:tcPr>
            <w:tcW w:w="1956" w:type="dxa"/>
            <w:shd w:val="clear" w:color="auto" w:fill="auto"/>
            <w:tcMar>
              <w:top w:w="29" w:type="dxa"/>
              <w:left w:w="115" w:type="dxa"/>
              <w:bottom w:w="29" w:type="dxa"/>
              <w:right w:w="648" w:type="dxa"/>
            </w:tcMar>
            <w:vAlign w:val="center"/>
          </w:tcPr>
          <w:p w14:paraId="3E5A4B65" w14:textId="6F4848CD" w:rsidR="002B084A" w:rsidRDefault="00724BA3" w:rsidP="006F0C8A">
            <w:pPr>
              <w:spacing w:after="0"/>
              <w:jc w:val="right"/>
            </w:pPr>
            <w:r>
              <w:t>25.23</w:t>
            </w:r>
          </w:p>
        </w:tc>
        <w:tc>
          <w:tcPr>
            <w:tcW w:w="1956" w:type="dxa"/>
            <w:shd w:val="clear" w:color="auto" w:fill="auto"/>
            <w:tcMar>
              <w:top w:w="29" w:type="dxa"/>
              <w:left w:w="115" w:type="dxa"/>
              <w:bottom w:w="29" w:type="dxa"/>
              <w:right w:w="648" w:type="dxa"/>
            </w:tcMar>
            <w:vAlign w:val="center"/>
          </w:tcPr>
          <w:p w14:paraId="290B2F05" w14:textId="45F413C9" w:rsidR="002B084A" w:rsidRPr="001C1ED6" w:rsidRDefault="003D01DA" w:rsidP="006F0C8A">
            <w:pPr>
              <w:spacing w:after="0"/>
              <w:jc w:val="right"/>
            </w:pPr>
            <w:r>
              <w:t>3.80</w:t>
            </w:r>
          </w:p>
        </w:tc>
        <w:tc>
          <w:tcPr>
            <w:tcW w:w="1956" w:type="dxa"/>
            <w:shd w:val="clear" w:color="auto" w:fill="auto"/>
            <w:tcMar>
              <w:top w:w="29" w:type="dxa"/>
              <w:left w:w="115" w:type="dxa"/>
              <w:bottom w:w="29" w:type="dxa"/>
              <w:right w:w="648" w:type="dxa"/>
            </w:tcMar>
            <w:vAlign w:val="center"/>
          </w:tcPr>
          <w:p w14:paraId="2D1797AD" w14:textId="4A3DED4D" w:rsidR="002B084A" w:rsidRDefault="0086695F" w:rsidP="006F0C8A">
            <w:pPr>
              <w:spacing w:after="0"/>
              <w:jc w:val="right"/>
            </w:pPr>
            <w:r>
              <w:t>4.11</w:t>
            </w:r>
          </w:p>
        </w:tc>
        <w:tc>
          <w:tcPr>
            <w:tcW w:w="1956" w:type="dxa"/>
            <w:shd w:val="clear" w:color="auto" w:fill="auto"/>
            <w:tcMar>
              <w:top w:w="29" w:type="dxa"/>
              <w:left w:w="115" w:type="dxa"/>
              <w:bottom w:w="29" w:type="dxa"/>
              <w:right w:w="648" w:type="dxa"/>
            </w:tcMar>
            <w:vAlign w:val="center"/>
          </w:tcPr>
          <w:p w14:paraId="7D229EE9" w14:textId="574D5BA1" w:rsidR="002B084A" w:rsidRDefault="00CA036E" w:rsidP="006F0C8A">
            <w:pPr>
              <w:spacing w:after="0"/>
              <w:jc w:val="right"/>
            </w:pPr>
            <w:r>
              <w:t>0.61</w:t>
            </w:r>
          </w:p>
        </w:tc>
      </w:tr>
      <w:tr w:rsidR="002B084A" w:rsidRPr="001C1ED6" w14:paraId="5AEEB382" w14:textId="77777777" w:rsidTr="006F0C8A">
        <w:tc>
          <w:tcPr>
            <w:tcW w:w="1526" w:type="dxa"/>
            <w:tcMar>
              <w:top w:w="29" w:type="dxa"/>
              <w:left w:w="115" w:type="dxa"/>
              <w:bottom w:w="29" w:type="dxa"/>
              <w:right w:w="115" w:type="dxa"/>
            </w:tcMar>
            <w:vAlign w:val="center"/>
          </w:tcPr>
          <w:p w14:paraId="44CF0598" w14:textId="49351D02" w:rsidR="002B084A" w:rsidRDefault="002B084A" w:rsidP="006F0C8A">
            <w:pPr>
              <w:spacing w:after="0"/>
            </w:pPr>
            <w:r>
              <w:t>75</w:t>
            </w:r>
            <w:r w:rsidRPr="00061CB2">
              <w:rPr>
                <w:vertAlign w:val="superscript"/>
              </w:rPr>
              <w:t>th</w:t>
            </w:r>
            <w:r>
              <w:t xml:space="preserve"> perc</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55167DBF" w14:textId="119A0BD2" w:rsidR="002B084A" w:rsidRDefault="00724BA3" w:rsidP="006F0C8A">
            <w:pPr>
              <w:spacing w:after="0"/>
              <w:jc w:val="right"/>
            </w:pPr>
            <w:r>
              <w:t>117.94</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5AE2E6F2" w14:textId="2E390AD3" w:rsidR="002B084A" w:rsidRPr="001C1ED6" w:rsidRDefault="003D01DA" w:rsidP="006F0C8A">
            <w:pPr>
              <w:spacing w:after="0"/>
              <w:jc w:val="right"/>
            </w:pPr>
            <w:r>
              <w:t>22.4</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4DC2B498" w14:textId="77C3FB3C" w:rsidR="002B084A" w:rsidRDefault="003D01DA" w:rsidP="006F0C8A">
            <w:pPr>
              <w:spacing w:after="0"/>
              <w:jc w:val="right"/>
            </w:pPr>
            <w:r>
              <w:t>13.16</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41970D86" w14:textId="455F59AD" w:rsidR="002B084A" w:rsidRDefault="0086695F" w:rsidP="006F0C8A">
            <w:pPr>
              <w:spacing w:after="0"/>
              <w:jc w:val="right"/>
            </w:pPr>
            <w:r>
              <w:t>3.00</w:t>
            </w:r>
          </w:p>
        </w:tc>
      </w:tr>
      <w:tr w:rsidR="002B084A" w:rsidRPr="001C1ED6" w14:paraId="51F40ACA" w14:textId="77777777" w:rsidTr="006F0C8A">
        <w:tc>
          <w:tcPr>
            <w:tcW w:w="9350" w:type="dxa"/>
            <w:gridSpan w:val="5"/>
            <w:tcMar>
              <w:top w:w="29" w:type="dxa"/>
              <w:left w:w="115" w:type="dxa"/>
              <w:bottom w:w="29" w:type="dxa"/>
              <w:right w:w="115" w:type="dxa"/>
            </w:tcMar>
            <w:vAlign w:val="center"/>
          </w:tcPr>
          <w:p w14:paraId="2E5D723B" w14:textId="292A0A6E" w:rsidR="002B084A" w:rsidRDefault="002B084A" w:rsidP="006F0C8A">
            <w:pPr>
              <w:spacing w:after="0"/>
            </w:pPr>
            <w:r>
              <w:t>Adjusted EBIT ($m)</w:t>
            </w:r>
          </w:p>
        </w:tc>
      </w:tr>
      <w:tr w:rsidR="002B084A" w:rsidRPr="001C1ED6" w14:paraId="305B701A" w14:textId="77777777" w:rsidTr="006F0C8A">
        <w:tc>
          <w:tcPr>
            <w:tcW w:w="1526" w:type="dxa"/>
            <w:tcMar>
              <w:top w:w="29" w:type="dxa"/>
              <w:left w:w="115" w:type="dxa"/>
              <w:bottom w:w="29" w:type="dxa"/>
              <w:right w:w="115" w:type="dxa"/>
            </w:tcMar>
            <w:vAlign w:val="center"/>
          </w:tcPr>
          <w:p w14:paraId="1A4EBA8E" w14:textId="59B53081" w:rsidR="002B084A" w:rsidRDefault="002B084A" w:rsidP="002B084A">
            <w:pPr>
              <w:spacing w:after="0"/>
            </w:pPr>
            <w:r>
              <w:t>25</w:t>
            </w:r>
            <w:r w:rsidRPr="00061CB2">
              <w:rPr>
                <w:vertAlign w:val="superscript"/>
              </w:rPr>
              <w:t>th</w:t>
            </w:r>
            <w:r>
              <w:t xml:space="preserve"> perc</w:t>
            </w:r>
          </w:p>
        </w:tc>
        <w:tc>
          <w:tcPr>
            <w:tcW w:w="1956" w:type="dxa"/>
            <w:shd w:val="clear" w:color="auto" w:fill="auto"/>
            <w:tcMar>
              <w:top w:w="29" w:type="dxa"/>
              <w:left w:w="115" w:type="dxa"/>
              <w:bottom w:w="29" w:type="dxa"/>
              <w:right w:w="648" w:type="dxa"/>
            </w:tcMar>
            <w:vAlign w:val="center"/>
          </w:tcPr>
          <w:p w14:paraId="5957A4E3" w14:textId="09B97AAB" w:rsidR="002B084A" w:rsidRDefault="00724BA3" w:rsidP="002B084A">
            <w:pPr>
              <w:spacing w:after="0"/>
              <w:jc w:val="right"/>
            </w:pPr>
            <w:r>
              <w:t>31.23</w:t>
            </w:r>
          </w:p>
        </w:tc>
        <w:tc>
          <w:tcPr>
            <w:tcW w:w="1956" w:type="dxa"/>
            <w:shd w:val="clear" w:color="auto" w:fill="auto"/>
            <w:tcMar>
              <w:top w:w="29" w:type="dxa"/>
              <w:left w:w="115" w:type="dxa"/>
              <w:bottom w:w="29" w:type="dxa"/>
              <w:right w:w="648" w:type="dxa"/>
            </w:tcMar>
            <w:vAlign w:val="center"/>
          </w:tcPr>
          <w:p w14:paraId="125D875D" w14:textId="263F8736" w:rsidR="002B084A" w:rsidRPr="001C1ED6" w:rsidRDefault="003D01DA" w:rsidP="002B084A">
            <w:pPr>
              <w:spacing w:after="0"/>
              <w:jc w:val="right"/>
            </w:pPr>
            <w:r>
              <w:t>11.57</w:t>
            </w:r>
          </w:p>
        </w:tc>
        <w:tc>
          <w:tcPr>
            <w:tcW w:w="1956" w:type="dxa"/>
            <w:shd w:val="clear" w:color="auto" w:fill="auto"/>
            <w:tcMar>
              <w:top w:w="29" w:type="dxa"/>
              <w:left w:w="115" w:type="dxa"/>
              <w:bottom w:w="29" w:type="dxa"/>
              <w:right w:w="648" w:type="dxa"/>
            </w:tcMar>
            <w:vAlign w:val="center"/>
          </w:tcPr>
          <w:p w14:paraId="291EA7AB" w14:textId="7E5AD95A" w:rsidR="002B084A" w:rsidRDefault="0086695F" w:rsidP="002B084A">
            <w:pPr>
              <w:spacing w:after="0"/>
              <w:jc w:val="right"/>
            </w:pPr>
            <w:r>
              <w:t>-41.76</w:t>
            </w:r>
          </w:p>
        </w:tc>
        <w:tc>
          <w:tcPr>
            <w:tcW w:w="1956" w:type="dxa"/>
            <w:shd w:val="clear" w:color="auto" w:fill="auto"/>
            <w:tcMar>
              <w:top w:w="29" w:type="dxa"/>
              <w:left w:w="115" w:type="dxa"/>
              <w:bottom w:w="29" w:type="dxa"/>
              <w:right w:w="648" w:type="dxa"/>
            </w:tcMar>
            <w:vAlign w:val="center"/>
          </w:tcPr>
          <w:p w14:paraId="18131D65" w14:textId="7CE86E21" w:rsidR="002B084A" w:rsidRDefault="00CA036E" w:rsidP="002B084A">
            <w:pPr>
              <w:spacing w:after="0"/>
              <w:jc w:val="right"/>
            </w:pPr>
            <w:r>
              <w:t>-17.49</w:t>
            </w:r>
          </w:p>
        </w:tc>
      </w:tr>
      <w:tr w:rsidR="002B084A" w:rsidRPr="001C1ED6" w14:paraId="5C47BA22" w14:textId="77777777" w:rsidTr="006F0C8A">
        <w:tc>
          <w:tcPr>
            <w:tcW w:w="1526" w:type="dxa"/>
            <w:tcMar>
              <w:top w:w="29" w:type="dxa"/>
              <w:left w:w="115" w:type="dxa"/>
              <w:bottom w:w="29" w:type="dxa"/>
              <w:right w:w="115" w:type="dxa"/>
            </w:tcMar>
            <w:vAlign w:val="center"/>
          </w:tcPr>
          <w:p w14:paraId="3EE86911" w14:textId="1712B183" w:rsidR="002B084A" w:rsidRDefault="002B084A" w:rsidP="002B084A">
            <w:pPr>
              <w:spacing w:after="0"/>
            </w:pPr>
            <w:r>
              <w:t>50</w:t>
            </w:r>
            <w:r w:rsidRPr="00061CB2">
              <w:rPr>
                <w:vertAlign w:val="superscript"/>
              </w:rPr>
              <w:t>th</w:t>
            </w:r>
            <w:r>
              <w:t xml:space="preserve"> perc</w:t>
            </w:r>
          </w:p>
        </w:tc>
        <w:tc>
          <w:tcPr>
            <w:tcW w:w="1956" w:type="dxa"/>
            <w:shd w:val="clear" w:color="auto" w:fill="auto"/>
            <w:tcMar>
              <w:top w:w="29" w:type="dxa"/>
              <w:left w:w="115" w:type="dxa"/>
              <w:bottom w:w="29" w:type="dxa"/>
              <w:right w:w="648" w:type="dxa"/>
            </w:tcMar>
            <w:vAlign w:val="center"/>
          </w:tcPr>
          <w:p w14:paraId="75137FEC" w14:textId="7C441C21" w:rsidR="002B084A" w:rsidRDefault="00724BA3" w:rsidP="002B084A">
            <w:pPr>
              <w:spacing w:after="0"/>
              <w:jc w:val="right"/>
            </w:pPr>
            <w:r>
              <w:t>88.57</w:t>
            </w:r>
          </w:p>
        </w:tc>
        <w:tc>
          <w:tcPr>
            <w:tcW w:w="1956" w:type="dxa"/>
            <w:shd w:val="clear" w:color="auto" w:fill="auto"/>
            <w:tcMar>
              <w:top w:w="29" w:type="dxa"/>
              <w:left w:w="115" w:type="dxa"/>
              <w:bottom w:w="29" w:type="dxa"/>
              <w:right w:w="648" w:type="dxa"/>
            </w:tcMar>
            <w:vAlign w:val="center"/>
          </w:tcPr>
          <w:p w14:paraId="081F7D45" w14:textId="040D5819" w:rsidR="002B084A" w:rsidRPr="001C1ED6" w:rsidRDefault="003D01DA" w:rsidP="002B084A">
            <w:pPr>
              <w:spacing w:after="0"/>
              <w:jc w:val="right"/>
            </w:pPr>
            <w:r>
              <w:t>40.72</w:t>
            </w:r>
          </w:p>
        </w:tc>
        <w:tc>
          <w:tcPr>
            <w:tcW w:w="1956" w:type="dxa"/>
            <w:shd w:val="clear" w:color="auto" w:fill="auto"/>
            <w:tcMar>
              <w:top w:w="29" w:type="dxa"/>
              <w:left w:w="115" w:type="dxa"/>
              <w:bottom w:w="29" w:type="dxa"/>
              <w:right w:w="648" w:type="dxa"/>
            </w:tcMar>
            <w:vAlign w:val="center"/>
          </w:tcPr>
          <w:p w14:paraId="3B156F59" w14:textId="4FFB5C05" w:rsidR="002B084A" w:rsidRDefault="0086695F" w:rsidP="002B084A">
            <w:pPr>
              <w:spacing w:after="0"/>
              <w:jc w:val="right"/>
            </w:pPr>
            <w:r>
              <w:t>-13.21</w:t>
            </w:r>
          </w:p>
        </w:tc>
        <w:tc>
          <w:tcPr>
            <w:tcW w:w="1956" w:type="dxa"/>
            <w:shd w:val="clear" w:color="auto" w:fill="auto"/>
            <w:tcMar>
              <w:top w:w="29" w:type="dxa"/>
              <w:left w:w="115" w:type="dxa"/>
              <w:bottom w:w="29" w:type="dxa"/>
              <w:right w:w="648" w:type="dxa"/>
            </w:tcMar>
            <w:vAlign w:val="center"/>
          </w:tcPr>
          <w:p w14:paraId="405D7469" w14:textId="0E6530D6" w:rsidR="002B084A" w:rsidRDefault="00CA036E" w:rsidP="002B084A">
            <w:pPr>
              <w:spacing w:after="0"/>
              <w:jc w:val="right"/>
            </w:pPr>
            <w:r>
              <w:t>-6.38</w:t>
            </w:r>
          </w:p>
        </w:tc>
      </w:tr>
      <w:tr w:rsidR="002B084A" w:rsidRPr="001C1ED6" w14:paraId="5C06722A" w14:textId="77777777" w:rsidTr="006F0C8A">
        <w:tc>
          <w:tcPr>
            <w:tcW w:w="1526" w:type="dxa"/>
            <w:tcMar>
              <w:top w:w="29" w:type="dxa"/>
              <w:left w:w="115" w:type="dxa"/>
              <w:bottom w:w="29" w:type="dxa"/>
              <w:right w:w="115" w:type="dxa"/>
            </w:tcMar>
            <w:vAlign w:val="center"/>
          </w:tcPr>
          <w:p w14:paraId="46BC89F6" w14:textId="4330B09A" w:rsidR="002B084A" w:rsidRDefault="002B084A" w:rsidP="002B084A">
            <w:pPr>
              <w:spacing w:after="0"/>
            </w:pPr>
            <w:r>
              <w:t>75</w:t>
            </w:r>
            <w:r w:rsidRPr="00061CB2">
              <w:rPr>
                <w:vertAlign w:val="superscript"/>
              </w:rPr>
              <w:t>th</w:t>
            </w:r>
            <w:r>
              <w:t xml:space="preserve"> perc</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4A057384" w14:textId="16878AB4" w:rsidR="002B084A" w:rsidRDefault="00724BA3" w:rsidP="002B084A">
            <w:pPr>
              <w:spacing w:after="0"/>
              <w:jc w:val="right"/>
            </w:pPr>
            <w:r>
              <w:t>375.97</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4E2D5DED" w14:textId="6E1AD5AB" w:rsidR="002B084A" w:rsidRPr="001C1ED6" w:rsidRDefault="003D01DA" w:rsidP="002B084A">
            <w:pPr>
              <w:spacing w:after="0"/>
              <w:jc w:val="right"/>
            </w:pPr>
            <w:r>
              <w:t>151.56</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3D79382C" w14:textId="342A43F8" w:rsidR="002B084A" w:rsidRDefault="003D01DA" w:rsidP="002B084A">
            <w:pPr>
              <w:spacing w:after="0"/>
              <w:jc w:val="right"/>
            </w:pPr>
            <w:r>
              <w:t>-4.50</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6E6CB91D" w14:textId="326F9BCB" w:rsidR="002B084A" w:rsidRDefault="0086695F" w:rsidP="002B084A">
            <w:pPr>
              <w:spacing w:after="0"/>
              <w:jc w:val="right"/>
            </w:pPr>
            <w:r>
              <w:t>-2.17</w:t>
            </w:r>
          </w:p>
        </w:tc>
      </w:tr>
      <w:tr w:rsidR="002B084A" w:rsidRPr="001C1ED6" w14:paraId="6DF92B7D" w14:textId="77777777" w:rsidTr="006F0C8A">
        <w:tc>
          <w:tcPr>
            <w:tcW w:w="9350" w:type="dxa"/>
            <w:gridSpan w:val="5"/>
            <w:tcMar>
              <w:top w:w="29" w:type="dxa"/>
              <w:left w:w="115" w:type="dxa"/>
              <w:bottom w:w="29" w:type="dxa"/>
              <w:right w:w="115" w:type="dxa"/>
            </w:tcMar>
            <w:vAlign w:val="center"/>
          </w:tcPr>
          <w:p w14:paraId="03FF2348" w14:textId="0F8E7721" w:rsidR="002B084A" w:rsidRDefault="002B084A" w:rsidP="006F0C8A">
            <w:pPr>
              <w:spacing w:after="0"/>
            </w:pPr>
            <w:r>
              <w:t>EV/Sales</w:t>
            </w:r>
          </w:p>
        </w:tc>
      </w:tr>
      <w:tr w:rsidR="002B084A" w:rsidRPr="001C1ED6" w14:paraId="7D8AFA8C" w14:textId="77777777" w:rsidTr="006F0C8A">
        <w:tc>
          <w:tcPr>
            <w:tcW w:w="1526" w:type="dxa"/>
            <w:tcMar>
              <w:top w:w="29" w:type="dxa"/>
              <w:left w:w="115" w:type="dxa"/>
              <w:bottom w:w="29" w:type="dxa"/>
              <w:right w:w="115" w:type="dxa"/>
            </w:tcMar>
            <w:vAlign w:val="center"/>
          </w:tcPr>
          <w:p w14:paraId="4C8F2A81" w14:textId="061A493E" w:rsidR="002B084A" w:rsidRDefault="002B084A" w:rsidP="006F0C8A">
            <w:pPr>
              <w:spacing w:after="0"/>
            </w:pPr>
            <w:r>
              <w:t>25</w:t>
            </w:r>
            <w:r w:rsidRPr="00061CB2">
              <w:rPr>
                <w:vertAlign w:val="superscript"/>
              </w:rPr>
              <w:t>th</w:t>
            </w:r>
            <w:r>
              <w:t xml:space="preserve"> perc</w:t>
            </w:r>
          </w:p>
        </w:tc>
        <w:tc>
          <w:tcPr>
            <w:tcW w:w="1956" w:type="dxa"/>
            <w:shd w:val="clear" w:color="auto" w:fill="auto"/>
            <w:tcMar>
              <w:top w:w="29" w:type="dxa"/>
              <w:left w:w="115" w:type="dxa"/>
              <w:bottom w:w="29" w:type="dxa"/>
              <w:right w:w="648" w:type="dxa"/>
            </w:tcMar>
            <w:vAlign w:val="center"/>
          </w:tcPr>
          <w:p w14:paraId="2B5E6E3B" w14:textId="66C09277" w:rsidR="002B084A" w:rsidRDefault="00724BA3" w:rsidP="006F0C8A">
            <w:pPr>
              <w:spacing w:after="0"/>
              <w:jc w:val="right"/>
            </w:pPr>
            <w:r>
              <w:t>0.81x</w:t>
            </w:r>
          </w:p>
        </w:tc>
        <w:tc>
          <w:tcPr>
            <w:tcW w:w="1956" w:type="dxa"/>
            <w:shd w:val="clear" w:color="auto" w:fill="auto"/>
            <w:tcMar>
              <w:top w:w="29" w:type="dxa"/>
              <w:left w:w="115" w:type="dxa"/>
              <w:bottom w:w="29" w:type="dxa"/>
              <w:right w:w="648" w:type="dxa"/>
            </w:tcMar>
            <w:vAlign w:val="center"/>
          </w:tcPr>
          <w:p w14:paraId="60B79F54" w14:textId="7CF7FE41" w:rsidR="002B084A" w:rsidRPr="001C1ED6" w:rsidRDefault="003D01DA" w:rsidP="006F0C8A">
            <w:pPr>
              <w:spacing w:after="0"/>
              <w:jc w:val="right"/>
            </w:pPr>
            <w:r>
              <w:t>0.68x</w:t>
            </w:r>
          </w:p>
        </w:tc>
        <w:tc>
          <w:tcPr>
            <w:tcW w:w="1956" w:type="dxa"/>
            <w:shd w:val="clear" w:color="auto" w:fill="auto"/>
            <w:tcMar>
              <w:top w:w="29" w:type="dxa"/>
              <w:left w:w="115" w:type="dxa"/>
              <w:bottom w:w="29" w:type="dxa"/>
              <w:right w:w="648" w:type="dxa"/>
            </w:tcMar>
            <w:vAlign w:val="center"/>
          </w:tcPr>
          <w:p w14:paraId="7F6847CE" w14:textId="5A038BBC" w:rsidR="002B084A" w:rsidRDefault="0086695F" w:rsidP="006F0C8A">
            <w:pPr>
              <w:spacing w:after="0"/>
              <w:jc w:val="right"/>
            </w:pPr>
            <w:r>
              <w:t>1.25x</w:t>
            </w:r>
          </w:p>
        </w:tc>
        <w:tc>
          <w:tcPr>
            <w:tcW w:w="1956" w:type="dxa"/>
            <w:shd w:val="clear" w:color="auto" w:fill="auto"/>
            <w:tcMar>
              <w:top w:w="29" w:type="dxa"/>
              <w:left w:w="115" w:type="dxa"/>
              <w:bottom w:w="29" w:type="dxa"/>
              <w:right w:w="648" w:type="dxa"/>
            </w:tcMar>
            <w:vAlign w:val="center"/>
          </w:tcPr>
          <w:p w14:paraId="5E97B86C" w14:textId="15DF9EC6" w:rsidR="002B084A" w:rsidRDefault="00CA036E" w:rsidP="006F0C8A">
            <w:pPr>
              <w:spacing w:after="0"/>
              <w:jc w:val="right"/>
            </w:pPr>
            <w:r>
              <w:t>0.47x</w:t>
            </w:r>
          </w:p>
        </w:tc>
      </w:tr>
      <w:tr w:rsidR="002B084A" w:rsidRPr="001C1ED6" w14:paraId="74632CEA" w14:textId="77777777" w:rsidTr="006F0C8A">
        <w:tc>
          <w:tcPr>
            <w:tcW w:w="1526" w:type="dxa"/>
            <w:tcMar>
              <w:top w:w="29" w:type="dxa"/>
              <w:left w:w="115" w:type="dxa"/>
              <w:bottom w:w="29" w:type="dxa"/>
              <w:right w:w="115" w:type="dxa"/>
            </w:tcMar>
            <w:vAlign w:val="center"/>
          </w:tcPr>
          <w:p w14:paraId="5CF2565A" w14:textId="397890B6" w:rsidR="002B084A" w:rsidRDefault="002B084A" w:rsidP="006F0C8A">
            <w:pPr>
              <w:spacing w:after="0"/>
            </w:pPr>
            <w:r>
              <w:t>50</w:t>
            </w:r>
            <w:r w:rsidRPr="00061CB2">
              <w:rPr>
                <w:vertAlign w:val="superscript"/>
              </w:rPr>
              <w:t>th</w:t>
            </w:r>
            <w:r>
              <w:t xml:space="preserve"> perc</w:t>
            </w:r>
          </w:p>
        </w:tc>
        <w:tc>
          <w:tcPr>
            <w:tcW w:w="1956" w:type="dxa"/>
            <w:shd w:val="clear" w:color="auto" w:fill="auto"/>
            <w:tcMar>
              <w:top w:w="29" w:type="dxa"/>
              <w:left w:w="115" w:type="dxa"/>
              <w:bottom w:w="29" w:type="dxa"/>
              <w:right w:w="648" w:type="dxa"/>
            </w:tcMar>
            <w:vAlign w:val="center"/>
          </w:tcPr>
          <w:p w14:paraId="57E7B0A2" w14:textId="085C9FCE" w:rsidR="002B084A" w:rsidRDefault="003D01DA" w:rsidP="006F0C8A">
            <w:pPr>
              <w:spacing w:after="0"/>
              <w:jc w:val="right"/>
            </w:pPr>
            <w:r>
              <w:t>1.44x</w:t>
            </w:r>
          </w:p>
        </w:tc>
        <w:tc>
          <w:tcPr>
            <w:tcW w:w="1956" w:type="dxa"/>
            <w:shd w:val="clear" w:color="auto" w:fill="auto"/>
            <w:tcMar>
              <w:top w:w="29" w:type="dxa"/>
              <w:left w:w="115" w:type="dxa"/>
              <w:bottom w:w="29" w:type="dxa"/>
              <w:right w:w="648" w:type="dxa"/>
            </w:tcMar>
            <w:vAlign w:val="center"/>
          </w:tcPr>
          <w:p w14:paraId="6E700CF1" w14:textId="50E1F4E7" w:rsidR="002B084A" w:rsidRPr="001C1ED6" w:rsidRDefault="003D01DA" w:rsidP="006F0C8A">
            <w:pPr>
              <w:spacing w:after="0"/>
              <w:jc w:val="right"/>
            </w:pPr>
            <w:r>
              <w:t>1.33x</w:t>
            </w:r>
          </w:p>
        </w:tc>
        <w:tc>
          <w:tcPr>
            <w:tcW w:w="1956" w:type="dxa"/>
            <w:shd w:val="clear" w:color="auto" w:fill="auto"/>
            <w:tcMar>
              <w:top w:w="29" w:type="dxa"/>
              <w:left w:w="115" w:type="dxa"/>
              <w:bottom w:w="29" w:type="dxa"/>
              <w:right w:w="648" w:type="dxa"/>
            </w:tcMar>
            <w:vAlign w:val="center"/>
          </w:tcPr>
          <w:p w14:paraId="5BAD6E70" w14:textId="36EE3C16" w:rsidR="002B084A" w:rsidRDefault="003D01DA" w:rsidP="006F0C8A">
            <w:pPr>
              <w:spacing w:after="0"/>
              <w:jc w:val="right"/>
            </w:pPr>
            <w:r>
              <w:t>6.80x</w:t>
            </w:r>
          </w:p>
        </w:tc>
        <w:tc>
          <w:tcPr>
            <w:tcW w:w="1956" w:type="dxa"/>
            <w:shd w:val="clear" w:color="auto" w:fill="auto"/>
            <w:tcMar>
              <w:top w:w="29" w:type="dxa"/>
              <w:left w:w="115" w:type="dxa"/>
              <w:bottom w:w="29" w:type="dxa"/>
              <w:right w:w="648" w:type="dxa"/>
            </w:tcMar>
            <w:vAlign w:val="center"/>
          </w:tcPr>
          <w:p w14:paraId="2772A651" w14:textId="646471E2" w:rsidR="002B084A" w:rsidRDefault="00CA036E" w:rsidP="006F0C8A">
            <w:pPr>
              <w:spacing w:after="0"/>
              <w:jc w:val="right"/>
            </w:pPr>
            <w:r>
              <w:t>1.53x</w:t>
            </w:r>
          </w:p>
        </w:tc>
      </w:tr>
      <w:tr w:rsidR="002B084A" w:rsidRPr="001C1ED6" w14:paraId="39C0C458" w14:textId="77777777" w:rsidTr="006F0C8A">
        <w:tc>
          <w:tcPr>
            <w:tcW w:w="1526" w:type="dxa"/>
            <w:tcBorders>
              <w:bottom w:val="single" w:sz="4" w:space="0" w:color="auto"/>
            </w:tcBorders>
            <w:tcMar>
              <w:top w:w="29" w:type="dxa"/>
              <w:left w:w="115" w:type="dxa"/>
              <w:bottom w:w="29" w:type="dxa"/>
              <w:right w:w="115" w:type="dxa"/>
            </w:tcMar>
            <w:vAlign w:val="center"/>
          </w:tcPr>
          <w:p w14:paraId="4FCD7AD9" w14:textId="61547101" w:rsidR="002B084A" w:rsidRDefault="002B084A" w:rsidP="006F0C8A">
            <w:pPr>
              <w:spacing w:after="0"/>
            </w:pPr>
            <w:r>
              <w:t>75</w:t>
            </w:r>
            <w:r w:rsidRPr="00061CB2">
              <w:rPr>
                <w:vertAlign w:val="superscript"/>
              </w:rPr>
              <w:t>th</w:t>
            </w:r>
            <w:r>
              <w:t xml:space="preserve"> perc</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18EEC6DA" w14:textId="2321DD03" w:rsidR="002B084A" w:rsidRDefault="00724BA3" w:rsidP="006F0C8A">
            <w:pPr>
              <w:spacing w:after="0"/>
              <w:jc w:val="right"/>
            </w:pPr>
            <w:r>
              <w:t>3.16x</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1B4F61E1" w14:textId="63B9E15A" w:rsidR="002B084A" w:rsidRPr="001C1ED6" w:rsidRDefault="003D01DA" w:rsidP="006F0C8A">
            <w:pPr>
              <w:spacing w:after="0"/>
              <w:jc w:val="right"/>
            </w:pPr>
            <w:r>
              <w:t>2.55x</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4F6AAF8E" w14:textId="62C02F03" w:rsidR="002B084A" w:rsidRDefault="003D01DA" w:rsidP="006F0C8A">
            <w:pPr>
              <w:spacing w:after="0"/>
              <w:jc w:val="right"/>
            </w:pPr>
            <w:r>
              <w:t>25.12x</w:t>
            </w:r>
          </w:p>
        </w:tc>
        <w:tc>
          <w:tcPr>
            <w:tcW w:w="1956" w:type="dxa"/>
            <w:tcBorders>
              <w:bottom w:val="single" w:sz="4" w:space="0" w:color="auto"/>
            </w:tcBorders>
            <w:shd w:val="clear" w:color="auto" w:fill="auto"/>
            <w:tcMar>
              <w:top w:w="29" w:type="dxa"/>
              <w:left w:w="115" w:type="dxa"/>
              <w:bottom w:w="29" w:type="dxa"/>
              <w:right w:w="648" w:type="dxa"/>
            </w:tcMar>
            <w:vAlign w:val="center"/>
          </w:tcPr>
          <w:p w14:paraId="4ADDCAFA" w14:textId="248C75F1" w:rsidR="002B084A" w:rsidRDefault="00CA036E" w:rsidP="006F0C8A">
            <w:pPr>
              <w:spacing w:after="0"/>
              <w:jc w:val="right"/>
            </w:pPr>
            <w:r>
              <w:t>4.66x</w:t>
            </w:r>
          </w:p>
        </w:tc>
      </w:tr>
    </w:tbl>
    <w:p w14:paraId="732E74F8" w14:textId="77777777" w:rsidR="002B084A" w:rsidRDefault="002B084A" w:rsidP="006F0C8A">
      <w:pPr>
        <w:pStyle w:val="NoSpacing"/>
      </w:pPr>
    </w:p>
    <w:p w14:paraId="2BA94619" w14:textId="277C2B71" w:rsidR="006C0D76" w:rsidRDefault="00B276D1" w:rsidP="006C0D76">
      <w:r>
        <w:t xml:space="preserve">It is important to note that the reason it is observations and not companies is because companies can be unprofitable and become profitable over time or vice versa, so we are more so looking at observations of companies each year, treated as individual observations. </w:t>
      </w:r>
      <w:r w:rsidR="0056213E">
        <w:t xml:space="preserve">There are only 1,880 observations of companies </w:t>
      </w:r>
      <w:r w:rsidR="009D5848">
        <w:t>because</w:t>
      </w:r>
      <w:r w:rsidR="0056213E">
        <w:t xml:space="preserve"> being able to find actual EV/Sales for the company’s history, other pieces such as EBIT or marketing expense were entirely missing so the data was not used. </w:t>
      </w:r>
    </w:p>
    <w:p w14:paraId="1D2E95CD" w14:textId="4B16C7C0" w:rsidR="00C6651D" w:rsidRDefault="00C6651D" w:rsidP="00C6651D">
      <w:pPr>
        <w:pStyle w:val="Heading1"/>
      </w:pPr>
      <w:bookmarkStart w:id="17" w:name="_Toc90181481"/>
      <w:r>
        <w:t>Resul</w:t>
      </w:r>
      <w:r w:rsidR="00166DDC">
        <w:t>t</w:t>
      </w:r>
      <w:r>
        <w:t>s</w:t>
      </w:r>
      <w:bookmarkEnd w:id="17"/>
    </w:p>
    <w:p w14:paraId="15B03EF8" w14:textId="45558D03" w:rsidR="008D44DD" w:rsidRPr="008D44DD" w:rsidRDefault="00DC4FEF" w:rsidP="008D44DD">
      <w:pPr>
        <w:pStyle w:val="Heading2"/>
      </w:pPr>
      <w:bookmarkStart w:id="18" w:name="_Toc90181482"/>
      <w:r>
        <w:t xml:space="preserve">Number of Profitable </w:t>
      </w:r>
      <w:r w:rsidR="002F2B8E">
        <w:t>Observations</w:t>
      </w:r>
      <w:r>
        <w:t xml:space="preserve"> Over Time</w:t>
      </w:r>
      <w:bookmarkEnd w:id="18"/>
    </w:p>
    <w:p w14:paraId="6332C836" w14:textId="5258A9CC" w:rsidR="006C0D76" w:rsidRDefault="00664ABC" w:rsidP="00972F1E">
      <w:r>
        <w:t>Before I began my analysis of valuation, I also wanted to address the number of profitable observations over</w:t>
      </w:r>
      <w:r w:rsidR="00682BA1">
        <w:t xml:space="preserve"> </w:t>
      </w:r>
      <w:r>
        <w:t xml:space="preserve">time. </w:t>
      </w:r>
      <w:r w:rsidR="00C73637">
        <w:t xml:space="preserve">In </w:t>
      </w:r>
      <w:r w:rsidR="00C73637">
        <w:fldChar w:fldCharType="begin"/>
      </w:r>
      <w:r w:rsidR="00C73637">
        <w:instrText xml:space="preserve"> REF _Ref90164540 \h </w:instrText>
      </w:r>
      <w:r w:rsidR="00C73637">
        <w:fldChar w:fldCharType="separate"/>
      </w:r>
      <w:r w:rsidR="00C73637">
        <w:t xml:space="preserve">Table </w:t>
      </w:r>
      <w:r w:rsidR="00C73637">
        <w:rPr>
          <w:noProof/>
        </w:rPr>
        <w:t>4</w:t>
      </w:r>
      <w:r w:rsidR="00C73637">
        <w:t>. Percentage of Observations Across Time</w:t>
      </w:r>
      <w:r w:rsidR="00C73637">
        <w:fldChar w:fldCharType="end"/>
      </w:r>
      <w:r w:rsidR="00C73637">
        <w:t xml:space="preserve"> below, it goes more in depth to see the change in each industry:</w:t>
      </w:r>
    </w:p>
    <w:p w14:paraId="4FEAF15B" w14:textId="73682AAE" w:rsidR="00C73637" w:rsidRDefault="00C73637">
      <w:pPr>
        <w:pStyle w:val="Caption"/>
      </w:pPr>
      <w:bookmarkStart w:id="19" w:name="_Ref90164540"/>
      <w:bookmarkStart w:id="20" w:name="_Toc90812717"/>
      <w:r>
        <w:lastRenderedPageBreak/>
        <w:t xml:space="preserve">Table </w:t>
      </w:r>
      <w:r w:rsidR="00305165">
        <w:fldChar w:fldCharType="begin"/>
      </w:r>
      <w:r w:rsidR="00305165">
        <w:instrText xml:space="preserve"> SEQ Table \* ARABIC </w:instrText>
      </w:r>
      <w:r w:rsidR="00305165">
        <w:fldChar w:fldCharType="separate"/>
      </w:r>
      <w:r w:rsidR="004E42D7">
        <w:rPr>
          <w:noProof/>
        </w:rPr>
        <w:t>4</w:t>
      </w:r>
      <w:r w:rsidR="00305165">
        <w:rPr>
          <w:noProof/>
        </w:rPr>
        <w:fldChar w:fldCharType="end"/>
      </w:r>
      <w:r>
        <w:t>. Percentage of Observations Across Time</w:t>
      </w:r>
      <w:bookmarkEnd w:id="19"/>
      <w:bookmarkEnd w:id="20"/>
    </w:p>
    <w:tbl>
      <w:tblPr>
        <w:tblStyle w:val="TableGrid"/>
        <w:tblW w:w="9481" w:type="dxa"/>
        <w:tblBorders>
          <w:left w:val="none" w:sz="0" w:space="0" w:color="auto"/>
          <w:right w:val="none" w:sz="0" w:space="0" w:color="auto"/>
          <w:insideH w:val="none" w:sz="0" w:space="0" w:color="auto"/>
          <w:insideV w:val="none" w:sz="0" w:space="0" w:color="auto"/>
        </w:tblBorders>
        <w:tblLayout w:type="fixed"/>
        <w:tblLook w:val="0420" w:firstRow="1" w:lastRow="0" w:firstColumn="0" w:lastColumn="0" w:noHBand="0" w:noVBand="1"/>
      </w:tblPr>
      <w:tblGrid>
        <w:gridCol w:w="2695"/>
        <w:gridCol w:w="1357"/>
        <w:gridCol w:w="1357"/>
        <w:gridCol w:w="1357"/>
        <w:gridCol w:w="1357"/>
        <w:gridCol w:w="1358"/>
      </w:tblGrid>
      <w:tr w:rsidR="00C6380D" w:rsidRPr="00C73637" w14:paraId="31017DEF" w14:textId="77777777" w:rsidTr="00C6380D">
        <w:trPr>
          <w:trHeight w:val="1817"/>
        </w:trPr>
        <w:tc>
          <w:tcPr>
            <w:tcW w:w="2695" w:type="dxa"/>
            <w:tcBorders>
              <w:bottom w:val="single" w:sz="4" w:space="0" w:color="000000"/>
            </w:tcBorders>
            <w:shd w:val="clear" w:color="auto" w:fill="D0CECE" w:themeFill="background2" w:themeFillShade="E6"/>
            <w:noWrap/>
            <w:vAlign w:val="center"/>
            <w:hideMark/>
          </w:tcPr>
          <w:p w14:paraId="627E3159" w14:textId="02FDD9EE" w:rsidR="00C6380D" w:rsidRPr="002B084A" w:rsidRDefault="00C6380D" w:rsidP="00C6380D">
            <w:pPr>
              <w:keepNext/>
              <w:spacing w:after="0"/>
              <w:rPr>
                <w:b/>
                <w:bCs/>
                <w:sz w:val="16"/>
                <w:szCs w:val="16"/>
              </w:rPr>
            </w:pPr>
            <w:r w:rsidRPr="002B084A">
              <w:rPr>
                <w:b/>
                <w:bCs/>
                <w:sz w:val="16"/>
                <w:szCs w:val="16"/>
              </w:rPr>
              <w:t> </w:t>
            </w:r>
            <w:r>
              <w:rPr>
                <w:b/>
                <w:bCs/>
                <w:sz w:val="16"/>
                <w:szCs w:val="16"/>
              </w:rPr>
              <w:t>Cohort</w:t>
            </w:r>
          </w:p>
        </w:tc>
        <w:tc>
          <w:tcPr>
            <w:tcW w:w="1357" w:type="dxa"/>
            <w:tcBorders>
              <w:top w:val="single" w:sz="4" w:space="0" w:color="auto"/>
              <w:bottom w:val="single" w:sz="4" w:space="0" w:color="000000"/>
            </w:tcBorders>
            <w:shd w:val="clear" w:color="auto" w:fill="D0CECE" w:themeFill="background2" w:themeFillShade="E6"/>
            <w:hideMark/>
          </w:tcPr>
          <w:p w14:paraId="1E37FF6C" w14:textId="22468B47" w:rsidR="00C6380D" w:rsidRPr="002B084A" w:rsidRDefault="00C6380D" w:rsidP="00C6380D">
            <w:pPr>
              <w:keepNext/>
              <w:spacing w:after="0"/>
              <w:jc w:val="center"/>
              <w:rPr>
                <w:b/>
                <w:bCs/>
                <w:sz w:val="16"/>
                <w:szCs w:val="16"/>
              </w:rPr>
            </w:pPr>
            <w:r w:rsidRPr="002B084A">
              <w:rPr>
                <w:b/>
                <w:bCs/>
                <w:sz w:val="16"/>
                <w:szCs w:val="16"/>
              </w:rPr>
              <w:t>Percentage of Profitable Observations based on Adjusted EBIT of all Pre-March 10th, 2000 Companies</w:t>
            </w:r>
          </w:p>
        </w:tc>
        <w:tc>
          <w:tcPr>
            <w:tcW w:w="1357" w:type="dxa"/>
            <w:tcBorders>
              <w:top w:val="single" w:sz="4" w:space="0" w:color="auto"/>
              <w:bottom w:val="single" w:sz="4" w:space="0" w:color="000000"/>
            </w:tcBorders>
            <w:shd w:val="clear" w:color="auto" w:fill="D0CECE" w:themeFill="background2" w:themeFillShade="E6"/>
            <w:hideMark/>
          </w:tcPr>
          <w:p w14:paraId="11C83925" w14:textId="320DCDAB" w:rsidR="00C6380D" w:rsidRPr="002B084A" w:rsidRDefault="00C6380D" w:rsidP="00C6380D">
            <w:pPr>
              <w:keepNext/>
              <w:spacing w:after="0"/>
              <w:jc w:val="center"/>
              <w:rPr>
                <w:b/>
                <w:bCs/>
                <w:sz w:val="16"/>
                <w:szCs w:val="16"/>
              </w:rPr>
            </w:pPr>
            <w:r w:rsidRPr="002B084A">
              <w:rPr>
                <w:b/>
                <w:bCs/>
                <w:sz w:val="16"/>
                <w:szCs w:val="16"/>
              </w:rPr>
              <w:t>Percentage of Profitable Observations based on Adjusted EBIT of all Post-March 10th, 2000 Companies</w:t>
            </w:r>
          </w:p>
        </w:tc>
        <w:tc>
          <w:tcPr>
            <w:tcW w:w="1357" w:type="dxa"/>
            <w:tcBorders>
              <w:top w:val="single" w:sz="4" w:space="0" w:color="auto"/>
              <w:bottom w:val="single" w:sz="4" w:space="0" w:color="000000"/>
            </w:tcBorders>
            <w:shd w:val="clear" w:color="auto" w:fill="D0CECE" w:themeFill="background2" w:themeFillShade="E6"/>
          </w:tcPr>
          <w:p w14:paraId="24D6BEF8" w14:textId="60D5EA2F" w:rsidR="00C6380D" w:rsidRPr="002B084A" w:rsidRDefault="00C6380D" w:rsidP="00C6380D">
            <w:pPr>
              <w:keepNext/>
              <w:spacing w:after="0"/>
              <w:jc w:val="center"/>
              <w:rPr>
                <w:b/>
                <w:bCs/>
                <w:sz w:val="16"/>
                <w:szCs w:val="16"/>
              </w:rPr>
            </w:pPr>
            <w:r w:rsidRPr="002B084A">
              <w:rPr>
                <w:b/>
                <w:bCs/>
                <w:sz w:val="16"/>
                <w:szCs w:val="16"/>
              </w:rPr>
              <w:t>Percentage of Unprofitable Observations based on Adjusted EBIT of all Pre-March 10th, 2000 Companies</w:t>
            </w:r>
          </w:p>
        </w:tc>
        <w:tc>
          <w:tcPr>
            <w:tcW w:w="1357" w:type="dxa"/>
            <w:tcBorders>
              <w:top w:val="single" w:sz="4" w:space="0" w:color="auto"/>
              <w:bottom w:val="single" w:sz="4" w:space="0" w:color="000000"/>
            </w:tcBorders>
            <w:shd w:val="clear" w:color="auto" w:fill="D0CECE" w:themeFill="background2" w:themeFillShade="E6"/>
            <w:hideMark/>
          </w:tcPr>
          <w:p w14:paraId="4944F38B" w14:textId="4918105C" w:rsidR="00C6380D" w:rsidRPr="002B084A" w:rsidRDefault="00C6380D" w:rsidP="00C6380D">
            <w:pPr>
              <w:keepNext/>
              <w:spacing w:after="0"/>
              <w:jc w:val="center"/>
              <w:rPr>
                <w:b/>
                <w:bCs/>
                <w:sz w:val="16"/>
                <w:szCs w:val="16"/>
              </w:rPr>
            </w:pPr>
            <w:r w:rsidRPr="002B084A">
              <w:rPr>
                <w:b/>
                <w:bCs/>
                <w:sz w:val="16"/>
                <w:szCs w:val="16"/>
              </w:rPr>
              <w:t>Percentage of Unprofitable Observations based on Adjusted EBIT of all Post-March 10th, 2000 Companies</w:t>
            </w:r>
          </w:p>
        </w:tc>
        <w:tc>
          <w:tcPr>
            <w:tcW w:w="1358" w:type="dxa"/>
            <w:tcBorders>
              <w:top w:val="single" w:sz="4" w:space="0" w:color="auto"/>
              <w:bottom w:val="single" w:sz="4" w:space="0" w:color="000000"/>
            </w:tcBorders>
            <w:shd w:val="clear" w:color="auto" w:fill="D0CECE" w:themeFill="background2" w:themeFillShade="E6"/>
            <w:hideMark/>
          </w:tcPr>
          <w:p w14:paraId="753FF0B0" w14:textId="0E8AF2B8" w:rsidR="00C6380D" w:rsidRPr="002B084A" w:rsidRDefault="00C6380D" w:rsidP="00C6380D">
            <w:pPr>
              <w:keepNext/>
              <w:spacing w:after="0"/>
              <w:jc w:val="center"/>
              <w:rPr>
                <w:b/>
                <w:bCs/>
                <w:sz w:val="16"/>
                <w:szCs w:val="16"/>
              </w:rPr>
            </w:pPr>
            <w:r w:rsidRPr="002B084A">
              <w:rPr>
                <w:b/>
                <w:bCs/>
                <w:sz w:val="16"/>
                <w:szCs w:val="16"/>
              </w:rPr>
              <w:t>Change in Profitable Observations Pre-to-Post</w:t>
            </w:r>
          </w:p>
        </w:tc>
      </w:tr>
      <w:tr w:rsidR="00C6380D" w:rsidRPr="00C73637" w14:paraId="70ADD7EA" w14:textId="77777777" w:rsidTr="00C6380D">
        <w:trPr>
          <w:trHeight w:val="300"/>
        </w:trPr>
        <w:tc>
          <w:tcPr>
            <w:tcW w:w="2695" w:type="dxa"/>
            <w:tcBorders>
              <w:top w:val="single" w:sz="4" w:space="0" w:color="000000"/>
              <w:bottom w:val="nil"/>
            </w:tcBorders>
            <w:shd w:val="clear" w:color="auto" w:fill="FFFFFF" w:themeFill="background1"/>
            <w:noWrap/>
            <w:vAlign w:val="center"/>
            <w:hideMark/>
          </w:tcPr>
          <w:p w14:paraId="2149062E" w14:textId="77777777" w:rsidR="00C6380D" w:rsidRPr="006F0C8A" w:rsidRDefault="00C6380D" w:rsidP="00C6380D">
            <w:pPr>
              <w:keepNext/>
              <w:spacing w:after="0"/>
              <w:rPr>
                <w:sz w:val="20"/>
                <w:szCs w:val="20"/>
              </w:rPr>
            </w:pPr>
            <w:r w:rsidRPr="006F0C8A">
              <w:rPr>
                <w:sz w:val="20"/>
                <w:szCs w:val="20"/>
              </w:rPr>
              <w:t>Business Services</w:t>
            </w:r>
          </w:p>
        </w:tc>
        <w:tc>
          <w:tcPr>
            <w:tcW w:w="1357" w:type="dxa"/>
            <w:tcBorders>
              <w:top w:val="single" w:sz="4" w:space="0" w:color="000000"/>
            </w:tcBorders>
            <w:noWrap/>
            <w:vAlign w:val="center"/>
            <w:hideMark/>
          </w:tcPr>
          <w:p w14:paraId="097EC9B6" w14:textId="47A40917" w:rsidR="00C6380D" w:rsidRPr="006F0C8A" w:rsidRDefault="00C6380D" w:rsidP="00C6380D">
            <w:pPr>
              <w:keepNext/>
              <w:spacing w:after="0"/>
              <w:jc w:val="right"/>
              <w:rPr>
                <w:sz w:val="20"/>
                <w:szCs w:val="20"/>
              </w:rPr>
            </w:pPr>
            <w:r w:rsidRPr="006F0C8A">
              <w:rPr>
                <w:sz w:val="20"/>
                <w:szCs w:val="20"/>
              </w:rPr>
              <w:t>6</w:t>
            </w:r>
            <w:r>
              <w:rPr>
                <w:sz w:val="20"/>
                <w:szCs w:val="20"/>
              </w:rPr>
              <w:t>5</w:t>
            </w:r>
            <w:r w:rsidRPr="006F0C8A">
              <w:rPr>
                <w:sz w:val="20"/>
                <w:szCs w:val="20"/>
              </w:rPr>
              <w:t>%</w:t>
            </w:r>
          </w:p>
        </w:tc>
        <w:tc>
          <w:tcPr>
            <w:tcW w:w="1357" w:type="dxa"/>
            <w:tcBorders>
              <w:top w:val="single" w:sz="4" w:space="0" w:color="000000"/>
            </w:tcBorders>
            <w:noWrap/>
            <w:vAlign w:val="center"/>
            <w:hideMark/>
          </w:tcPr>
          <w:p w14:paraId="6F6D096C" w14:textId="6D6FF48E" w:rsidR="00C6380D" w:rsidRPr="006F0C8A" w:rsidRDefault="00C6380D" w:rsidP="00C6380D">
            <w:pPr>
              <w:keepNext/>
              <w:spacing w:after="0"/>
              <w:jc w:val="right"/>
              <w:rPr>
                <w:sz w:val="20"/>
                <w:szCs w:val="20"/>
              </w:rPr>
            </w:pPr>
            <w:r w:rsidRPr="006F0C8A">
              <w:rPr>
                <w:sz w:val="20"/>
                <w:szCs w:val="20"/>
              </w:rPr>
              <w:t>76%</w:t>
            </w:r>
          </w:p>
        </w:tc>
        <w:tc>
          <w:tcPr>
            <w:tcW w:w="1357" w:type="dxa"/>
            <w:tcBorders>
              <w:top w:val="single" w:sz="4" w:space="0" w:color="000000"/>
            </w:tcBorders>
            <w:vAlign w:val="center"/>
          </w:tcPr>
          <w:p w14:paraId="20C8F1D8" w14:textId="0985FB99" w:rsidR="00C6380D" w:rsidRPr="006F0C8A" w:rsidRDefault="00C6380D" w:rsidP="00C6380D">
            <w:pPr>
              <w:keepNext/>
              <w:spacing w:after="0"/>
              <w:jc w:val="right"/>
              <w:rPr>
                <w:sz w:val="20"/>
                <w:szCs w:val="20"/>
              </w:rPr>
            </w:pPr>
            <w:r w:rsidRPr="006F0C8A">
              <w:rPr>
                <w:sz w:val="20"/>
                <w:szCs w:val="20"/>
              </w:rPr>
              <w:t>35%</w:t>
            </w:r>
          </w:p>
        </w:tc>
        <w:tc>
          <w:tcPr>
            <w:tcW w:w="1357" w:type="dxa"/>
            <w:tcBorders>
              <w:top w:val="single" w:sz="4" w:space="0" w:color="000000"/>
              <w:right w:val="single" w:sz="4" w:space="0" w:color="000000"/>
            </w:tcBorders>
            <w:noWrap/>
            <w:vAlign w:val="center"/>
            <w:hideMark/>
          </w:tcPr>
          <w:p w14:paraId="450F5411" w14:textId="0000DF23" w:rsidR="00C6380D" w:rsidRPr="006F0C8A" w:rsidRDefault="00C6380D" w:rsidP="00C6380D">
            <w:pPr>
              <w:keepNext/>
              <w:spacing w:after="0"/>
              <w:jc w:val="right"/>
              <w:rPr>
                <w:sz w:val="20"/>
                <w:szCs w:val="20"/>
              </w:rPr>
            </w:pPr>
            <w:r w:rsidRPr="006F0C8A">
              <w:rPr>
                <w:sz w:val="20"/>
                <w:szCs w:val="20"/>
              </w:rPr>
              <w:t>2</w:t>
            </w:r>
            <w:r>
              <w:rPr>
                <w:sz w:val="20"/>
                <w:szCs w:val="20"/>
              </w:rPr>
              <w:t>4</w:t>
            </w:r>
            <w:r w:rsidRPr="006F0C8A">
              <w:rPr>
                <w:sz w:val="20"/>
                <w:szCs w:val="20"/>
              </w:rPr>
              <w:t>%</w:t>
            </w:r>
          </w:p>
        </w:tc>
        <w:tc>
          <w:tcPr>
            <w:tcW w:w="1358" w:type="dxa"/>
            <w:tcBorders>
              <w:top w:val="single" w:sz="4" w:space="0" w:color="000000"/>
              <w:left w:val="single" w:sz="4" w:space="0" w:color="000000"/>
            </w:tcBorders>
            <w:noWrap/>
            <w:vAlign w:val="center"/>
            <w:hideMark/>
          </w:tcPr>
          <w:p w14:paraId="7818F64D" w14:textId="2DDFEE5F" w:rsidR="00C6380D" w:rsidRPr="006F0C8A" w:rsidRDefault="00C6380D" w:rsidP="00C6380D">
            <w:pPr>
              <w:keepNext/>
              <w:spacing w:after="0"/>
              <w:jc w:val="right"/>
              <w:rPr>
                <w:sz w:val="20"/>
                <w:szCs w:val="20"/>
              </w:rPr>
            </w:pPr>
            <w:r w:rsidRPr="006F0C8A">
              <w:rPr>
                <w:sz w:val="20"/>
                <w:szCs w:val="20"/>
              </w:rPr>
              <w:t>1</w:t>
            </w:r>
            <w:r>
              <w:rPr>
                <w:sz w:val="20"/>
                <w:szCs w:val="20"/>
              </w:rPr>
              <w:t>2</w:t>
            </w:r>
            <w:r w:rsidRPr="006F0C8A">
              <w:rPr>
                <w:sz w:val="20"/>
                <w:szCs w:val="20"/>
              </w:rPr>
              <w:t>%</w:t>
            </w:r>
          </w:p>
        </w:tc>
      </w:tr>
      <w:tr w:rsidR="00C6380D" w:rsidRPr="00C73637" w14:paraId="1AE6B4E4" w14:textId="77777777" w:rsidTr="00C6380D">
        <w:trPr>
          <w:trHeight w:val="300"/>
        </w:trPr>
        <w:tc>
          <w:tcPr>
            <w:tcW w:w="2695" w:type="dxa"/>
            <w:tcBorders>
              <w:top w:val="nil"/>
            </w:tcBorders>
            <w:shd w:val="clear" w:color="auto" w:fill="FFFFFF" w:themeFill="background1"/>
            <w:noWrap/>
            <w:vAlign w:val="center"/>
            <w:hideMark/>
          </w:tcPr>
          <w:p w14:paraId="5841143B" w14:textId="77777777" w:rsidR="00C6380D" w:rsidRPr="006F0C8A" w:rsidRDefault="00C6380D" w:rsidP="00C6380D">
            <w:pPr>
              <w:keepNext/>
              <w:spacing w:after="0"/>
              <w:rPr>
                <w:sz w:val="20"/>
                <w:szCs w:val="20"/>
              </w:rPr>
            </w:pPr>
            <w:r w:rsidRPr="006F0C8A">
              <w:rPr>
                <w:sz w:val="20"/>
                <w:szCs w:val="20"/>
              </w:rPr>
              <w:t>Consumer Cyclicals</w:t>
            </w:r>
          </w:p>
        </w:tc>
        <w:tc>
          <w:tcPr>
            <w:tcW w:w="1357" w:type="dxa"/>
            <w:noWrap/>
            <w:vAlign w:val="center"/>
            <w:hideMark/>
          </w:tcPr>
          <w:p w14:paraId="53B20EBF" w14:textId="6592D884" w:rsidR="00C6380D" w:rsidRPr="006F0C8A" w:rsidRDefault="00C6380D" w:rsidP="00C6380D">
            <w:pPr>
              <w:keepNext/>
              <w:spacing w:after="0"/>
              <w:jc w:val="right"/>
              <w:rPr>
                <w:sz w:val="20"/>
                <w:szCs w:val="20"/>
              </w:rPr>
            </w:pPr>
            <w:r w:rsidRPr="006F0C8A">
              <w:rPr>
                <w:sz w:val="20"/>
                <w:szCs w:val="20"/>
              </w:rPr>
              <w:t>96.%</w:t>
            </w:r>
          </w:p>
        </w:tc>
        <w:tc>
          <w:tcPr>
            <w:tcW w:w="1357" w:type="dxa"/>
            <w:noWrap/>
            <w:vAlign w:val="center"/>
            <w:hideMark/>
          </w:tcPr>
          <w:p w14:paraId="416171A9" w14:textId="6D9E41EE" w:rsidR="00C6380D" w:rsidRPr="006F0C8A" w:rsidRDefault="00C6380D" w:rsidP="00C6380D">
            <w:pPr>
              <w:keepNext/>
              <w:spacing w:after="0"/>
              <w:jc w:val="right"/>
              <w:rPr>
                <w:sz w:val="20"/>
                <w:szCs w:val="20"/>
              </w:rPr>
            </w:pPr>
            <w:r w:rsidRPr="006F0C8A">
              <w:rPr>
                <w:sz w:val="20"/>
                <w:szCs w:val="20"/>
              </w:rPr>
              <w:t>9</w:t>
            </w:r>
            <w:r>
              <w:rPr>
                <w:sz w:val="20"/>
                <w:szCs w:val="20"/>
              </w:rPr>
              <w:t>1</w:t>
            </w:r>
            <w:r w:rsidRPr="006F0C8A">
              <w:rPr>
                <w:sz w:val="20"/>
                <w:szCs w:val="20"/>
              </w:rPr>
              <w:t>%</w:t>
            </w:r>
          </w:p>
        </w:tc>
        <w:tc>
          <w:tcPr>
            <w:tcW w:w="1357" w:type="dxa"/>
            <w:vAlign w:val="center"/>
          </w:tcPr>
          <w:p w14:paraId="1521150D" w14:textId="7411CCFC" w:rsidR="00C6380D" w:rsidRPr="006F0C8A" w:rsidRDefault="00C6380D" w:rsidP="00C6380D">
            <w:pPr>
              <w:keepNext/>
              <w:spacing w:after="0"/>
              <w:jc w:val="right"/>
              <w:rPr>
                <w:sz w:val="20"/>
                <w:szCs w:val="20"/>
              </w:rPr>
            </w:pPr>
            <w:r>
              <w:rPr>
                <w:sz w:val="20"/>
                <w:szCs w:val="20"/>
              </w:rPr>
              <w:t>4</w:t>
            </w:r>
            <w:r w:rsidRPr="006F0C8A">
              <w:rPr>
                <w:sz w:val="20"/>
                <w:szCs w:val="20"/>
              </w:rPr>
              <w:t>%</w:t>
            </w:r>
          </w:p>
        </w:tc>
        <w:tc>
          <w:tcPr>
            <w:tcW w:w="1357" w:type="dxa"/>
            <w:tcBorders>
              <w:right w:val="single" w:sz="4" w:space="0" w:color="000000"/>
            </w:tcBorders>
            <w:noWrap/>
            <w:vAlign w:val="center"/>
            <w:hideMark/>
          </w:tcPr>
          <w:p w14:paraId="52523AFB" w14:textId="1F7E39FF" w:rsidR="00C6380D" w:rsidRPr="006F0C8A" w:rsidRDefault="00C6380D" w:rsidP="00C6380D">
            <w:pPr>
              <w:keepNext/>
              <w:spacing w:after="0"/>
              <w:jc w:val="right"/>
              <w:rPr>
                <w:sz w:val="20"/>
                <w:szCs w:val="20"/>
              </w:rPr>
            </w:pPr>
            <w:r w:rsidRPr="006F0C8A">
              <w:rPr>
                <w:sz w:val="20"/>
                <w:szCs w:val="20"/>
              </w:rPr>
              <w:t>9%</w:t>
            </w:r>
          </w:p>
        </w:tc>
        <w:tc>
          <w:tcPr>
            <w:tcW w:w="1358" w:type="dxa"/>
            <w:tcBorders>
              <w:left w:val="single" w:sz="4" w:space="0" w:color="000000"/>
            </w:tcBorders>
            <w:noWrap/>
            <w:vAlign w:val="center"/>
            <w:hideMark/>
          </w:tcPr>
          <w:p w14:paraId="37ADA02D" w14:textId="02C881DD" w:rsidR="00C6380D" w:rsidRPr="006F0C8A" w:rsidRDefault="00C6380D" w:rsidP="00C6380D">
            <w:pPr>
              <w:keepNext/>
              <w:spacing w:after="0"/>
              <w:jc w:val="right"/>
              <w:rPr>
                <w:sz w:val="20"/>
                <w:szCs w:val="20"/>
              </w:rPr>
            </w:pPr>
            <w:r w:rsidRPr="006F0C8A">
              <w:rPr>
                <w:sz w:val="20"/>
                <w:szCs w:val="20"/>
              </w:rPr>
              <w:t>-</w:t>
            </w:r>
            <w:r>
              <w:rPr>
                <w:sz w:val="20"/>
                <w:szCs w:val="20"/>
              </w:rPr>
              <w:t>6</w:t>
            </w:r>
            <w:r w:rsidRPr="006F0C8A">
              <w:rPr>
                <w:sz w:val="20"/>
                <w:szCs w:val="20"/>
              </w:rPr>
              <w:t>%</w:t>
            </w:r>
          </w:p>
        </w:tc>
      </w:tr>
      <w:tr w:rsidR="00C6380D" w:rsidRPr="00C73637" w14:paraId="230260BB" w14:textId="77777777" w:rsidTr="00C6380D">
        <w:trPr>
          <w:trHeight w:val="300"/>
        </w:trPr>
        <w:tc>
          <w:tcPr>
            <w:tcW w:w="2695" w:type="dxa"/>
            <w:shd w:val="clear" w:color="auto" w:fill="FFFFFF" w:themeFill="background1"/>
            <w:noWrap/>
            <w:vAlign w:val="center"/>
            <w:hideMark/>
          </w:tcPr>
          <w:p w14:paraId="1FB660CD" w14:textId="77777777" w:rsidR="00C6380D" w:rsidRPr="006F0C8A" w:rsidRDefault="00C6380D" w:rsidP="00C6380D">
            <w:pPr>
              <w:keepNext/>
              <w:spacing w:after="0"/>
              <w:rPr>
                <w:sz w:val="20"/>
                <w:szCs w:val="20"/>
              </w:rPr>
            </w:pPr>
            <w:r w:rsidRPr="006F0C8A">
              <w:rPr>
                <w:sz w:val="20"/>
                <w:szCs w:val="20"/>
              </w:rPr>
              <w:t>Consumer Non-Cyclicals</w:t>
            </w:r>
          </w:p>
        </w:tc>
        <w:tc>
          <w:tcPr>
            <w:tcW w:w="1357" w:type="dxa"/>
            <w:noWrap/>
            <w:vAlign w:val="center"/>
            <w:hideMark/>
          </w:tcPr>
          <w:p w14:paraId="32AC6760" w14:textId="210842E7" w:rsidR="00C6380D" w:rsidRPr="006F0C8A" w:rsidRDefault="00C6380D" w:rsidP="00C6380D">
            <w:pPr>
              <w:keepNext/>
              <w:spacing w:after="0"/>
              <w:jc w:val="right"/>
              <w:rPr>
                <w:sz w:val="20"/>
                <w:szCs w:val="20"/>
              </w:rPr>
            </w:pPr>
            <w:r w:rsidRPr="006F0C8A">
              <w:rPr>
                <w:sz w:val="20"/>
                <w:szCs w:val="20"/>
              </w:rPr>
              <w:t>98.%</w:t>
            </w:r>
          </w:p>
        </w:tc>
        <w:tc>
          <w:tcPr>
            <w:tcW w:w="1357" w:type="dxa"/>
            <w:noWrap/>
            <w:vAlign w:val="center"/>
            <w:hideMark/>
          </w:tcPr>
          <w:p w14:paraId="6526F9A6" w14:textId="080E7DEE" w:rsidR="00C6380D" w:rsidRPr="006F0C8A" w:rsidRDefault="00C6380D" w:rsidP="00C6380D">
            <w:pPr>
              <w:keepNext/>
              <w:spacing w:after="0"/>
              <w:jc w:val="right"/>
              <w:rPr>
                <w:sz w:val="20"/>
                <w:szCs w:val="20"/>
              </w:rPr>
            </w:pPr>
            <w:r w:rsidRPr="006F0C8A">
              <w:rPr>
                <w:sz w:val="20"/>
                <w:szCs w:val="20"/>
              </w:rPr>
              <w:t>93%</w:t>
            </w:r>
          </w:p>
        </w:tc>
        <w:tc>
          <w:tcPr>
            <w:tcW w:w="1357" w:type="dxa"/>
            <w:vAlign w:val="center"/>
          </w:tcPr>
          <w:p w14:paraId="4A62C2C0" w14:textId="69F1C66C" w:rsidR="00C6380D" w:rsidRDefault="00C6380D" w:rsidP="00C6380D">
            <w:pPr>
              <w:keepNext/>
              <w:spacing w:after="0"/>
              <w:jc w:val="right"/>
              <w:rPr>
                <w:sz w:val="20"/>
                <w:szCs w:val="20"/>
              </w:rPr>
            </w:pPr>
            <w:r>
              <w:rPr>
                <w:sz w:val="20"/>
                <w:szCs w:val="20"/>
              </w:rPr>
              <w:t>2</w:t>
            </w:r>
            <w:r w:rsidRPr="006F0C8A">
              <w:rPr>
                <w:sz w:val="20"/>
                <w:szCs w:val="20"/>
              </w:rPr>
              <w:t>%</w:t>
            </w:r>
          </w:p>
        </w:tc>
        <w:tc>
          <w:tcPr>
            <w:tcW w:w="1357" w:type="dxa"/>
            <w:tcBorders>
              <w:right w:val="single" w:sz="4" w:space="0" w:color="000000"/>
            </w:tcBorders>
            <w:noWrap/>
            <w:vAlign w:val="center"/>
            <w:hideMark/>
          </w:tcPr>
          <w:p w14:paraId="23443990" w14:textId="7DDA9D6D" w:rsidR="00C6380D" w:rsidRPr="006F0C8A" w:rsidRDefault="00C6380D" w:rsidP="00C6380D">
            <w:pPr>
              <w:keepNext/>
              <w:spacing w:after="0"/>
              <w:jc w:val="right"/>
              <w:rPr>
                <w:sz w:val="20"/>
                <w:szCs w:val="20"/>
              </w:rPr>
            </w:pPr>
            <w:r>
              <w:rPr>
                <w:sz w:val="20"/>
                <w:szCs w:val="20"/>
              </w:rPr>
              <w:t>7</w:t>
            </w:r>
            <w:r w:rsidRPr="006F0C8A">
              <w:rPr>
                <w:sz w:val="20"/>
                <w:szCs w:val="20"/>
              </w:rPr>
              <w:t>%</w:t>
            </w:r>
          </w:p>
        </w:tc>
        <w:tc>
          <w:tcPr>
            <w:tcW w:w="1358" w:type="dxa"/>
            <w:tcBorders>
              <w:left w:val="single" w:sz="4" w:space="0" w:color="000000"/>
            </w:tcBorders>
            <w:noWrap/>
            <w:vAlign w:val="center"/>
            <w:hideMark/>
          </w:tcPr>
          <w:p w14:paraId="0B60FE24" w14:textId="612ABC79" w:rsidR="00C6380D" w:rsidRPr="006F0C8A" w:rsidRDefault="00C6380D" w:rsidP="00C6380D">
            <w:pPr>
              <w:keepNext/>
              <w:spacing w:after="0"/>
              <w:jc w:val="right"/>
              <w:rPr>
                <w:sz w:val="20"/>
                <w:szCs w:val="20"/>
              </w:rPr>
            </w:pPr>
            <w:r w:rsidRPr="006F0C8A">
              <w:rPr>
                <w:sz w:val="20"/>
                <w:szCs w:val="20"/>
              </w:rPr>
              <w:t>-5%</w:t>
            </w:r>
          </w:p>
        </w:tc>
      </w:tr>
      <w:tr w:rsidR="00C6380D" w:rsidRPr="00C73637" w14:paraId="7A1657D2" w14:textId="77777777" w:rsidTr="00C6380D">
        <w:trPr>
          <w:trHeight w:val="300"/>
        </w:trPr>
        <w:tc>
          <w:tcPr>
            <w:tcW w:w="2695" w:type="dxa"/>
            <w:shd w:val="clear" w:color="auto" w:fill="FFFFFF" w:themeFill="background1"/>
            <w:noWrap/>
            <w:vAlign w:val="center"/>
            <w:hideMark/>
          </w:tcPr>
          <w:p w14:paraId="2D459B82" w14:textId="77777777" w:rsidR="00C6380D" w:rsidRPr="006F0C8A" w:rsidRDefault="00C6380D" w:rsidP="00C6380D">
            <w:pPr>
              <w:keepNext/>
              <w:spacing w:after="0"/>
              <w:rPr>
                <w:sz w:val="20"/>
                <w:szCs w:val="20"/>
              </w:rPr>
            </w:pPr>
            <w:r w:rsidRPr="006F0C8A">
              <w:rPr>
                <w:sz w:val="20"/>
                <w:szCs w:val="20"/>
              </w:rPr>
              <w:t>Consumer Services</w:t>
            </w:r>
          </w:p>
        </w:tc>
        <w:tc>
          <w:tcPr>
            <w:tcW w:w="1357" w:type="dxa"/>
            <w:noWrap/>
            <w:vAlign w:val="center"/>
            <w:hideMark/>
          </w:tcPr>
          <w:p w14:paraId="626B9F32" w14:textId="7F5C8F9A" w:rsidR="00C6380D" w:rsidRPr="006F0C8A" w:rsidRDefault="00C6380D" w:rsidP="00C6380D">
            <w:pPr>
              <w:keepNext/>
              <w:spacing w:after="0"/>
              <w:jc w:val="right"/>
              <w:rPr>
                <w:sz w:val="20"/>
                <w:szCs w:val="20"/>
              </w:rPr>
            </w:pPr>
            <w:r w:rsidRPr="006F0C8A">
              <w:rPr>
                <w:sz w:val="20"/>
                <w:szCs w:val="20"/>
              </w:rPr>
              <w:t>9</w:t>
            </w:r>
            <w:r>
              <w:rPr>
                <w:sz w:val="20"/>
                <w:szCs w:val="20"/>
              </w:rPr>
              <w:t>2</w:t>
            </w:r>
            <w:r w:rsidRPr="006F0C8A">
              <w:rPr>
                <w:sz w:val="20"/>
                <w:szCs w:val="20"/>
              </w:rPr>
              <w:t>%</w:t>
            </w:r>
          </w:p>
        </w:tc>
        <w:tc>
          <w:tcPr>
            <w:tcW w:w="1357" w:type="dxa"/>
            <w:noWrap/>
            <w:vAlign w:val="center"/>
            <w:hideMark/>
          </w:tcPr>
          <w:p w14:paraId="52470854" w14:textId="4EBB38A3" w:rsidR="00C6380D" w:rsidRPr="006F0C8A" w:rsidRDefault="00C6380D" w:rsidP="00C6380D">
            <w:pPr>
              <w:keepNext/>
              <w:spacing w:after="0"/>
              <w:jc w:val="right"/>
              <w:rPr>
                <w:sz w:val="20"/>
                <w:szCs w:val="20"/>
              </w:rPr>
            </w:pPr>
            <w:r w:rsidRPr="006F0C8A">
              <w:rPr>
                <w:sz w:val="20"/>
                <w:szCs w:val="20"/>
              </w:rPr>
              <w:t>89%</w:t>
            </w:r>
          </w:p>
        </w:tc>
        <w:tc>
          <w:tcPr>
            <w:tcW w:w="1357" w:type="dxa"/>
            <w:vAlign w:val="center"/>
          </w:tcPr>
          <w:p w14:paraId="3738B52A" w14:textId="7B560635" w:rsidR="00C6380D" w:rsidRPr="006F0C8A" w:rsidRDefault="00C6380D" w:rsidP="00C6380D">
            <w:pPr>
              <w:keepNext/>
              <w:spacing w:after="0"/>
              <w:jc w:val="right"/>
              <w:rPr>
                <w:sz w:val="20"/>
                <w:szCs w:val="20"/>
              </w:rPr>
            </w:pPr>
            <w:r w:rsidRPr="006F0C8A">
              <w:rPr>
                <w:sz w:val="20"/>
                <w:szCs w:val="20"/>
              </w:rPr>
              <w:t>8%</w:t>
            </w:r>
          </w:p>
        </w:tc>
        <w:tc>
          <w:tcPr>
            <w:tcW w:w="1357" w:type="dxa"/>
            <w:tcBorders>
              <w:right w:val="single" w:sz="4" w:space="0" w:color="000000"/>
            </w:tcBorders>
            <w:noWrap/>
            <w:vAlign w:val="center"/>
            <w:hideMark/>
          </w:tcPr>
          <w:p w14:paraId="0A175AC2" w14:textId="285337FB" w:rsidR="00C6380D" w:rsidRPr="006F0C8A" w:rsidRDefault="00C6380D" w:rsidP="00C6380D">
            <w:pPr>
              <w:keepNext/>
              <w:spacing w:after="0"/>
              <w:jc w:val="right"/>
              <w:rPr>
                <w:sz w:val="20"/>
                <w:szCs w:val="20"/>
              </w:rPr>
            </w:pPr>
            <w:r w:rsidRPr="006F0C8A">
              <w:rPr>
                <w:sz w:val="20"/>
                <w:szCs w:val="20"/>
              </w:rPr>
              <w:t>1</w:t>
            </w:r>
            <w:r>
              <w:rPr>
                <w:sz w:val="20"/>
                <w:szCs w:val="20"/>
              </w:rPr>
              <w:t>1</w:t>
            </w:r>
            <w:r w:rsidRPr="006F0C8A">
              <w:rPr>
                <w:sz w:val="20"/>
                <w:szCs w:val="20"/>
              </w:rPr>
              <w:t>%</w:t>
            </w:r>
          </w:p>
        </w:tc>
        <w:tc>
          <w:tcPr>
            <w:tcW w:w="1358" w:type="dxa"/>
            <w:tcBorders>
              <w:left w:val="single" w:sz="4" w:space="0" w:color="000000"/>
            </w:tcBorders>
            <w:noWrap/>
            <w:vAlign w:val="center"/>
            <w:hideMark/>
          </w:tcPr>
          <w:p w14:paraId="3D016898" w14:textId="3F8D48D9" w:rsidR="00C6380D" w:rsidRPr="006F0C8A" w:rsidRDefault="00C6380D" w:rsidP="00C6380D">
            <w:pPr>
              <w:keepNext/>
              <w:spacing w:after="0"/>
              <w:jc w:val="right"/>
              <w:rPr>
                <w:sz w:val="20"/>
                <w:szCs w:val="20"/>
              </w:rPr>
            </w:pPr>
            <w:r w:rsidRPr="006F0C8A">
              <w:rPr>
                <w:sz w:val="20"/>
                <w:szCs w:val="20"/>
              </w:rPr>
              <w:t>-</w:t>
            </w:r>
            <w:r>
              <w:rPr>
                <w:sz w:val="20"/>
                <w:szCs w:val="20"/>
              </w:rPr>
              <w:t>3</w:t>
            </w:r>
            <w:r w:rsidRPr="006F0C8A">
              <w:rPr>
                <w:sz w:val="20"/>
                <w:szCs w:val="20"/>
              </w:rPr>
              <w:t>%</w:t>
            </w:r>
          </w:p>
        </w:tc>
      </w:tr>
      <w:tr w:rsidR="00C6380D" w:rsidRPr="00C73637" w14:paraId="469D1053" w14:textId="77777777" w:rsidTr="00C6380D">
        <w:trPr>
          <w:trHeight w:val="300"/>
        </w:trPr>
        <w:tc>
          <w:tcPr>
            <w:tcW w:w="2695" w:type="dxa"/>
            <w:shd w:val="clear" w:color="auto" w:fill="FFFFFF" w:themeFill="background1"/>
            <w:noWrap/>
            <w:vAlign w:val="center"/>
            <w:hideMark/>
          </w:tcPr>
          <w:p w14:paraId="463413DE" w14:textId="77777777" w:rsidR="00C6380D" w:rsidRPr="006F0C8A" w:rsidRDefault="00C6380D" w:rsidP="00C6380D">
            <w:pPr>
              <w:keepNext/>
              <w:spacing w:after="0"/>
              <w:rPr>
                <w:sz w:val="20"/>
                <w:szCs w:val="20"/>
              </w:rPr>
            </w:pPr>
            <w:r w:rsidRPr="006F0C8A">
              <w:rPr>
                <w:sz w:val="20"/>
                <w:szCs w:val="20"/>
              </w:rPr>
              <w:t>Energy</w:t>
            </w:r>
          </w:p>
        </w:tc>
        <w:tc>
          <w:tcPr>
            <w:tcW w:w="1357" w:type="dxa"/>
            <w:noWrap/>
            <w:vAlign w:val="center"/>
            <w:hideMark/>
          </w:tcPr>
          <w:p w14:paraId="56EAF9CC" w14:textId="67614DD8" w:rsidR="00C6380D" w:rsidRPr="006F0C8A" w:rsidRDefault="00C6380D" w:rsidP="00C6380D">
            <w:pPr>
              <w:keepNext/>
              <w:spacing w:after="0"/>
              <w:jc w:val="right"/>
              <w:rPr>
                <w:sz w:val="20"/>
                <w:szCs w:val="20"/>
              </w:rPr>
            </w:pPr>
            <w:r w:rsidRPr="006F0C8A">
              <w:rPr>
                <w:sz w:val="20"/>
                <w:szCs w:val="20"/>
              </w:rPr>
              <w:t>100%</w:t>
            </w:r>
          </w:p>
        </w:tc>
        <w:tc>
          <w:tcPr>
            <w:tcW w:w="1357" w:type="dxa"/>
            <w:noWrap/>
            <w:vAlign w:val="center"/>
            <w:hideMark/>
          </w:tcPr>
          <w:p w14:paraId="6DC39E13" w14:textId="6E2DCFC3" w:rsidR="00C6380D" w:rsidRPr="006F0C8A" w:rsidRDefault="00C6380D" w:rsidP="00C6380D">
            <w:pPr>
              <w:keepNext/>
              <w:spacing w:after="0"/>
              <w:jc w:val="right"/>
              <w:rPr>
                <w:sz w:val="20"/>
                <w:szCs w:val="20"/>
              </w:rPr>
            </w:pPr>
            <w:r w:rsidRPr="006F0C8A">
              <w:rPr>
                <w:sz w:val="20"/>
                <w:szCs w:val="20"/>
              </w:rPr>
              <w:t>9</w:t>
            </w:r>
            <w:r>
              <w:rPr>
                <w:sz w:val="20"/>
                <w:szCs w:val="20"/>
              </w:rPr>
              <w:t>3</w:t>
            </w:r>
            <w:r w:rsidRPr="006F0C8A">
              <w:rPr>
                <w:sz w:val="20"/>
                <w:szCs w:val="20"/>
              </w:rPr>
              <w:t>%</w:t>
            </w:r>
          </w:p>
        </w:tc>
        <w:tc>
          <w:tcPr>
            <w:tcW w:w="1357" w:type="dxa"/>
            <w:vAlign w:val="center"/>
          </w:tcPr>
          <w:p w14:paraId="0B233059" w14:textId="2E390B74" w:rsidR="00C6380D" w:rsidRPr="006F0C8A" w:rsidRDefault="00C6380D" w:rsidP="00C6380D">
            <w:pPr>
              <w:keepNext/>
              <w:spacing w:after="0"/>
              <w:jc w:val="right"/>
              <w:rPr>
                <w:sz w:val="20"/>
                <w:szCs w:val="20"/>
              </w:rPr>
            </w:pPr>
            <w:r w:rsidRPr="006F0C8A">
              <w:rPr>
                <w:sz w:val="20"/>
                <w:szCs w:val="20"/>
              </w:rPr>
              <w:t>0%</w:t>
            </w:r>
          </w:p>
        </w:tc>
        <w:tc>
          <w:tcPr>
            <w:tcW w:w="1357" w:type="dxa"/>
            <w:tcBorders>
              <w:right w:val="single" w:sz="4" w:space="0" w:color="000000"/>
            </w:tcBorders>
            <w:noWrap/>
            <w:vAlign w:val="center"/>
            <w:hideMark/>
          </w:tcPr>
          <w:p w14:paraId="04941F6A" w14:textId="19C7DB55" w:rsidR="00C6380D" w:rsidRPr="006F0C8A" w:rsidRDefault="00C6380D" w:rsidP="00C6380D">
            <w:pPr>
              <w:keepNext/>
              <w:spacing w:after="0"/>
              <w:jc w:val="right"/>
              <w:rPr>
                <w:sz w:val="20"/>
                <w:szCs w:val="20"/>
              </w:rPr>
            </w:pPr>
            <w:r w:rsidRPr="006F0C8A">
              <w:rPr>
                <w:sz w:val="20"/>
                <w:szCs w:val="20"/>
              </w:rPr>
              <w:t>7%</w:t>
            </w:r>
          </w:p>
        </w:tc>
        <w:tc>
          <w:tcPr>
            <w:tcW w:w="1358" w:type="dxa"/>
            <w:tcBorders>
              <w:left w:val="single" w:sz="4" w:space="0" w:color="000000"/>
            </w:tcBorders>
            <w:noWrap/>
            <w:vAlign w:val="center"/>
            <w:hideMark/>
          </w:tcPr>
          <w:p w14:paraId="4185D72F" w14:textId="2A3083FA" w:rsidR="00C6380D" w:rsidRPr="006F0C8A" w:rsidRDefault="00C6380D" w:rsidP="00C6380D">
            <w:pPr>
              <w:keepNext/>
              <w:spacing w:after="0"/>
              <w:jc w:val="right"/>
              <w:rPr>
                <w:sz w:val="20"/>
                <w:szCs w:val="20"/>
              </w:rPr>
            </w:pPr>
            <w:r w:rsidRPr="006F0C8A">
              <w:rPr>
                <w:sz w:val="20"/>
                <w:szCs w:val="20"/>
              </w:rPr>
              <w:t>-7%</w:t>
            </w:r>
          </w:p>
        </w:tc>
      </w:tr>
      <w:tr w:rsidR="00C6380D" w:rsidRPr="00C73637" w14:paraId="3D362FA2" w14:textId="77777777" w:rsidTr="00C6380D">
        <w:trPr>
          <w:trHeight w:val="300"/>
        </w:trPr>
        <w:tc>
          <w:tcPr>
            <w:tcW w:w="2695" w:type="dxa"/>
            <w:shd w:val="clear" w:color="auto" w:fill="FFFFFF" w:themeFill="background1"/>
            <w:noWrap/>
            <w:vAlign w:val="center"/>
            <w:hideMark/>
          </w:tcPr>
          <w:p w14:paraId="1288095C" w14:textId="77777777" w:rsidR="00C6380D" w:rsidRPr="006F0C8A" w:rsidRDefault="00C6380D" w:rsidP="00C6380D">
            <w:pPr>
              <w:keepNext/>
              <w:spacing w:after="0"/>
              <w:rPr>
                <w:sz w:val="20"/>
                <w:szCs w:val="20"/>
              </w:rPr>
            </w:pPr>
            <w:r w:rsidRPr="006F0C8A">
              <w:rPr>
                <w:sz w:val="20"/>
                <w:szCs w:val="20"/>
              </w:rPr>
              <w:t>Finance</w:t>
            </w:r>
          </w:p>
        </w:tc>
        <w:tc>
          <w:tcPr>
            <w:tcW w:w="1357" w:type="dxa"/>
            <w:noWrap/>
            <w:vAlign w:val="center"/>
            <w:hideMark/>
          </w:tcPr>
          <w:p w14:paraId="07DBD3A9" w14:textId="3C2F830F" w:rsidR="00C6380D" w:rsidRPr="006F0C8A" w:rsidRDefault="00C6380D" w:rsidP="00C6380D">
            <w:pPr>
              <w:keepNext/>
              <w:spacing w:after="0"/>
              <w:jc w:val="right"/>
              <w:rPr>
                <w:sz w:val="20"/>
                <w:szCs w:val="20"/>
              </w:rPr>
            </w:pPr>
            <w:r w:rsidRPr="006F0C8A">
              <w:rPr>
                <w:sz w:val="20"/>
                <w:szCs w:val="20"/>
              </w:rPr>
              <w:t>6</w:t>
            </w:r>
            <w:r>
              <w:rPr>
                <w:sz w:val="20"/>
                <w:szCs w:val="20"/>
              </w:rPr>
              <w:t>2</w:t>
            </w:r>
            <w:r w:rsidRPr="006F0C8A">
              <w:rPr>
                <w:sz w:val="20"/>
                <w:szCs w:val="20"/>
              </w:rPr>
              <w:t>%</w:t>
            </w:r>
          </w:p>
        </w:tc>
        <w:tc>
          <w:tcPr>
            <w:tcW w:w="1357" w:type="dxa"/>
            <w:noWrap/>
            <w:vAlign w:val="center"/>
            <w:hideMark/>
          </w:tcPr>
          <w:p w14:paraId="7F50A08B" w14:textId="672F4798" w:rsidR="00C6380D" w:rsidRPr="006F0C8A" w:rsidRDefault="00C6380D" w:rsidP="00C6380D">
            <w:pPr>
              <w:keepNext/>
              <w:spacing w:after="0"/>
              <w:jc w:val="right"/>
              <w:rPr>
                <w:sz w:val="20"/>
                <w:szCs w:val="20"/>
              </w:rPr>
            </w:pPr>
            <w:r w:rsidRPr="006F0C8A">
              <w:rPr>
                <w:sz w:val="20"/>
                <w:szCs w:val="20"/>
              </w:rPr>
              <w:t>75%</w:t>
            </w:r>
          </w:p>
        </w:tc>
        <w:tc>
          <w:tcPr>
            <w:tcW w:w="1357" w:type="dxa"/>
            <w:vAlign w:val="center"/>
          </w:tcPr>
          <w:p w14:paraId="57B7A683" w14:textId="5D791FB4" w:rsidR="00C6380D" w:rsidRPr="006F0C8A" w:rsidRDefault="00C6380D" w:rsidP="00C6380D">
            <w:pPr>
              <w:keepNext/>
              <w:spacing w:after="0"/>
              <w:jc w:val="right"/>
              <w:rPr>
                <w:sz w:val="20"/>
                <w:szCs w:val="20"/>
              </w:rPr>
            </w:pPr>
            <w:r w:rsidRPr="006F0C8A">
              <w:rPr>
                <w:sz w:val="20"/>
                <w:szCs w:val="20"/>
              </w:rPr>
              <w:t>38%</w:t>
            </w:r>
          </w:p>
        </w:tc>
        <w:tc>
          <w:tcPr>
            <w:tcW w:w="1357" w:type="dxa"/>
            <w:tcBorders>
              <w:right w:val="single" w:sz="4" w:space="0" w:color="000000"/>
            </w:tcBorders>
            <w:noWrap/>
            <w:vAlign w:val="center"/>
            <w:hideMark/>
          </w:tcPr>
          <w:p w14:paraId="532BF526" w14:textId="6A6F6DC5" w:rsidR="00C6380D" w:rsidRPr="006F0C8A" w:rsidRDefault="00C6380D" w:rsidP="00C6380D">
            <w:pPr>
              <w:keepNext/>
              <w:spacing w:after="0"/>
              <w:jc w:val="right"/>
              <w:rPr>
                <w:sz w:val="20"/>
                <w:szCs w:val="20"/>
              </w:rPr>
            </w:pPr>
            <w:r w:rsidRPr="006F0C8A">
              <w:rPr>
                <w:sz w:val="20"/>
                <w:szCs w:val="20"/>
              </w:rPr>
              <w:t>2</w:t>
            </w:r>
            <w:r>
              <w:rPr>
                <w:sz w:val="20"/>
                <w:szCs w:val="20"/>
              </w:rPr>
              <w:t>5</w:t>
            </w:r>
            <w:r w:rsidRPr="006F0C8A">
              <w:rPr>
                <w:sz w:val="20"/>
                <w:szCs w:val="20"/>
              </w:rPr>
              <w:t>%</w:t>
            </w:r>
          </w:p>
        </w:tc>
        <w:tc>
          <w:tcPr>
            <w:tcW w:w="1358" w:type="dxa"/>
            <w:tcBorders>
              <w:left w:val="single" w:sz="4" w:space="0" w:color="000000"/>
            </w:tcBorders>
            <w:noWrap/>
            <w:vAlign w:val="center"/>
            <w:hideMark/>
          </w:tcPr>
          <w:p w14:paraId="586887FF" w14:textId="2243CAD0" w:rsidR="00C6380D" w:rsidRPr="006F0C8A" w:rsidRDefault="00C6380D" w:rsidP="00C6380D">
            <w:pPr>
              <w:keepNext/>
              <w:spacing w:after="0"/>
              <w:jc w:val="right"/>
              <w:rPr>
                <w:sz w:val="20"/>
                <w:szCs w:val="20"/>
              </w:rPr>
            </w:pPr>
            <w:r w:rsidRPr="006F0C8A">
              <w:rPr>
                <w:sz w:val="20"/>
                <w:szCs w:val="20"/>
              </w:rPr>
              <w:t>1</w:t>
            </w:r>
            <w:r>
              <w:rPr>
                <w:sz w:val="20"/>
                <w:szCs w:val="20"/>
              </w:rPr>
              <w:t>4</w:t>
            </w:r>
            <w:r w:rsidRPr="006F0C8A">
              <w:rPr>
                <w:sz w:val="20"/>
                <w:szCs w:val="20"/>
              </w:rPr>
              <w:t>%</w:t>
            </w:r>
          </w:p>
        </w:tc>
      </w:tr>
      <w:tr w:rsidR="00C6380D" w:rsidRPr="00C73637" w14:paraId="3856A8AD" w14:textId="77777777" w:rsidTr="00C6380D">
        <w:trPr>
          <w:trHeight w:val="300"/>
        </w:trPr>
        <w:tc>
          <w:tcPr>
            <w:tcW w:w="2695" w:type="dxa"/>
            <w:shd w:val="clear" w:color="auto" w:fill="FFFFFF" w:themeFill="background1"/>
            <w:noWrap/>
            <w:vAlign w:val="center"/>
            <w:hideMark/>
          </w:tcPr>
          <w:p w14:paraId="62CE2634" w14:textId="77777777" w:rsidR="00C6380D" w:rsidRPr="006F0C8A" w:rsidRDefault="00C6380D" w:rsidP="00C6380D">
            <w:pPr>
              <w:keepNext/>
              <w:spacing w:after="0"/>
              <w:rPr>
                <w:sz w:val="20"/>
                <w:szCs w:val="20"/>
              </w:rPr>
            </w:pPr>
            <w:r w:rsidRPr="006F0C8A">
              <w:rPr>
                <w:sz w:val="20"/>
                <w:szCs w:val="20"/>
              </w:rPr>
              <w:t>Healthcare</w:t>
            </w:r>
          </w:p>
        </w:tc>
        <w:tc>
          <w:tcPr>
            <w:tcW w:w="1357" w:type="dxa"/>
            <w:noWrap/>
            <w:vAlign w:val="center"/>
            <w:hideMark/>
          </w:tcPr>
          <w:p w14:paraId="199C7641" w14:textId="4AE9B3BE" w:rsidR="00C6380D" w:rsidRPr="006F0C8A" w:rsidRDefault="00C6380D" w:rsidP="00C6380D">
            <w:pPr>
              <w:keepNext/>
              <w:spacing w:after="0"/>
              <w:jc w:val="right"/>
              <w:rPr>
                <w:sz w:val="20"/>
                <w:szCs w:val="20"/>
              </w:rPr>
            </w:pPr>
            <w:r w:rsidRPr="006F0C8A">
              <w:rPr>
                <w:sz w:val="20"/>
                <w:szCs w:val="20"/>
              </w:rPr>
              <w:t>78%</w:t>
            </w:r>
          </w:p>
        </w:tc>
        <w:tc>
          <w:tcPr>
            <w:tcW w:w="1357" w:type="dxa"/>
            <w:noWrap/>
            <w:vAlign w:val="center"/>
            <w:hideMark/>
          </w:tcPr>
          <w:p w14:paraId="71D1218E" w14:textId="29B13F64" w:rsidR="00C6380D" w:rsidRPr="006F0C8A" w:rsidRDefault="00C6380D" w:rsidP="00C6380D">
            <w:pPr>
              <w:keepNext/>
              <w:spacing w:after="0"/>
              <w:jc w:val="right"/>
              <w:rPr>
                <w:sz w:val="20"/>
                <w:szCs w:val="20"/>
              </w:rPr>
            </w:pPr>
            <w:r w:rsidRPr="006F0C8A">
              <w:rPr>
                <w:sz w:val="20"/>
                <w:szCs w:val="20"/>
              </w:rPr>
              <w:t>7</w:t>
            </w:r>
            <w:r>
              <w:rPr>
                <w:sz w:val="20"/>
                <w:szCs w:val="20"/>
              </w:rPr>
              <w:t>7</w:t>
            </w:r>
            <w:r w:rsidRPr="006F0C8A">
              <w:rPr>
                <w:sz w:val="20"/>
                <w:szCs w:val="20"/>
              </w:rPr>
              <w:t>%</w:t>
            </w:r>
          </w:p>
        </w:tc>
        <w:tc>
          <w:tcPr>
            <w:tcW w:w="1357" w:type="dxa"/>
            <w:vAlign w:val="center"/>
          </w:tcPr>
          <w:p w14:paraId="1797CAE0" w14:textId="0AC22FEF" w:rsidR="00C6380D" w:rsidRPr="006F0C8A" w:rsidRDefault="00C6380D" w:rsidP="00C6380D">
            <w:pPr>
              <w:keepNext/>
              <w:spacing w:after="0"/>
              <w:jc w:val="right"/>
              <w:rPr>
                <w:sz w:val="20"/>
                <w:szCs w:val="20"/>
              </w:rPr>
            </w:pPr>
            <w:r w:rsidRPr="006F0C8A">
              <w:rPr>
                <w:sz w:val="20"/>
                <w:szCs w:val="20"/>
              </w:rPr>
              <w:t>2</w:t>
            </w:r>
            <w:r>
              <w:rPr>
                <w:sz w:val="20"/>
                <w:szCs w:val="20"/>
              </w:rPr>
              <w:t>2</w:t>
            </w:r>
            <w:r w:rsidRPr="006F0C8A">
              <w:rPr>
                <w:sz w:val="20"/>
                <w:szCs w:val="20"/>
              </w:rPr>
              <w:t>%</w:t>
            </w:r>
          </w:p>
        </w:tc>
        <w:tc>
          <w:tcPr>
            <w:tcW w:w="1357" w:type="dxa"/>
            <w:tcBorders>
              <w:right w:val="single" w:sz="4" w:space="0" w:color="000000"/>
            </w:tcBorders>
            <w:noWrap/>
            <w:vAlign w:val="center"/>
            <w:hideMark/>
          </w:tcPr>
          <w:p w14:paraId="7F014AC7" w14:textId="6FAF6FFD" w:rsidR="00C6380D" w:rsidRPr="006F0C8A" w:rsidRDefault="00C6380D" w:rsidP="00C6380D">
            <w:pPr>
              <w:keepNext/>
              <w:spacing w:after="0"/>
              <w:jc w:val="right"/>
              <w:rPr>
                <w:sz w:val="20"/>
                <w:szCs w:val="20"/>
              </w:rPr>
            </w:pPr>
            <w:r w:rsidRPr="006F0C8A">
              <w:rPr>
                <w:sz w:val="20"/>
                <w:szCs w:val="20"/>
              </w:rPr>
              <w:t>23%</w:t>
            </w:r>
          </w:p>
        </w:tc>
        <w:tc>
          <w:tcPr>
            <w:tcW w:w="1358" w:type="dxa"/>
            <w:tcBorders>
              <w:left w:val="single" w:sz="4" w:space="0" w:color="000000"/>
            </w:tcBorders>
            <w:noWrap/>
            <w:vAlign w:val="center"/>
            <w:hideMark/>
          </w:tcPr>
          <w:p w14:paraId="6F9EC0C8" w14:textId="1DC861DC" w:rsidR="00C6380D" w:rsidRPr="006F0C8A" w:rsidRDefault="00C6380D" w:rsidP="00C6380D">
            <w:pPr>
              <w:keepNext/>
              <w:spacing w:after="0"/>
              <w:jc w:val="right"/>
              <w:rPr>
                <w:sz w:val="20"/>
                <w:szCs w:val="20"/>
              </w:rPr>
            </w:pPr>
            <w:r w:rsidRPr="006F0C8A">
              <w:rPr>
                <w:sz w:val="20"/>
                <w:szCs w:val="20"/>
              </w:rPr>
              <w:t>-1%</w:t>
            </w:r>
          </w:p>
        </w:tc>
      </w:tr>
      <w:tr w:rsidR="00C6380D" w:rsidRPr="00C73637" w14:paraId="1935C2F5" w14:textId="77777777" w:rsidTr="00C6380D">
        <w:trPr>
          <w:trHeight w:val="300"/>
        </w:trPr>
        <w:tc>
          <w:tcPr>
            <w:tcW w:w="2695" w:type="dxa"/>
            <w:shd w:val="clear" w:color="auto" w:fill="FFFFFF" w:themeFill="background1"/>
            <w:noWrap/>
            <w:vAlign w:val="center"/>
            <w:hideMark/>
          </w:tcPr>
          <w:p w14:paraId="6F91BD9A" w14:textId="77777777" w:rsidR="00C6380D" w:rsidRPr="006F0C8A" w:rsidRDefault="00C6380D" w:rsidP="00C6380D">
            <w:pPr>
              <w:keepNext/>
              <w:spacing w:after="0"/>
              <w:rPr>
                <w:sz w:val="20"/>
                <w:szCs w:val="20"/>
              </w:rPr>
            </w:pPr>
            <w:r w:rsidRPr="006F0C8A">
              <w:rPr>
                <w:sz w:val="20"/>
                <w:szCs w:val="20"/>
              </w:rPr>
              <w:t>Industrials</w:t>
            </w:r>
          </w:p>
        </w:tc>
        <w:tc>
          <w:tcPr>
            <w:tcW w:w="1357" w:type="dxa"/>
            <w:noWrap/>
            <w:vAlign w:val="center"/>
            <w:hideMark/>
          </w:tcPr>
          <w:p w14:paraId="4523A518" w14:textId="0A7CAD2C" w:rsidR="00C6380D" w:rsidRPr="006F0C8A" w:rsidRDefault="00C6380D" w:rsidP="00C6380D">
            <w:pPr>
              <w:keepNext/>
              <w:spacing w:after="0"/>
              <w:jc w:val="right"/>
              <w:rPr>
                <w:sz w:val="20"/>
                <w:szCs w:val="20"/>
              </w:rPr>
            </w:pPr>
            <w:r w:rsidRPr="006F0C8A">
              <w:rPr>
                <w:sz w:val="20"/>
                <w:szCs w:val="20"/>
              </w:rPr>
              <w:t>95%</w:t>
            </w:r>
          </w:p>
        </w:tc>
        <w:tc>
          <w:tcPr>
            <w:tcW w:w="1357" w:type="dxa"/>
            <w:noWrap/>
            <w:vAlign w:val="center"/>
            <w:hideMark/>
          </w:tcPr>
          <w:p w14:paraId="189E168D" w14:textId="11D9D3F1" w:rsidR="00C6380D" w:rsidRPr="006F0C8A" w:rsidRDefault="00C6380D" w:rsidP="00C6380D">
            <w:pPr>
              <w:keepNext/>
              <w:spacing w:after="0"/>
              <w:jc w:val="right"/>
              <w:rPr>
                <w:sz w:val="20"/>
                <w:szCs w:val="20"/>
              </w:rPr>
            </w:pPr>
            <w:r w:rsidRPr="006F0C8A">
              <w:rPr>
                <w:sz w:val="20"/>
                <w:szCs w:val="20"/>
              </w:rPr>
              <w:t>87%</w:t>
            </w:r>
          </w:p>
        </w:tc>
        <w:tc>
          <w:tcPr>
            <w:tcW w:w="1357" w:type="dxa"/>
            <w:vAlign w:val="center"/>
          </w:tcPr>
          <w:p w14:paraId="2882E6EB" w14:textId="56B59ABF" w:rsidR="00C6380D" w:rsidRPr="006F0C8A" w:rsidRDefault="00C6380D" w:rsidP="00C6380D">
            <w:pPr>
              <w:keepNext/>
              <w:spacing w:after="0"/>
              <w:jc w:val="right"/>
              <w:rPr>
                <w:sz w:val="20"/>
                <w:szCs w:val="20"/>
              </w:rPr>
            </w:pPr>
            <w:r>
              <w:rPr>
                <w:sz w:val="20"/>
                <w:szCs w:val="20"/>
              </w:rPr>
              <w:t>5</w:t>
            </w:r>
            <w:r w:rsidRPr="006F0C8A">
              <w:rPr>
                <w:sz w:val="20"/>
                <w:szCs w:val="20"/>
              </w:rPr>
              <w:t>%</w:t>
            </w:r>
          </w:p>
        </w:tc>
        <w:tc>
          <w:tcPr>
            <w:tcW w:w="1357" w:type="dxa"/>
            <w:tcBorders>
              <w:right w:val="single" w:sz="4" w:space="0" w:color="000000"/>
            </w:tcBorders>
            <w:noWrap/>
            <w:vAlign w:val="center"/>
            <w:hideMark/>
          </w:tcPr>
          <w:p w14:paraId="03D3E00A" w14:textId="0F7C500D" w:rsidR="00C6380D" w:rsidRPr="006F0C8A" w:rsidRDefault="00C6380D" w:rsidP="00C6380D">
            <w:pPr>
              <w:keepNext/>
              <w:spacing w:after="0"/>
              <w:jc w:val="right"/>
              <w:rPr>
                <w:sz w:val="20"/>
                <w:szCs w:val="20"/>
              </w:rPr>
            </w:pPr>
            <w:r w:rsidRPr="006F0C8A">
              <w:rPr>
                <w:sz w:val="20"/>
                <w:szCs w:val="20"/>
              </w:rPr>
              <w:t>1</w:t>
            </w:r>
            <w:r>
              <w:rPr>
                <w:sz w:val="20"/>
                <w:szCs w:val="20"/>
              </w:rPr>
              <w:t>3</w:t>
            </w:r>
            <w:r w:rsidRPr="006F0C8A">
              <w:rPr>
                <w:sz w:val="20"/>
                <w:szCs w:val="20"/>
              </w:rPr>
              <w:t>%</w:t>
            </w:r>
          </w:p>
        </w:tc>
        <w:tc>
          <w:tcPr>
            <w:tcW w:w="1358" w:type="dxa"/>
            <w:tcBorders>
              <w:left w:val="single" w:sz="4" w:space="0" w:color="000000"/>
            </w:tcBorders>
            <w:noWrap/>
            <w:vAlign w:val="center"/>
            <w:hideMark/>
          </w:tcPr>
          <w:p w14:paraId="724697AD" w14:textId="2B5EF5A9" w:rsidR="00C6380D" w:rsidRPr="006F0C8A" w:rsidRDefault="00C6380D" w:rsidP="00C6380D">
            <w:pPr>
              <w:keepNext/>
              <w:spacing w:after="0"/>
              <w:jc w:val="right"/>
              <w:rPr>
                <w:sz w:val="20"/>
                <w:szCs w:val="20"/>
              </w:rPr>
            </w:pPr>
            <w:r w:rsidRPr="006F0C8A">
              <w:rPr>
                <w:sz w:val="20"/>
                <w:szCs w:val="20"/>
              </w:rPr>
              <w:t>-</w:t>
            </w:r>
            <w:r>
              <w:rPr>
                <w:sz w:val="20"/>
                <w:szCs w:val="20"/>
              </w:rPr>
              <w:t>8</w:t>
            </w:r>
            <w:r w:rsidRPr="006F0C8A">
              <w:rPr>
                <w:sz w:val="20"/>
                <w:szCs w:val="20"/>
              </w:rPr>
              <w:t>%</w:t>
            </w:r>
          </w:p>
        </w:tc>
      </w:tr>
      <w:tr w:rsidR="00C6380D" w:rsidRPr="00C73637" w14:paraId="2A806ADB" w14:textId="77777777" w:rsidTr="00C6380D">
        <w:trPr>
          <w:trHeight w:val="300"/>
        </w:trPr>
        <w:tc>
          <w:tcPr>
            <w:tcW w:w="2695" w:type="dxa"/>
            <w:shd w:val="clear" w:color="auto" w:fill="FFFFFF" w:themeFill="background1"/>
            <w:noWrap/>
            <w:vAlign w:val="center"/>
            <w:hideMark/>
          </w:tcPr>
          <w:p w14:paraId="3E84F544" w14:textId="77777777" w:rsidR="00C6380D" w:rsidRPr="006F0C8A" w:rsidRDefault="00C6380D" w:rsidP="00C6380D">
            <w:pPr>
              <w:keepNext/>
              <w:spacing w:after="0"/>
              <w:rPr>
                <w:sz w:val="20"/>
                <w:szCs w:val="20"/>
              </w:rPr>
            </w:pPr>
            <w:r w:rsidRPr="006F0C8A">
              <w:rPr>
                <w:sz w:val="20"/>
                <w:szCs w:val="20"/>
              </w:rPr>
              <w:t>Non-Corporate</w:t>
            </w:r>
          </w:p>
        </w:tc>
        <w:tc>
          <w:tcPr>
            <w:tcW w:w="1357" w:type="dxa"/>
            <w:noWrap/>
            <w:vAlign w:val="center"/>
          </w:tcPr>
          <w:p w14:paraId="0DC1F764" w14:textId="75032BD5" w:rsidR="00C6380D" w:rsidRPr="006F0C8A" w:rsidRDefault="00C6380D" w:rsidP="00C6380D">
            <w:pPr>
              <w:keepNext/>
              <w:spacing w:after="0"/>
              <w:jc w:val="right"/>
              <w:rPr>
                <w:sz w:val="20"/>
                <w:szCs w:val="20"/>
              </w:rPr>
            </w:pPr>
          </w:p>
        </w:tc>
        <w:tc>
          <w:tcPr>
            <w:tcW w:w="1357" w:type="dxa"/>
            <w:noWrap/>
            <w:vAlign w:val="center"/>
            <w:hideMark/>
          </w:tcPr>
          <w:p w14:paraId="596CF76C" w14:textId="6913EAF6" w:rsidR="00C6380D" w:rsidRPr="006F0C8A" w:rsidRDefault="00C6380D" w:rsidP="00C6380D">
            <w:pPr>
              <w:keepNext/>
              <w:spacing w:after="0"/>
              <w:jc w:val="right"/>
              <w:rPr>
                <w:sz w:val="20"/>
                <w:szCs w:val="20"/>
              </w:rPr>
            </w:pPr>
            <w:r w:rsidRPr="006F0C8A">
              <w:rPr>
                <w:sz w:val="20"/>
                <w:szCs w:val="20"/>
              </w:rPr>
              <w:t>100%</w:t>
            </w:r>
          </w:p>
        </w:tc>
        <w:tc>
          <w:tcPr>
            <w:tcW w:w="1357" w:type="dxa"/>
            <w:vAlign w:val="center"/>
          </w:tcPr>
          <w:p w14:paraId="259DE63B" w14:textId="77777777" w:rsidR="00C6380D" w:rsidRPr="006F0C8A" w:rsidRDefault="00C6380D" w:rsidP="00C6380D">
            <w:pPr>
              <w:keepNext/>
              <w:spacing w:after="0"/>
              <w:jc w:val="right"/>
              <w:rPr>
                <w:sz w:val="20"/>
                <w:szCs w:val="20"/>
              </w:rPr>
            </w:pPr>
          </w:p>
        </w:tc>
        <w:tc>
          <w:tcPr>
            <w:tcW w:w="1357" w:type="dxa"/>
            <w:tcBorders>
              <w:right w:val="single" w:sz="4" w:space="0" w:color="000000"/>
            </w:tcBorders>
            <w:noWrap/>
            <w:vAlign w:val="center"/>
            <w:hideMark/>
          </w:tcPr>
          <w:p w14:paraId="445CC6C5" w14:textId="3B6237F3" w:rsidR="00C6380D" w:rsidRPr="006F0C8A" w:rsidRDefault="00C6380D" w:rsidP="00C6380D">
            <w:pPr>
              <w:keepNext/>
              <w:spacing w:after="0"/>
              <w:jc w:val="right"/>
              <w:rPr>
                <w:sz w:val="20"/>
                <w:szCs w:val="20"/>
              </w:rPr>
            </w:pPr>
            <w:r w:rsidRPr="006F0C8A">
              <w:rPr>
                <w:sz w:val="20"/>
                <w:szCs w:val="20"/>
              </w:rPr>
              <w:t>0%</w:t>
            </w:r>
          </w:p>
        </w:tc>
        <w:tc>
          <w:tcPr>
            <w:tcW w:w="1358" w:type="dxa"/>
            <w:tcBorders>
              <w:left w:val="single" w:sz="4" w:space="0" w:color="000000"/>
            </w:tcBorders>
            <w:noWrap/>
            <w:vAlign w:val="center"/>
            <w:hideMark/>
          </w:tcPr>
          <w:p w14:paraId="364259EB" w14:textId="706CE9A1" w:rsidR="00C6380D" w:rsidRPr="006F0C8A" w:rsidRDefault="00C6380D" w:rsidP="00C6380D">
            <w:pPr>
              <w:keepNext/>
              <w:spacing w:after="0"/>
              <w:jc w:val="right"/>
              <w:rPr>
                <w:sz w:val="20"/>
                <w:szCs w:val="20"/>
              </w:rPr>
            </w:pPr>
          </w:p>
        </w:tc>
      </w:tr>
      <w:tr w:rsidR="00C6380D" w:rsidRPr="00C73637" w14:paraId="64CF1B11" w14:textId="77777777" w:rsidTr="00C6380D">
        <w:trPr>
          <w:trHeight w:val="300"/>
        </w:trPr>
        <w:tc>
          <w:tcPr>
            <w:tcW w:w="2695" w:type="dxa"/>
            <w:shd w:val="clear" w:color="auto" w:fill="FFFFFF" w:themeFill="background1"/>
            <w:noWrap/>
            <w:vAlign w:val="center"/>
            <w:hideMark/>
          </w:tcPr>
          <w:p w14:paraId="1B902F46" w14:textId="77777777" w:rsidR="00C6380D" w:rsidRPr="006F0C8A" w:rsidRDefault="00C6380D" w:rsidP="00C6380D">
            <w:pPr>
              <w:keepNext/>
              <w:spacing w:after="0"/>
              <w:rPr>
                <w:sz w:val="20"/>
                <w:szCs w:val="20"/>
              </w:rPr>
            </w:pPr>
            <w:r w:rsidRPr="006F0C8A">
              <w:rPr>
                <w:sz w:val="20"/>
                <w:szCs w:val="20"/>
              </w:rPr>
              <w:t>Non-Energy Materials</w:t>
            </w:r>
          </w:p>
        </w:tc>
        <w:tc>
          <w:tcPr>
            <w:tcW w:w="1357" w:type="dxa"/>
            <w:noWrap/>
            <w:vAlign w:val="center"/>
            <w:hideMark/>
          </w:tcPr>
          <w:p w14:paraId="0572507F" w14:textId="05C1E955" w:rsidR="00C6380D" w:rsidRPr="006F0C8A" w:rsidRDefault="00C6380D" w:rsidP="00C6380D">
            <w:pPr>
              <w:keepNext/>
              <w:spacing w:after="0"/>
              <w:jc w:val="right"/>
              <w:rPr>
                <w:sz w:val="20"/>
                <w:szCs w:val="20"/>
              </w:rPr>
            </w:pPr>
            <w:r w:rsidRPr="006F0C8A">
              <w:rPr>
                <w:sz w:val="20"/>
                <w:szCs w:val="20"/>
              </w:rPr>
              <w:t>9</w:t>
            </w:r>
            <w:r>
              <w:rPr>
                <w:sz w:val="20"/>
                <w:szCs w:val="20"/>
              </w:rPr>
              <w:t>7</w:t>
            </w:r>
            <w:r w:rsidRPr="006F0C8A">
              <w:rPr>
                <w:sz w:val="20"/>
                <w:szCs w:val="20"/>
              </w:rPr>
              <w:t>%</w:t>
            </w:r>
          </w:p>
        </w:tc>
        <w:tc>
          <w:tcPr>
            <w:tcW w:w="1357" w:type="dxa"/>
            <w:noWrap/>
            <w:vAlign w:val="center"/>
            <w:hideMark/>
          </w:tcPr>
          <w:p w14:paraId="08FBA3AA" w14:textId="1F79A8BF" w:rsidR="00C6380D" w:rsidRPr="006F0C8A" w:rsidRDefault="00C6380D" w:rsidP="00C6380D">
            <w:pPr>
              <w:keepNext/>
              <w:spacing w:after="0"/>
              <w:jc w:val="right"/>
              <w:rPr>
                <w:sz w:val="20"/>
                <w:szCs w:val="20"/>
              </w:rPr>
            </w:pPr>
            <w:r w:rsidRPr="006F0C8A">
              <w:rPr>
                <w:sz w:val="20"/>
                <w:szCs w:val="20"/>
              </w:rPr>
              <w:t>89%</w:t>
            </w:r>
          </w:p>
        </w:tc>
        <w:tc>
          <w:tcPr>
            <w:tcW w:w="1357" w:type="dxa"/>
            <w:vAlign w:val="center"/>
          </w:tcPr>
          <w:p w14:paraId="5AED2CD0" w14:textId="0FFE70B3" w:rsidR="00C6380D" w:rsidRPr="006F0C8A" w:rsidRDefault="00C6380D" w:rsidP="00C6380D">
            <w:pPr>
              <w:keepNext/>
              <w:spacing w:after="0"/>
              <w:jc w:val="right"/>
              <w:rPr>
                <w:sz w:val="20"/>
                <w:szCs w:val="20"/>
              </w:rPr>
            </w:pPr>
            <w:r w:rsidRPr="006F0C8A">
              <w:rPr>
                <w:sz w:val="20"/>
                <w:szCs w:val="20"/>
              </w:rPr>
              <w:t>3%</w:t>
            </w:r>
          </w:p>
        </w:tc>
        <w:tc>
          <w:tcPr>
            <w:tcW w:w="1357" w:type="dxa"/>
            <w:tcBorders>
              <w:right w:val="single" w:sz="4" w:space="0" w:color="000000"/>
            </w:tcBorders>
            <w:noWrap/>
            <w:vAlign w:val="center"/>
            <w:hideMark/>
          </w:tcPr>
          <w:p w14:paraId="38C27132" w14:textId="785F8CB7" w:rsidR="00C6380D" w:rsidRPr="006F0C8A" w:rsidRDefault="00C6380D" w:rsidP="00C6380D">
            <w:pPr>
              <w:keepNext/>
              <w:spacing w:after="0"/>
              <w:jc w:val="right"/>
              <w:rPr>
                <w:sz w:val="20"/>
                <w:szCs w:val="20"/>
              </w:rPr>
            </w:pPr>
            <w:r w:rsidRPr="006F0C8A">
              <w:rPr>
                <w:sz w:val="20"/>
                <w:szCs w:val="20"/>
              </w:rPr>
              <w:t>1</w:t>
            </w:r>
            <w:r>
              <w:rPr>
                <w:sz w:val="20"/>
                <w:szCs w:val="20"/>
              </w:rPr>
              <w:t>1</w:t>
            </w:r>
            <w:r w:rsidRPr="006F0C8A">
              <w:rPr>
                <w:sz w:val="20"/>
                <w:szCs w:val="20"/>
              </w:rPr>
              <w:t>%</w:t>
            </w:r>
          </w:p>
        </w:tc>
        <w:tc>
          <w:tcPr>
            <w:tcW w:w="1358" w:type="dxa"/>
            <w:tcBorders>
              <w:left w:val="single" w:sz="4" w:space="0" w:color="000000"/>
            </w:tcBorders>
            <w:noWrap/>
            <w:vAlign w:val="center"/>
            <w:hideMark/>
          </w:tcPr>
          <w:p w14:paraId="167D6D19" w14:textId="1D4BBC07" w:rsidR="00C6380D" w:rsidRPr="006F0C8A" w:rsidRDefault="00C6380D" w:rsidP="00C6380D">
            <w:pPr>
              <w:keepNext/>
              <w:spacing w:after="0"/>
              <w:jc w:val="right"/>
              <w:rPr>
                <w:sz w:val="20"/>
                <w:szCs w:val="20"/>
              </w:rPr>
            </w:pPr>
            <w:r w:rsidRPr="006F0C8A">
              <w:rPr>
                <w:sz w:val="20"/>
                <w:szCs w:val="20"/>
              </w:rPr>
              <w:t>-7%</w:t>
            </w:r>
          </w:p>
        </w:tc>
      </w:tr>
      <w:tr w:rsidR="00C6380D" w:rsidRPr="00C73637" w14:paraId="553CCE76" w14:textId="77777777" w:rsidTr="00C6380D">
        <w:trPr>
          <w:trHeight w:val="300"/>
        </w:trPr>
        <w:tc>
          <w:tcPr>
            <w:tcW w:w="2695" w:type="dxa"/>
            <w:shd w:val="clear" w:color="auto" w:fill="FFFFFF" w:themeFill="background1"/>
            <w:noWrap/>
            <w:vAlign w:val="center"/>
            <w:hideMark/>
          </w:tcPr>
          <w:p w14:paraId="784E43D9" w14:textId="77777777" w:rsidR="00C6380D" w:rsidRPr="006F0C8A" w:rsidRDefault="00C6380D" w:rsidP="00C6380D">
            <w:pPr>
              <w:keepNext/>
              <w:spacing w:after="0"/>
              <w:rPr>
                <w:sz w:val="20"/>
                <w:szCs w:val="20"/>
              </w:rPr>
            </w:pPr>
            <w:r w:rsidRPr="006F0C8A">
              <w:rPr>
                <w:sz w:val="20"/>
                <w:szCs w:val="20"/>
              </w:rPr>
              <w:t>Other</w:t>
            </w:r>
          </w:p>
        </w:tc>
        <w:tc>
          <w:tcPr>
            <w:tcW w:w="1357" w:type="dxa"/>
            <w:noWrap/>
            <w:vAlign w:val="center"/>
          </w:tcPr>
          <w:p w14:paraId="6D8DD284" w14:textId="7D7919CD" w:rsidR="00C6380D" w:rsidRPr="006F0C8A" w:rsidRDefault="00C6380D" w:rsidP="00C6380D">
            <w:pPr>
              <w:keepNext/>
              <w:spacing w:after="0"/>
              <w:jc w:val="right"/>
              <w:rPr>
                <w:sz w:val="20"/>
                <w:szCs w:val="20"/>
              </w:rPr>
            </w:pPr>
          </w:p>
        </w:tc>
        <w:tc>
          <w:tcPr>
            <w:tcW w:w="1357" w:type="dxa"/>
            <w:noWrap/>
            <w:vAlign w:val="center"/>
            <w:hideMark/>
          </w:tcPr>
          <w:p w14:paraId="38716CE7" w14:textId="448AF999" w:rsidR="00C6380D" w:rsidRPr="006F0C8A" w:rsidRDefault="00C6380D" w:rsidP="00C6380D">
            <w:pPr>
              <w:keepNext/>
              <w:spacing w:after="0"/>
              <w:jc w:val="right"/>
              <w:rPr>
                <w:sz w:val="20"/>
                <w:szCs w:val="20"/>
              </w:rPr>
            </w:pPr>
            <w:r w:rsidRPr="006F0C8A">
              <w:rPr>
                <w:sz w:val="20"/>
                <w:szCs w:val="20"/>
              </w:rPr>
              <w:t>100%</w:t>
            </w:r>
          </w:p>
        </w:tc>
        <w:tc>
          <w:tcPr>
            <w:tcW w:w="1357" w:type="dxa"/>
            <w:vAlign w:val="center"/>
          </w:tcPr>
          <w:p w14:paraId="58E6EBE9" w14:textId="77777777" w:rsidR="00C6380D" w:rsidRPr="006F0C8A" w:rsidRDefault="00C6380D" w:rsidP="00C6380D">
            <w:pPr>
              <w:keepNext/>
              <w:spacing w:after="0"/>
              <w:jc w:val="right"/>
              <w:rPr>
                <w:sz w:val="20"/>
                <w:szCs w:val="20"/>
              </w:rPr>
            </w:pPr>
          </w:p>
        </w:tc>
        <w:tc>
          <w:tcPr>
            <w:tcW w:w="1357" w:type="dxa"/>
            <w:tcBorders>
              <w:right w:val="single" w:sz="4" w:space="0" w:color="000000"/>
            </w:tcBorders>
            <w:noWrap/>
            <w:vAlign w:val="center"/>
            <w:hideMark/>
          </w:tcPr>
          <w:p w14:paraId="726BA5F8" w14:textId="76318214" w:rsidR="00C6380D" w:rsidRPr="006F0C8A" w:rsidRDefault="00C6380D" w:rsidP="00C6380D">
            <w:pPr>
              <w:keepNext/>
              <w:spacing w:after="0"/>
              <w:jc w:val="right"/>
              <w:rPr>
                <w:sz w:val="20"/>
                <w:szCs w:val="20"/>
              </w:rPr>
            </w:pPr>
            <w:r w:rsidRPr="006F0C8A">
              <w:rPr>
                <w:sz w:val="20"/>
                <w:szCs w:val="20"/>
              </w:rPr>
              <w:t>0%</w:t>
            </w:r>
          </w:p>
        </w:tc>
        <w:tc>
          <w:tcPr>
            <w:tcW w:w="1358" w:type="dxa"/>
            <w:tcBorders>
              <w:left w:val="single" w:sz="4" w:space="0" w:color="000000"/>
            </w:tcBorders>
            <w:noWrap/>
            <w:vAlign w:val="center"/>
          </w:tcPr>
          <w:p w14:paraId="26CB02F2" w14:textId="0B15C9D6" w:rsidR="00C6380D" w:rsidRPr="006F0C8A" w:rsidRDefault="00C6380D" w:rsidP="00C6380D">
            <w:pPr>
              <w:keepNext/>
              <w:spacing w:after="0"/>
              <w:jc w:val="right"/>
              <w:rPr>
                <w:sz w:val="20"/>
                <w:szCs w:val="20"/>
              </w:rPr>
            </w:pPr>
          </w:p>
        </w:tc>
      </w:tr>
      <w:tr w:rsidR="00C6380D" w:rsidRPr="00C73637" w14:paraId="4ADE8914" w14:textId="77777777" w:rsidTr="00C6380D">
        <w:trPr>
          <w:trHeight w:val="300"/>
        </w:trPr>
        <w:tc>
          <w:tcPr>
            <w:tcW w:w="2695" w:type="dxa"/>
            <w:shd w:val="clear" w:color="auto" w:fill="FFFFFF" w:themeFill="background1"/>
            <w:noWrap/>
            <w:vAlign w:val="center"/>
            <w:hideMark/>
          </w:tcPr>
          <w:p w14:paraId="18C968D3" w14:textId="77777777" w:rsidR="00C6380D" w:rsidRPr="006F0C8A" w:rsidRDefault="00C6380D" w:rsidP="00C6380D">
            <w:pPr>
              <w:keepNext/>
              <w:spacing w:after="0"/>
              <w:rPr>
                <w:sz w:val="20"/>
                <w:szCs w:val="20"/>
              </w:rPr>
            </w:pPr>
            <w:r w:rsidRPr="006F0C8A">
              <w:rPr>
                <w:sz w:val="20"/>
                <w:szCs w:val="20"/>
              </w:rPr>
              <w:t>Technology</w:t>
            </w:r>
          </w:p>
        </w:tc>
        <w:tc>
          <w:tcPr>
            <w:tcW w:w="1357" w:type="dxa"/>
            <w:noWrap/>
            <w:vAlign w:val="center"/>
            <w:hideMark/>
          </w:tcPr>
          <w:p w14:paraId="01C725F9" w14:textId="0ED493BC" w:rsidR="00C6380D" w:rsidRPr="006F0C8A" w:rsidRDefault="00C6380D" w:rsidP="00C6380D">
            <w:pPr>
              <w:keepNext/>
              <w:spacing w:after="0"/>
              <w:jc w:val="right"/>
              <w:rPr>
                <w:sz w:val="20"/>
                <w:szCs w:val="20"/>
              </w:rPr>
            </w:pPr>
            <w:r w:rsidRPr="006F0C8A">
              <w:rPr>
                <w:sz w:val="20"/>
                <w:szCs w:val="20"/>
              </w:rPr>
              <w:t>8</w:t>
            </w:r>
            <w:r>
              <w:rPr>
                <w:sz w:val="20"/>
                <w:szCs w:val="20"/>
              </w:rPr>
              <w:t>8</w:t>
            </w:r>
            <w:r w:rsidRPr="006F0C8A">
              <w:rPr>
                <w:sz w:val="20"/>
                <w:szCs w:val="20"/>
              </w:rPr>
              <w:t>%</w:t>
            </w:r>
          </w:p>
        </w:tc>
        <w:tc>
          <w:tcPr>
            <w:tcW w:w="1357" w:type="dxa"/>
            <w:noWrap/>
            <w:vAlign w:val="center"/>
            <w:hideMark/>
          </w:tcPr>
          <w:p w14:paraId="6C86C882" w14:textId="6E13104B" w:rsidR="00C6380D" w:rsidRPr="006F0C8A" w:rsidRDefault="00C6380D" w:rsidP="00C6380D">
            <w:pPr>
              <w:keepNext/>
              <w:spacing w:after="0"/>
              <w:jc w:val="right"/>
              <w:rPr>
                <w:sz w:val="20"/>
                <w:szCs w:val="20"/>
              </w:rPr>
            </w:pPr>
            <w:r w:rsidRPr="006F0C8A">
              <w:rPr>
                <w:sz w:val="20"/>
                <w:szCs w:val="20"/>
              </w:rPr>
              <w:t>8</w:t>
            </w:r>
            <w:r>
              <w:rPr>
                <w:sz w:val="20"/>
                <w:szCs w:val="20"/>
              </w:rPr>
              <w:t>5</w:t>
            </w:r>
            <w:r w:rsidRPr="006F0C8A">
              <w:rPr>
                <w:sz w:val="20"/>
                <w:szCs w:val="20"/>
              </w:rPr>
              <w:t>%</w:t>
            </w:r>
          </w:p>
        </w:tc>
        <w:tc>
          <w:tcPr>
            <w:tcW w:w="1357" w:type="dxa"/>
            <w:vAlign w:val="center"/>
          </w:tcPr>
          <w:p w14:paraId="32254949" w14:textId="2F36384D" w:rsidR="00C6380D" w:rsidRPr="006F0C8A" w:rsidRDefault="00C6380D" w:rsidP="00C6380D">
            <w:pPr>
              <w:keepNext/>
              <w:spacing w:after="0"/>
              <w:jc w:val="right"/>
              <w:rPr>
                <w:sz w:val="20"/>
                <w:szCs w:val="20"/>
              </w:rPr>
            </w:pPr>
            <w:r w:rsidRPr="006F0C8A">
              <w:rPr>
                <w:sz w:val="20"/>
                <w:szCs w:val="20"/>
              </w:rPr>
              <w:t>12%</w:t>
            </w:r>
          </w:p>
        </w:tc>
        <w:tc>
          <w:tcPr>
            <w:tcW w:w="1357" w:type="dxa"/>
            <w:tcBorders>
              <w:right w:val="single" w:sz="4" w:space="0" w:color="000000"/>
            </w:tcBorders>
            <w:noWrap/>
            <w:vAlign w:val="center"/>
            <w:hideMark/>
          </w:tcPr>
          <w:p w14:paraId="09C71D4A" w14:textId="286219C1" w:rsidR="00C6380D" w:rsidRPr="006F0C8A" w:rsidRDefault="00C6380D" w:rsidP="00C6380D">
            <w:pPr>
              <w:keepNext/>
              <w:spacing w:after="0"/>
              <w:jc w:val="right"/>
              <w:rPr>
                <w:sz w:val="20"/>
                <w:szCs w:val="20"/>
              </w:rPr>
            </w:pPr>
            <w:r w:rsidRPr="006F0C8A">
              <w:rPr>
                <w:sz w:val="20"/>
                <w:szCs w:val="20"/>
              </w:rPr>
              <w:t>15%</w:t>
            </w:r>
          </w:p>
        </w:tc>
        <w:tc>
          <w:tcPr>
            <w:tcW w:w="1358" w:type="dxa"/>
            <w:tcBorders>
              <w:left w:val="single" w:sz="4" w:space="0" w:color="000000"/>
            </w:tcBorders>
            <w:noWrap/>
            <w:vAlign w:val="center"/>
            <w:hideMark/>
          </w:tcPr>
          <w:p w14:paraId="36BB4F50" w14:textId="5DECC4BF" w:rsidR="00C6380D" w:rsidRPr="006F0C8A" w:rsidRDefault="00C6380D" w:rsidP="00C6380D">
            <w:pPr>
              <w:keepNext/>
              <w:spacing w:after="0"/>
              <w:jc w:val="right"/>
              <w:rPr>
                <w:sz w:val="20"/>
                <w:szCs w:val="20"/>
              </w:rPr>
            </w:pPr>
            <w:r w:rsidRPr="006F0C8A">
              <w:rPr>
                <w:sz w:val="20"/>
                <w:szCs w:val="20"/>
              </w:rPr>
              <w:t>-3%</w:t>
            </w:r>
          </w:p>
        </w:tc>
      </w:tr>
      <w:tr w:rsidR="00C6380D" w:rsidRPr="00C73637" w14:paraId="654B2469" w14:textId="77777777" w:rsidTr="00C6380D">
        <w:trPr>
          <w:trHeight w:val="300"/>
        </w:trPr>
        <w:tc>
          <w:tcPr>
            <w:tcW w:w="2695" w:type="dxa"/>
            <w:shd w:val="clear" w:color="auto" w:fill="FFFFFF" w:themeFill="background1"/>
            <w:noWrap/>
            <w:vAlign w:val="center"/>
            <w:hideMark/>
          </w:tcPr>
          <w:p w14:paraId="563D9603" w14:textId="77777777" w:rsidR="00C6380D" w:rsidRPr="006F0C8A" w:rsidRDefault="00C6380D" w:rsidP="00C6380D">
            <w:pPr>
              <w:keepNext/>
              <w:spacing w:after="0"/>
              <w:rPr>
                <w:sz w:val="20"/>
                <w:szCs w:val="20"/>
              </w:rPr>
            </w:pPr>
            <w:r w:rsidRPr="006F0C8A">
              <w:rPr>
                <w:sz w:val="20"/>
                <w:szCs w:val="20"/>
              </w:rPr>
              <w:t>Telecommunications</w:t>
            </w:r>
          </w:p>
        </w:tc>
        <w:tc>
          <w:tcPr>
            <w:tcW w:w="1357" w:type="dxa"/>
            <w:tcBorders>
              <w:bottom w:val="nil"/>
            </w:tcBorders>
            <w:noWrap/>
            <w:vAlign w:val="center"/>
            <w:hideMark/>
          </w:tcPr>
          <w:p w14:paraId="13B0D173" w14:textId="5F44C174" w:rsidR="00C6380D" w:rsidRPr="006F0C8A" w:rsidRDefault="00C6380D" w:rsidP="00C6380D">
            <w:pPr>
              <w:keepNext/>
              <w:spacing w:after="0"/>
              <w:jc w:val="right"/>
              <w:rPr>
                <w:sz w:val="20"/>
                <w:szCs w:val="20"/>
              </w:rPr>
            </w:pPr>
            <w:r w:rsidRPr="006F0C8A">
              <w:rPr>
                <w:sz w:val="20"/>
                <w:szCs w:val="20"/>
              </w:rPr>
              <w:t>53%</w:t>
            </w:r>
          </w:p>
        </w:tc>
        <w:tc>
          <w:tcPr>
            <w:tcW w:w="1357" w:type="dxa"/>
            <w:tcBorders>
              <w:bottom w:val="nil"/>
            </w:tcBorders>
            <w:noWrap/>
            <w:vAlign w:val="center"/>
            <w:hideMark/>
          </w:tcPr>
          <w:p w14:paraId="58F5943A" w14:textId="052E0FE5" w:rsidR="00C6380D" w:rsidRPr="006F0C8A" w:rsidRDefault="00C6380D" w:rsidP="00C6380D">
            <w:pPr>
              <w:keepNext/>
              <w:spacing w:after="0"/>
              <w:jc w:val="right"/>
              <w:rPr>
                <w:sz w:val="20"/>
                <w:szCs w:val="20"/>
              </w:rPr>
            </w:pPr>
            <w:r w:rsidRPr="006F0C8A">
              <w:rPr>
                <w:sz w:val="20"/>
                <w:szCs w:val="20"/>
              </w:rPr>
              <w:t>7</w:t>
            </w:r>
            <w:r>
              <w:rPr>
                <w:sz w:val="20"/>
                <w:szCs w:val="20"/>
              </w:rPr>
              <w:t>4</w:t>
            </w:r>
            <w:r w:rsidRPr="006F0C8A">
              <w:rPr>
                <w:sz w:val="20"/>
                <w:szCs w:val="20"/>
              </w:rPr>
              <w:t>%</w:t>
            </w:r>
          </w:p>
        </w:tc>
        <w:tc>
          <w:tcPr>
            <w:tcW w:w="1357" w:type="dxa"/>
            <w:tcBorders>
              <w:bottom w:val="nil"/>
            </w:tcBorders>
            <w:vAlign w:val="center"/>
          </w:tcPr>
          <w:p w14:paraId="57FD4D0F" w14:textId="4E1AC16E" w:rsidR="00C6380D" w:rsidRPr="006F0C8A" w:rsidRDefault="00C6380D" w:rsidP="00C6380D">
            <w:pPr>
              <w:keepNext/>
              <w:spacing w:after="0"/>
              <w:jc w:val="right"/>
              <w:rPr>
                <w:sz w:val="20"/>
                <w:szCs w:val="20"/>
              </w:rPr>
            </w:pPr>
            <w:r w:rsidRPr="006F0C8A">
              <w:rPr>
                <w:sz w:val="20"/>
                <w:szCs w:val="20"/>
              </w:rPr>
              <w:t>4</w:t>
            </w:r>
            <w:r>
              <w:rPr>
                <w:sz w:val="20"/>
                <w:szCs w:val="20"/>
              </w:rPr>
              <w:t>7</w:t>
            </w:r>
            <w:r w:rsidRPr="006F0C8A">
              <w:rPr>
                <w:sz w:val="20"/>
                <w:szCs w:val="20"/>
              </w:rPr>
              <w:t>%</w:t>
            </w:r>
          </w:p>
        </w:tc>
        <w:tc>
          <w:tcPr>
            <w:tcW w:w="1357" w:type="dxa"/>
            <w:tcBorders>
              <w:bottom w:val="nil"/>
              <w:right w:val="single" w:sz="4" w:space="0" w:color="000000"/>
            </w:tcBorders>
            <w:noWrap/>
            <w:vAlign w:val="center"/>
            <w:hideMark/>
          </w:tcPr>
          <w:p w14:paraId="604463E4" w14:textId="7039EC4F" w:rsidR="00C6380D" w:rsidRPr="006F0C8A" w:rsidRDefault="00C6380D" w:rsidP="00C6380D">
            <w:pPr>
              <w:keepNext/>
              <w:spacing w:after="0"/>
              <w:jc w:val="right"/>
              <w:rPr>
                <w:sz w:val="20"/>
                <w:szCs w:val="20"/>
              </w:rPr>
            </w:pPr>
            <w:r w:rsidRPr="006F0C8A">
              <w:rPr>
                <w:sz w:val="20"/>
                <w:szCs w:val="20"/>
              </w:rPr>
              <w:t>26%</w:t>
            </w:r>
          </w:p>
        </w:tc>
        <w:tc>
          <w:tcPr>
            <w:tcW w:w="1358" w:type="dxa"/>
            <w:tcBorders>
              <w:left w:val="single" w:sz="4" w:space="0" w:color="000000"/>
              <w:bottom w:val="nil"/>
            </w:tcBorders>
            <w:noWrap/>
            <w:vAlign w:val="center"/>
            <w:hideMark/>
          </w:tcPr>
          <w:p w14:paraId="3AB8F992" w14:textId="3AFE168D" w:rsidR="00C6380D" w:rsidRPr="006F0C8A" w:rsidRDefault="00C6380D" w:rsidP="00C6380D">
            <w:pPr>
              <w:keepNext/>
              <w:spacing w:after="0"/>
              <w:jc w:val="right"/>
              <w:rPr>
                <w:sz w:val="20"/>
                <w:szCs w:val="20"/>
              </w:rPr>
            </w:pPr>
            <w:r w:rsidRPr="006F0C8A">
              <w:rPr>
                <w:sz w:val="20"/>
                <w:szCs w:val="20"/>
              </w:rPr>
              <w:t>2</w:t>
            </w:r>
            <w:r>
              <w:rPr>
                <w:sz w:val="20"/>
                <w:szCs w:val="20"/>
              </w:rPr>
              <w:t>1</w:t>
            </w:r>
            <w:r w:rsidRPr="006F0C8A">
              <w:rPr>
                <w:sz w:val="20"/>
                <w:szCs w:val="20"/>
              </w:rPr>
              <w:t>%</w:t>
            </w:r>
          </w:p>
        </w:tc>
      </w:tr>
      <w:tr w:rsidR="00C6380D" w:rsidRPr="00C73637" w14:paraId="7A0330A0" w14:textId="77777777" w:rsidTr="00C6380D">
        <w:trPr>
          <w:trHeight w:val="320"/>
        </w:trPr>
        <w:tc>
          <w:tcPr>
            <w:tcW w:w="2695" w:type="dxa"/>
            <w:shd w:val="clear" w:color="auto" w:fill="FFFFFF" w:themeFill="background1"/>
            <w:noWrap/>
            <w:vAlign w:val="center"/>
            <w:hideMark/>
          </w:tcPr>
          <w:p w14:paraId="0EC0D033" w14:textId="77777777" w:rsidR="00C6380D" w:rsidRPr="006F0C8A" w:rsidRDefault="00C6380D" w:rsidP="00C6380D">
            <w:pPr>
              <w:spacing w:after="0"/>
              <w:rPr>
                <w:sz w:val="20"/>
                <w:szCs w:val="20"/>
              </w:rPr>
            </w:pPr>
            <w:r w:rsidRPr="006F0C8A">
              <w:rPr>
                <w:sz w:val="20"/>
                <w:szCs w:val="20"/>
              </w:rPr>
              <w:t>Utilities</w:t>
            </w:r>
          </w:p>
        </w:tc>
        <w:tc>
          <w:tcPr>
            <w:tcW w:w="1357" w:type="dxa"/>
            <w:tcBorders>
              <w:top w:val="nil"/>
              <w:bottom w:val="single" w:sz="4" w:space="0" w:color="000000"/>
            </w:tcBorders>
            <w:noWrap/>
            <w:vAlign w:val="center"/>
          </w:tcPr>
          <w:p w14:paraId="15FFF844" w14:textId="40B3E654" w:rsidR="00C6380D" w:rsidRPr="006F0C8A" w:rsidRDefault="00C6380D" w:rsidP="00C6380D">
            <w:pPr>
              <w:spacing w:after="0"/>
              <w:jc w:val="right"/>
              <w:rPr>
                <w:sz w:val="20"/>
                <w:szCs w:val="20"/>
              </w:rPr>
            </w:pPr>
          </w:p>
        </w:tc>
        <w:tc>
          <w:tcPr>
            <w:tcW w:w="1357" w:type="dxa"/>
            <w:tcBorders>
              <w:top w:val="nil"/>
              <w:bottom w:val="single" w:sz="4" w:space="0" w:color="000000"/>
            </w:tcBorders>
            <w:noWrap/>
            <w:vAlign w:val="center"/>
            <w:hideMark/>
          </w:tcPr>
          <w:p w14:paraId="217934EF" w14:textId="743081C5" w:rsidR="00C6380D" w:rsidRPr="006F0C8A" w:rsidRDefault="00C6380D" w:rsidP="00C6380D">
            <w:pPr>
              <w:spacing w:after="0"/>
              <w:jc w:val="right"/>
              <w:rPr>
                <w:sz w:val="20"/>
                <w:szCs w:val="20"/>
              </w:rPr>
            </w:pPr>
            <w:r w:rsidRPr="006F0C8A">
              <w:rPr>
                <w:sz w:val="20"/>
                <w:szCs w:val="20"/>
              </w:rPr>
              <w:t>9</w:t>
            </w:r>
            <w:r>
              <w:rPr>
                <w:sz w:val="20"/>
                <w:szCs w:val="20"/>
              </w:rPr>
              <w:t>1</w:t>
            </w:r>
            <w:r w:rsidRPr="006F0C8A">
              <w:rPr>
                <w:sz w:val="20"/>
                <w:szCs w:val="20"/>
              </w:rPr>
              <w:t>%</w:t>
            </w:r>
          </w:p>
        </w:tc>
        <w:tc>
          <w:tcPr>
            <w:tcW w:w="1357" w:type="dxa"/>
            <w:tcBorders>
              <w:top w:val="nil"/>
              <w:bottom w:val="single" w:sz="4" w:space="0" w:color="000000"/>
            </w:tcBorders>
            <w:vAlign w:val="center"/>
          </w:tcPr>
          <w:p w14:paraId="38C22A05" w14:textId="77777777" w:rsidR="00C6380D" w:rsidRPr="006F0C8A" w:rsidRDefault="00C6380D" w:rsidP="00C6380D">
            <w:pPr>
              <w:spacing w:after="0"/>
              <w:jc w:val="right"/>
              <w:rPr>
                <w:sz w:val="20"/>
                <w:szCs w:val="20"/>
              </w:rPr>
            </w:pPr>
          </w:p>
        </w:tc>
        <w:tc>
          <w:tcPr>
            <w:tcW w:w="1357" w:type="dxa"/>
            <w:tcBorders>
              <w:top w:val="nil"/>
              <w:bottom w:val="single" w:sz="4" w:space="0" w:color="000000"/>
              <w:right w:val="single" w:sz="4" w:space="0" w:color="000000"/>
            </w:tcBorders>
            <w:noWrap/>
            <w:vAlign w:val="center"/>
            <w:hideMark/>
          </w:tcPr>
          <w:p w14:paraId="41F0879F" w14:textId="14D27A92" w:rsidR="00C6380D" w:rsidRPr="006F0C8A" w:rsidRDefault="00C6380D" w:rsidP="00C6380D">
            <w:pPr>
              <w:spacing w:after="0"/>
              <w:jc w:val="right"/>
              <w:rPr>
                <w:sz w:val="20"/>
                <w:szCs w:val="20"/>
              </w:rPr>
            </w:pPr>
            <w:r w:rsidRPr="006F0C8A">
              <w:rPr>
                <w:sz w:val="20"/>
                <w:szCs w:val="20"/>
              </w:rPr>
              <w:t>9%</w:t>
            </w:r>
          </w:p>
        </w:tc>
        <w:tc>
          <w:tcPr>
            <w:tcW w:w="1358" w:type="dxa"/>
            <w:tcBorders>
              <w:top w:val="nil"/>
              <w:left w:val="single" w:sz="4" w:space="0" w:color="000000"/>
              <w:bottom w:val="single" w:sz="4" w:space="0" w:color="000000"/>
            </w:tcBorders>
            <w:noWrap/>
            <w:vAlign w:val="center"/>
          </w:tcPr>
          <w:p w14:paraId="438FAD96" w14:textId="0D65C2AA" w:rsidR="00C6380D" w:rsidRPr="006F0C8A" w:rsidRDefault="00C6380D" w:rsidP="00C6380D">
            <w:pPr>
              <w:spacing w:after="0"/>
              <w:jc w:val="right"/>
              <w:rPr>
                <w:sz w:val="20"/>
                <w:szCs w:val="20"/>
              </w:rPr>
            </w:pPr>
          </w:p>
        </w:tc>
      </w:tr>
      <w:tr w:rsidR="00C6380D" w:rsidRPr="00C73637" w14:paraId="4AC287F7" w14:textId="77777777" w:rsidTr="00C6380D">
        <w:trPr>
          <w:trHeight w:val="320"/>
        </w:trPr>
        <w:tc>
          <w:tcPr>
            <w:tcW w:w="2695" w:type="dxa"/>
            <w:shd w:val="clear" w:color="auto" w:fill="FFFFFF" w:themeFill="background1"/>
            <w:noWrap/>
            <w:vAlign w:val="center"/>
          </w:tcPr>
          <w:p w14:paraId="3289AA49" w14:textId="2D74D7EB" w:rsidR="00C6380D" w:rsidRPr="006F0C8A" w:rsidRDefault="00C6380D" w:rsidP="00C6380D">
            <w:pPr>
              <w:spacing w:after="0"/>
              <w:rPr>
                <w:sz w:val="20"/>
                <w:szCs w:val="20"/>
              </w:rPr>
            </w:pPr>
            <w:r w:rsidRPr="006F0C8A">
              <w:rPr>
                <w:sz w:val="20"/>
                <w:szCs w:val="20"/>
              </w:rPr>
              <w:t>All firms</w:t>
            </w:r>
          </w:p>
        </w:tc>
        <w:tc>
          <w:tcPr>
            <w:tcW w:w="1357" w:type="dxa"/>
            <w:tcBorders>
              <w:top w:val="single" w:sz="4" w:space="0" w:color="000000"/>
              <w:bottom w:val="single" w:sz="4" w:space="0" w:color="auto"/>
            </w:tcBorders>
            <w:noWrap/>
            <w:vAlign w:val="center"/>
          </w:tcPr>
          <w:p w14:paraId="665682EA" w14:textId="4DB1FA9F" w:rsidR="00C6380D" w:rsidRPr="002B084A" w:rsidRDefault="00C6380D" w:rsidP="00C6380D">
            <w:pPr>
              <w:spacing w:after="0"/>
              <w:jc w:val="right"/>
              <w:rPr>
                <w:sz w:val="20"/>
                <w:szCs w:val="20"/>
              </w:rPr>
            </w:pPr>
            <w:r>
              <w:rPr>
                <w:sz w:val="20"/>
                <w:szCs w:val="20"/>
              </w:rPr>
              <w:t>87%</w:t>
            </w:r>
          </w:p>
        </w:tc>
        <w:tc>
          <w:tcPr>
            <w:tcW w:w="1357" w:type="dxa"/>
            <w:tcBorders>
              <w:top w:val="single" w:sz="4" w:space="0" w:color="000000"/>
              <w:bottom w:val="single" w:sz="4" w:space="0" w:color="auto"/>
            </w:tcBorders>
            <w:noWrap/>
            <w:vAlign w:val="center"/>
          </w:tcPr>
          <w:p w14:paraId="53648EE2" w14:textId="19CED0A3" w:rsidR="00C6380D" w:rsidRPr="002B084A" w:rsidRDefault="00C6380D" w:rsidP="00C6380D">
            <w:pPr>
              <w:spacing w:after="0"/>
              <w:jc w:val="right"/>
              <w:rPr>
                <w:sz w:val="20"/>
                <w:szCs w:val="20"/>
              </w:rPr>
            </w:pPr>
            <w:r>
              <w:rPr>
                <w:sz w:val="20"/>
                <w:szCs w:val="20"/>
              </w:rPr>
              <w:t>84%</w:t>
            </w:r>
          </w:p>
        </w:tc>
        <w:tc>
          <w:tcPr>
            <w:tcW w:w="1357" w:type="dxa"/>
            <w:tcBorders>
              <w:top w:val="single" w:sz="4" w:space="0" w:color="000000"/>
              <w:bottom w:val="single" w:sz="4" w:space="0" w:color="auto"/>
            </w:tcBorders>
            <w:vAlign w:val="center"/>
          </w:tcPr>
          <w:p w14:paraId="32AC146E" w14:textId="737B8288" w:rsidR="00C6380D" w:rsidRDefault="00C6380D" w:rsidP="00C6380D">
            <w:pPr>
              <w:spacing w:after="0"/>
              <w:jc w:val="right"/>
              <w:rPr>
                <w:sz w:val="20"/>
                <w:szCs w:val="20"/>
              </w:rPr>
            </w:pPr>
            <w:r>
              <w:rPr>
                <w:sz w:val="20"/>
                <w:szCs w:val="20"/>
              </w:rPr>
              <w:t>13%</w:t>
            </w:r>
          </w:p>
        </w:tc>
        <w:tc>
          <w:tcPr>
            <w:tcW w:w="1357" w:type="dxa"/>
            <w:tcBorders>
              <w:top w:val="single" w:sz="4" w:space="0" w:color="000000"/>
              <w:bottom w:val="single" w:sz="4" w:space="0" w:color="auto"/>
              <w:right w:val="single" w:sz="4" w:space="0" w:color="000000"/>
            </w:tcBorders>
            <w:noWrap/>
            <w:vAlign w:val="center"/>
          </w:tcPr>
          <w:p w14:paraId="53CA5FD9" w14:textId="5E2F8E47" w:rsidR="00C6380D" w:rsidRPr="002B084A" w:rsidRDefault="00C6380D" w:rsidP="00C6380D">
            <w:pPr>
              <w:spacing w:after="0"/>
              <w:jc w:val="right"/>
              <w:rPr>
                <w:sz w:val="20"/>
                <w:szCs w:val="20"/>
              </w:rPr>
            </w:pPr>
            <w:r>
              <w:rPr>
                <w:sz w:val="20"/>
                <w:szCs w:val="20"/>
              </w:rPr>
              <w:t>16%</w:t>
            </w:r>
          </w:p>
        </w:tc>
        <w:tc>
          <w:tcPr>
            <w:tcW w:w="1358" w:type="dxa"/>
            <w:tcBorders>
              <w:top w:val="single" w:sz="4" w:space="0" w:color="000000"/>
              <w:left w:val="single" w:sz="4" w:space="0" w:color="000000"/>
            </w:tcBorders>
            <w:noWrap/>
            <w:vAlign w:val="center"/>
          </w:tcPr>
          <w:p w14:paraId="15CBE951" w14:textId="08011675" w:rsidR="00C6380D" w:rsidRPr="002B084A" w:rsidRDefault="00C6380D" w:rsidP="00C6380D">
            <w:pPr>
              <w:spacing w:after="0"/>
              <w:jc w:val="right"/>
              <w:rPr>
                <w:sz w:val="20"/>
                <w:szCs w:val="20"/>
              </w:rPr>
            </w:pPr>
            <w:r>
              <w:rPr>
                <w:sz w:val="20"/>
                <w:szCs w:val="20"/>
              </w:rPr>
              <w:t>-3%</w:t>
            </w:r>
          </w:p>
        </w:tc>
      </w:tr>
    </w:tbl>
    <w:p w14:paraId="3DA8BA58" w14:textId="77777777" w:rsidR="002B084A" w:rsidRDefault="002B084A" w:rsidP="006F0C8A">
      <w:pPr>
        <w:pStyle w:val="NoSpacing"/>
      </w:pPr>
    </w:p>
    <w:p w14:paraId="2A107AA8" w14:textId="3DB74873" w:rsidR="006C0D76" w:rsidRDefault="00E45512" w:rsidP="00E45512">
      <w:r>
        <w:t xml:space="preserve">In general, the observations tend to show a decrease across most </w:t>
      </w:r>
      <w:r w:rsidR="00804FA3">
        <w:t xml:space="preserve">industries in the proportion of profitable companies </w:t>
      </w:r>
      <w:r>
        <w:t>from Pre-to-Post</w:t>
      </w:r>
      <w:r w:rsidR="001A4779">
        <w:t xml:space="preserve">. Industries like Utilities, Other, and Non-Corporate don’t provide meaningful data since they often represent </w:t>
      </w:r>
      <w:r w:rsidR="00804FA3">
        <w:t>one</w:t>
      </w:r>
      <w:r w:rsidR="001A4779">
        <w:t xml:space="preserve"> or </w:t>
      </w:r>
      <w:r w:rsidR="00804FA3">
        <w:t>two</w:t>
      </w:r>
      <w:r w:rsidR="001A4779">
        <w:t xml:space="preserve"> companies for which data was found. However, Business Services, Finance, and Telecom</w:t>
      </w:r>
      <w:r w:rsidR="00804FA3">
        <w:t>s</w:t>
      </w:r>
      <w:r w:rsidR="001A4779">
        <w:t xml:space="preserve"> did see the number of profitable companies increase between the two periods, which provides an interesting scope into how established but still relevant industries have seen an increase in profitable observations over time. Ultimately, more unprofitable companies in the Post period shows perhaps that it is easier to get funding to maintain a longer lifespan to achieve profitability in the Post-boom period as a company in many industries or that perhaps business savvy is higher and what is keeping more observations for unprofitable companies across a number of industries. </w:t>
      </w:r>
    </w:p>
    <w:p w14:paraId="3A270B36" w14:textId="37832B24" w:rsidR="00DC4FEF" w:rsidRPr="008D44DD" w:rsidRDefault="00DC4FEF" w:rsidP="00DC4FEF">
      <w:pPr>
        <w:pStyle w:val="Heading2"/>
      </w:pPr>
      <w:bookmarkStart w:id="21" w:name="_Toc90181483"/>
      <w:r>
        <w:t>Valuation Comparison (Mean and Median</w:t>
      </w:r>
      <w:r w:rsidR="001F495D">
        <w:t xml:space="preserve"> EV/Sales</w:t>
      </w:r>
      <w:r>
        <w:t>)</w:t>
      </w:r>
      <w:bookmarkEnd w:id="21"/>
    </w:p>
    <w:p w14:paraId="151EFA57" w14:textId="6FB75942" w:rsidR="007E3D57" w:rsidRDefault="00804FA3" w:rsidP="007E3D57">
      <w:r>
        <w:t xml:space="preserve">In </w:t>
      </w:r>
      <w:r w:rsidR="00305165">
        <w:fldChar w:fldCharType="begin"/>
      </w:r>
      <w:r w:rsidR="00305165">
        <w:instrText xml:space="preserve"> REF _Ref90418434 </w:instrText>
      </w:r>
      <w:r w:rsidR="00305165">
        <w:fldChar w:fldCharType="separate"/>
      </w:r>
      <w:r w:rsidR="00F25A7C">
        <w:t xml:space="preserve">Table </w:t>
      </w:r>
      <w:r w:rsidR="00F25A7C">
        <w:rPr>
          <w:noProof/>
        </w:rPr>
        <w:t>5</w:t>
      </w:r>
      <w:r w:rsidR="00305165">
        <w:rPr>
          <w:noProof/>
        </w:rPr>
        <w:fldChar w:fldCharType="end"/>
      </w:r>
      <w:r w:rsidR="00F25A7C">
        <w:t xml:space="preserve"> </w:t>
      </w:r>
      <w:r>
        <w:t xml:space="preserve">I present median EV/Sales for each profitability cohort. The mean EV/Sales is a poor measure of centrality for this analysis because if its potential to be inflated by companies with low current sales. </w:t>
      </w:r>
      <w:r w:rsidR="00F25A7C">
        <w:t>M</w:t>
      </w:r>
      <w:r>
        <w:t>ore often than not</w:t>
      </w:r>
      <w:r w:rsidR="00F25A7C">
        <w:t>,</w:t>
      </w:r>
      <w:r>
        <w:t xml:space="preserve"> unprofitable companies in the past tended to have significantly higher valuations </w:t>
      </w:r>
      <w:r w:rsidR="00F25A7C">
        <w:t>growth</w:t>
      </w:r>
      <w:r>
        <w:t xml:space="preserve"> industries such as Healthcare, Tech, and Telecom. This is also the case in more established, long-term industries such as Finance, Business Services, and Industrials where the Pre-boom companies had significantly more bullish valuations. This is interesting because perhaps leading into the tech boom, in general, a majority of industries had more bullish valuations. It is also generally the case for the profitable companies before and after the boom, it follows a similar pattern where valuations were higher in the pre-boom era. </w:t>
      </w:r>
    </w:p>
    <w:p w14:paraId="26E5F225" w14:textId="058346C1" w:rsidR="0051609F" w:rsidRDefault="00667ADB" w:rsidP="0051609F">
      <w:r>
        <w:t xml:space="preserve">Focusing on technology industry more specifically, </w:t>
      </w:r>
      <w:r w:rsidR="008E7C21">
        <w:t>the industry saw a decrease in valuation multiple by 84.1%, whereas across all the industries, an average decrease of 34.6% was seen</w:t>
      </w:r>
      <w:r w:rsidR="00DB01B1">
        <w:t xml:space="preserve"> for all unprofitable companies across the pre and post-tech boom era</w:t>
      </w:r>
      <w:r w:rsidR="008E7C21">
        <w:t xml:space="preserve">. Tech multiples </w:t>
      </w:r>
      <w:r w:rsidR="008E7C21">
        <w:lastRenderedPageBreak/>
        <w:t>decreased far more for unprofitable companies than was the case in the economy as a whole based on our sample of observations.</w:t>
      </w:r>
      <w:r w:rsidR="00DB01B1">
        <w:t xml:space="preserve"> </w:t>
      </w:r>
    </w:p>
    <w:p w14:paraId="2122635B" w14:textId="3928F0CC" w:rsidR="00DB01B1" w:rsidRDefault="00DB01B1" w:rsidP="0051609F">
      <w:r>
        <w:t>One potential</w:t>
      </w:r>
      <w:r w:rsidR="00F25A7C">
        <w:t xml:space="preserve"> source of </w:t>
      </w:r>
      <w:r w:rsidR="006F0C8A">
        <w:t>estimation</w:t>
      </w:r>
      <w:r w:rsidR="00F25A7C">
        <w:t xml:space="preserve"> error </w:t>
      </w:r>
      <w:r>
        <w:t xml:space="preserve">is how perhaps the many recessions in the post-period may have affected these valuation multiples: </w:t>
      </w:r>
      <w:proofErr w:type="gramStart"/>
      <w:r>
        <w:t>the</w:t>
      </w:r>
      <w:proofErr w:type="gramEnd"/>
      <w:r>
        <w:t xml:space="preserve"> Dot Com Burst in 2000, the recessionary period following 9/11, the Great Recession from 2008-2010 whose effects lingered for quite some time, and most recently the COVID-19 crash in March of 20</w:t>
      </w:r>
      <w:r w:rsidR="00F25A7C">
        <w:t>20</w:t>
      </w:r>
      <w:r>
        <w:t xml:space="preserve">. These may have, to some level, have artificially decreased the valuations. However, given the dominance of tech companies across this era as well, there should be some hope that the strength of the tech industry as a </w:t>
      </w:r>
      <w:proofErr w:type="spellStart"/>
      <w:r>
        <w:t>a</w:t>
      </w:r>
      <w:proofErr w:type="spellEnd"/>
      <w:r>
        <w:t xml:space="preserve"> whole counteracted this in the median calculation. </w:t>
      </w:r>
    </w:p>
    <w:p w14:paraId="58752E32" w14:textId="77777777" w:rsidR="00F25A7C" w:rsidRDefault="00F25A7C" w:rsidP="00F25A7C">
      <w:pPr>
        <w:pStyle w:val="Caption"/>
      </w:pPr>
      <w:bookmarkStart w:id="22" w:name="_Ref90418434"/>
      <w:bookmarkStart w:id="23" w:name="_Toc90812718"/>
      <w:r>
        <w:t xml:space="preserve">Table </w:t>
      </w:r>
      <w:r w:rsidR="00305165">
        <w:fldChar w:fldCharType="begin"/>
      </w:r>
      <w:r w:rsidR="00305165">
        <w:instrText xml:space="preserve"> SEQ Table \* ARABIC </w:instrText>
      </w:r>
      <w:r w:rsidR="00305165">
        <w:fldChar w:fldCharType="separate"/>
      </w:r>
      <w:r>
        <w:rPr>
          <w:noProof/>
        </w:rPr>
        <w:t>5</w:t>
      </w:r>
      <w:r w:rsidR="00305165">
        <w:rPr>
          <w:noProof/>
        </w:rPr>
        <w:fldChar w:fldCharType="end"/>
      </w:r>
      <w:bookmarkEnd w:id="22"/>
      <w:r>
        <w:t>. Percent Change in Multiples for Profitable and Unprofitable Companies Across Time</w:t>
      </w:r>
      <w:bookmarkEnd w:id="23"/>
    </w:p>
    <w:tbl>
      <w:tblPr>
        <w:tblStyle w:val="TableGrid"/>
        <w:tblW w:w="0" w:type="auto"/>
        <w:tblLook w:val="04A0" w:firstRow="1" w:lastRow="0" w:firstColumn="1" w:lastColumn="0" w:noHBand="0" w:noVBand="1"/>
      </w:tblPr>
      <w:tblGrid>
        <w:gridCol w:w="1435"/>
        <w:gridCol w:w="1350"/>
        <w:gridCol w:w="1260"/>
        <w:gridCol w:w="1260"/>
        <w:gridCol w:w="1260"/>
        <w:gridCol w:w="1350"/>
        <w:gridCol w:w="1435"/>
      </w:tblGrid>
      <w:tr w:rsidR="00026C29" w:rsidRPr="003B25DC" w14:paraId="3E4DD68F" w14:textId="77777777" w:rsidTr="0017180C">
        <w:trPr>
          <w:trHeight w:val="512"/>
        </w:trPr>
        <w:tc>
          <w:tcPr>
            <w:tcW w:w="1435" w:type="dxa"/>
            <w:shd w:val="clear" w:color="auto" w:fill="D0CECE" w:themeFill="background2" w:themeFillShade="E6"/>
            <w:noWrap/>
            <w:hideMark/>
          </w:tcPr>
          <w:p w14:paraId="227A06F6" w14:textId="77777777" w:rsidR="00126313" w:rsidRPr="003B25DC" w:rsidRDefault="00126313" w:rsidP="006F0C8A">
            <w:pPr>
              <w:spacing w:after="0"/>
              <w:rPr>
                <w:sz w:val="14"/>
                <w:szCs w:val="14"/>
              </w:rPr>
            </w:pPr>
          </w:p>
        </w:tc>
        <w:tc>
          <w:tcPr>
            <w:tcW w:w="1350" w:type="dxa"/>
            <w:shd w:val="clear" w:color="auto" w:fill="D0CECE" w:themeFill="background2" w:themeFillShade="E6"/>
            <w:vAlign w:val="center"/>
          </w:tcPr>
          <w:p w14:paraId="0BB430CC" w14:textId="7C29D747" w:rsidR="00126313" w:rsidRPr="003B25DC" w:rsidRDefault="00026C29" w:rsidP="0017180C">
            <w:pPr>
              <w:spacing w:after="0"/>
              <w:jc w:val="center"/>
              <w:rPr>
                <w:b/>
                <w:sz w:val="14"/>
                <w:szCs w:val="14"/>
              </w:rPr>
            </w:pPr>
            <w:r w:rsidRPr="00026C29">
              <w:rPr>
                <w:b/>
                <w:sz w:val="14"/>
                <w:szCs w:val="14"/>
              </w:rPr>
              <w:t>Median EV/Sales for Profitable Companies Based on Adjusted EBIT (Pre-March 10th, 2000)</w:t>
            </w:r>
          </w:p>
        </w:tc>
        <w:tc>
          <w:tcPr>
            <w:tcW w:w="1260" w:type="dxa"/>
            <w:shd w:val="clear" w:color="auto" w:fill="D0CECE" w:themeFill="background2" w:themeFillShade="E6"/>
            <w:vAlign w:val="center"/>
          </w:tcPr>
          <w:p w14:paraId="50F97C6A" w14:textId="548D0132" w:rsidR="00126313" w:rsidRPr="003B25DC" w:rsidRDefault="00026C29" w:rsidP="0017180C">
            <w:pPr>
              <w:spacing w:after="0"/>
              <w:jc w:val="center"/>
              <w:rPr>
                <w:b/>
                <w:sz w:val="14"/>
                <w:szCs w:val="14"/>
              </w:rPr>
            </w:pPr>
            <w:r w:rsidRPr="00026C29">
              <w:rPr>
                <w:b/>
                <w:sz w:val="14"/>
                <w:szCs w:val="14"/>
              </w:rPr>
              <w:t>Median EV/Sales for Profitable Companies Based on Adjusted EBIT (Post-March 10th, 2000)</w:t>
            </w:r>
          </w:p>
        </w:tc>
        <w:tc>
          <w:tcPr>
            <w:tcW w:w="1260" w:type="dxa"/>
            <w:shd w:val="clear" w:color="auto" w:fill="D0CECE" w:themeFill="background2" w:themeFillShade="E6"/>
            <w:vAlign w:val="center"/>
          </w:tcPr>
          <w:p w14:paraId="0A85F087" w14:textId="47F3C26B" w:rsidR="00126313" w:rsidRPr="003B25DC" w:rsidRDefault="00026C29" w:rsidP="0017180C">
            <w:pPr>
              <w:spacing w:after="0"/>
              <w:jc w:val="center"/>
              <w:rPr>
                <w:b/>
                <w:sz w:val="14"/>
                <w:szCs w:val="14"/>
              </w:rPr>
            </w:pPr>
            <w:r w:rsidRPr="00026C29">
              <w:rPr>
                <w:b/>
                <w:sz w:val="14"/>
                <w:szCs w:val="14"/>
              </w:rPr>
              <w:t>Median EV/Sales for Unprofitable Companies Based on Adjusted EBIT (Pre-March 10th, 2000)</w:t>
            </w:r>
          </w:p>
        </w:tc>
        <w:tc>
          <w:tcPr>
            <w:tcW w:w="1260" w:type="dxa"/>
            <w:shd w:val="clear" w:color="auto" w:fill="D0CECE" w:themeFill="background2" w:themeFillShade="E6"/>
            <w:vAlign w:val="center"/>
          </w:tcPr>
          <w:p w14:paraId="336B65EB" w14:textId="3CB1A103" w:rsidR="00126313" w:rsidRPr="003B25DC" w:rsidRDefault="00026C29" w:rsidP="0017180C">
            <w:pPr>
              <w:spacing w:after="0"/>
              <w:jc w:val="center"/>
              <w:rPr>
                <w:b/>
                <w:sz w:val="14"/>
                <w:szCs w:val="14"/>
              </w:rPr>
            </w:pPr>
            <w:r w:rsidRPr="00026C29">
              <w:rPr>
                <w:b/>
                <w:sz w:val="14"/>
                <w:szCs w:val="14"/>
              </w:rPr>
              <w:t>Median EV/Sales for Unprofitable Companies Based on Adjusted EBIT (Post-March 10th, 2000)</w:t>
            </w:r>
          </w:p>
        </w:tc>
        <w:tc>
          <w:tcPr>
            <w:tcW w:w="1350" w:type="dxa"/>
            <w:shd w:val="clear" w:color="auto" w:fill="D0CECE" w:themeFill="background2" w:themeFillShade="E6"/>
            <w:vAlign w:val="center"/>
            <w:hideMark/>
          </w:tcPr>
          <w:p w14:paraId="3E69DA31" w14:textId="178DBBD4" w:rsidR="00126313" w:rsidRPr="003B25DC" w:rsidRDefault="00126313" w:rsidP="006F0C8A">
            <w:pPr>
              <w:spacing w:after="0"/>
              <w:jc w:val="center"/>
              <w:rPr>
                <w:b/>
                <w:sz w:val="14"/>
                <w:szCs w:val="14"/>
              </w:rPr>
            </w:pPr>
            <w:r w:rsidRPr="003B25DC">
              <w:rPr>
                <w:b/>
                <w:sz w:val="14"/>
                <w:szCs w:val="14"/>
              </w:rPr>
              <w:t>Percent Change in Multiples for Profitable Companies (Pre-to-Post)</w:t>
            </w:r>
          </w:p>
        </w:tc>
        <w:tc>
          <w:tcPr>
            <w:tcW w:w="1435" w:type="dxa"/>
            <w:shd w:val="clear" w:color="auto" w:fill="D0CECE" w:themeFill="background2" w:themeFillShade="E6"/>
            <w:vAlign w:val="center"/>
            <w:hideMark/>
          </w:tcPr>
          <w:p w14:paraId="7DE466EF" w14:textId="77777777" w:rsidR="00126313" w:rsidRPr="003B25DC" w:rsidRDefault="00126313" w:rsidP="006F0C8A">
            <w:pPr>
              <w:spacing w:after="0"/>
              <w:jc w:val="center"/>
              <w:rPr>
                <w:b/>
                <w:sz w:val="14"/>
                <w:szCs w:val="14"/>
              </w:rPr>
            </w:pPr>
            <w:r w:rsidRPr="003B25DC">
              <w:rPr>
                <w:b/>
                <w:sz w:val="14"/>
                <w:szCs w:val="14"/>
              </w:rPr>
              <w:t>Percent Change in Multiples for Unprofitable Companies (Pre-to-Post)</w:t>
            </w:r>
          </w:p>
        </w:tc>
      </w:tr>
      <w:tr w:rsidR="00026C29" w:rsidRPr="003B25DC" w14:paraId="789CC41E" w14:textId="77777777" w:rsidTr="0017180C">
        <w:trPr>
          <w:trHeight w:val="300"/>
        </w:trPr>
        <w:tc>
          <w:tcPr>
            <w:tcW w:w="1435" w:type="dxa"/>
            <w:shd w:val="clear" w:color="auto" w:fill="D0CECE" w:themeFill="background2" w:themeFillShade="E6"/>
            <w:noWrap/>
            <w:vAlign w:val="center"/>
            <w:hideMark/>
          </w:tcPr>
          <w:p w14:paraId="4B2D0FFA" w14:textId="77777777" w:rsidR="00D208F0" w:rsidRPr="003B25DC" w:rsidRDefault="00D208F0" w:rsidP="00D208F0">
            <w:pPr>
              <w:spacing w:after="0"/>
              <w:rPr>
                <w:b/>
                <w:sz w:val="14"/>
                <w:szCs w:val="14"/>
              </w:rPr>
            </w:pPr>
            <w:r w:rsidRPr="003B25DC">
              <w:rPr>
                <w:b/>
                <w:sz w:val="14"/>
                <w:szCs w:val="14"/>
              </w:rPr>
              <w:t>Business Services</w:t>
            </w:r>
          </w:p>
        </w:tc>
        <w:tc>
          <w:tcPr>
            <w:tcW w:w="1350" w:type="dxa"/>
            <w:vAlign w:val="bottom"/>
          </w:tcPr>
          <w:p w14:paraId="6C2302C2" w14:textId="256BE004" w:rsidR="00D208F0" w:rsidRPr="00026C29" w:rsidRDefault="00D208F0" w:rsidP="00D208F0">
            <w:pPr>
              <w:spacing w:after="0"/>
              <w:jc w:val="right"/>
              <w:rPr>
                <w:sz w:val="16"/>
                <w:szCs w:val="16"/>
              </w:rPr>
            </w:pPr>
            <w:r w:rsidRPr="00026C29">
              <w:rPr>
                <w:rFonts w:cs="Calibri"/>
                <w:color w:val="000000"/>
                <w:sz w:val="16"/>
                <w:szCs w:val="16"/>
              </w:rPr>
              <w:t>3.14x</w:t>
            </w:r>
          </w:p>
        </w:tc>
        <w:tc>
          <w:tcPr>
            <w:tcW w:w="1260" w:type="dxa"/>
            <w:vAlign w:val="bottom"/>
          </w:tcPr>
          <w:p w14:paraId="045EC7CA" w14:textId="367DB639" w:rsidR="00D208F0" w:rsidRPr="00026C29" w:rsidRDefault="00D208F0" w:rsidP="00D208F0">
            <w:pPr>
              <w:spacing w:after="0"/>
              <w:jc w:val="right"/>
              <w:rPr>
                <w:sz w:val="16"/>
                <w:szCs w:val="16"/>
              </w:rPr>
            </w:pPr>
            <w:r w:rsidRPr="00026C29">
              <w:rPr>
                <w:rFonts w:cs="Calibri"/>
                <w:color w:val="000000"/>
                <w:sz w:val="16"/>
                <w:szCs w:val="16"/>
              </w:rPr>
              <w:t>1.35x</w:t>
            </w:r>
          </w:p>
        </w:tc>
        <w:tc>
          <w:tcPr>
            <w:tcW w:w="1260" w:type="dxa"/>
            <w:vAlign w:val="bottom"/>
          </w:tcPr>
          <w:p w14:paraId="0E65CA42" w14:textId="0FC4681A" w:rsidR="00D208F0" w:rsidRPr="00026C29" w:rsidRDefault="00D208F0" w:rsidP="00D208F0">
            <w:pPr>
              <w:spacing w:after="0"/>
              <w:jc w:val="right"/>
              <w:rPr>
                <w:sz w:val="16"/>
                <w:szCs w:val="16"/>
              </w:rPr>
            </w:pPr>
            <w:r w:rsidRPr="00026C29">
              <w:rPr>
                <w:rFonts w:cs="Calibri"/>
                <w:color w:val="000000"/>
                <w:sz w:val="16"/>
                <w:szCs w:val="16"/>
              </w:rPr>
              <w:t>2.89x</w:t>
            </w:r>
          </w:p>
        </w:tc>
        <w:tc>
          <w:tcPr>
            <w:tcW w:w="1260" w:type="dxa"/>
            <w:vAlign w:val="bottom"/>
          </w:tcPr>
          <w:p w14:paraId="21CC251A" w14:textId="7CDA542E" w:rsidR="00D208F0" w:rsidRPr="00026C29" w:rsidRDefault="00D208F0" w:rsidP="00D208F0">
            <w:pPr>
              <w:spacing w:after="0"/>
              <w:jc w:val="right"/>
              <w:rPr>
                <w:sz w:val="16"/>
                <w:szCs w:val="16"/>
              </w:rPr>
            </w:pPr>
            <w:r w:rsidRPr="00026C29">
              <w:rPr>
                <w:rFonts w:cs="Calibri"/>
                <w:color w:val="000000"/>
                <w:sz w:val="16"/>
                <w:szCs w:val="16"/>
              </w:rPr>
              <w:t>0.85x</w:t>
            </w:r>
          </w:p>
        </w:tc>
        <w:tc>
          <w:tcPr>
            <w:tcW w:w="1350" w:type="dxa"/>
            <w:noWrap/>
            <w:vAlign w:val="center"/>
            <w:hideMark/>
          </w:tcPr>
          <w:p w14:paraId="1ACAD678" w14:textId="3A31C129" w:rsidR="00D208F0" w:rsidRPr="003B25DC" w:rsidRDefault="00D208F0" w:rsidP="00D208F0">
            <w:pPr>
              <w:spacing w:after="0"/>
              <w:jc w:val="right"/>
              <w:rPr>
                <w:sz w:val="14"/>
                <w:szCs w:val="14"/>
              </w:rPr>
            </w:pPr>
            <w:r w:rsidRPr="003B25DC">
              <w:rPr>
                <w:sz w:val="14"/>
                <w:szCs w:val="14"/>
              </w:rPr>
              <w:t>-57.04%</w:t>
            </w:r>
          </w:p>
        </w:tc>
        <w:tc>
          <w:tcPr>
            <w:tcW w:w="1435" w:type="dxa"/>
            <w:noWrap/>
            <w:vAlign w:val="center"/>
            <w:hideMark/>
          </w:tcPr>
          <w:p w14:paraId="72927B9A" w14:textId="77777777" w:rsidR="00D208F0" w:rsidRPr="003B25DC" w:rsidRDefault="00D208F0" w:rsidP="00D208F0">
            <w:pPr>
              <w:spacing w:after="0"/>
              <w:jc w:val="right"/>
              <w:rPr>
                <w:sz w:val="14"/>
                <w:szCs w:val="14"/>
              </w:rPr>
            </w:pPr>
            <w:r w:rsidRPr="003B25DC">
              <w:rPr>
                <w:sz w:val="14"/>
                <w:szCs w:val="14"/>
              </w:rPr>
              <w:t>-70.58%</w:t>
            </w:r>
          </w:p>
        </w:tc>
      </w:tr>
      <w:tr w:rsidR="00026C29" w:rsidRPr="003B25DC" w14:paraId="77054468" w14:textId="77777777" w:rsidTr="0017180C">
        <w:trPr>
          <w:trHeight w:val="300"/>
        </w:trPr>
        <w:tc>
          <w:tcPr>
            <w:tcW w:w="1435" w:type="dxa"/>
            <w:shd w:val="clear" w:color="auto" w:fill="D0CECE" w:themeFill="background2" w:themeFillShade="E6"/>
            <w:noWrap/>
            <w:vAlign w:val="center"/>
            <w:hideMark/>
          </w:tcPr>
          <w:p w14:paraId="311CB8CC" w14:textId="77777777" w:rsidR="00D208F0" w:rsidRPr="003B25DC" w:rsidRDefault="00D208F0" w:rsidP="00D208F0">
            <w:pPr>
              <w:spacing w:after="0"/>
              <w:rPr>
                <w:b/>
                <w:sz w:val="14"/>
                <w:szCs w:val="14"/>
              </w:rPr>
            </w:pPr>
            <w:r w:rsidRPr="003B25DC">
              <w:rPr>
                <w:b/>
                <w:sz w:val="14"/>
                <w:szCs w:val="14"/>
              </w:rPr>
              <w:t>Consumer Cyclicals</w:t>
            </w:r>
          </w:p>
        </w:tc>
        <w:tc>
          <w:tcPr>
            <w:tcW w:w="1350" w:type="dxa"/>
            <w:vAlign w:val="bottom"/>
          </w:tcPr>
          <w:p w14:paraId="75A7A5D1" w14:textId="5EDC6564" w:rsidR="00D208F0" w:rsidRPr="00026C29" w:rsidRDefault="00D208F0" w:rsidP="00D208F0">
            <w:pPr>
              <w:spacing w:after="0"/>
              <w:jc w:val="right"/>
              <w:rPr>
                <w:sz w:val="16"/>
                <w:szCs w:val="16"/>
              </w:rPr>
            </w:pPr>
            <w:r w:rsidRPr="00026C29">
              <w:rPr>
                <w:rFonts w:cs="Calibri"/>
                <w:color w:val="000000"/>
                <w:sz w:val="16"/>
                <w:szCs w:val="16"/>
              </w:rPr>
              <w:t>0.86x</w:t>
            </w:r>
          </w:p>
        </w:tc>
        <w:tc>
          <w:tcPr>
            <w:tcW w:w="1260" w:type="dxa"/>
            <w:vAlign w:val="bottom"/>
          </w:tcPr>
          <w:p w14:paraId="38851C66" w14:textId="482A90C2" w:rsidR="00D208F0" w:rsidRPr="00026C29" w:rsidRDefault="00D208F0" w:rsidP="00D208F0">
            <w:pPr>
              <w:spacing w:after="0"/>
              <w:jc w:val="right"/>
              <w:rPr>
                <w:sz w:val="16"/>
                <w:szCs w:val="16"/>
              </w:rPr>
            </w:pPr>
            <w:r w:rsidRPr="00026C29">
              <w:rPr>
                <w:rFonts w:cs="Calibri"/>
                <w:color w:val="000000"/>
                <w:sz w:val="16"/>
                <w:szCs w:val="16"/>
              </w:rPr>
              <w:t>0.72x</w:t>
            </w:r>
          </w:p>
        </w:tc>
        <w:tc>
          <w:tcPr>
            <w:tcW w:w="1260" w:type="dxa"/>
            <w:vAlign w:val="bottom"/>
          </w:tcPr>
          <w:p w14:paraId="79DB6581" w14:textId="24003DBE" w:rsidR="00D208F0" w:rsidRPr="00026C29" w:rsidRDefault="00D208F0" w:rsidP="00D208F0">
            <w:pPr>
              <w:spacing w:after="0"/>
              <w:jc w:val="right"/>
              <w:rPr>
                <w:sz w:val="16"/>
                <w:szCs w:val="16"/>
              </w:rPr>
            </w:pPr>
            <w:r w:rsidRPr="00026C29">
              <w:rPr>
                <w:rFonts w:cs="Calibri"/>
                <w:color w:val="000000"/>
                <w:sz w:val="16"/>
                <w:szCs w:val="16"/>
              </w:rPr>
              <w:t>0.47x</w:t>
            </w:r>
          </w:p>
        </w:tc>
        <w:tc>
          <w:tcPr>
            <w:tcW w:w="1260" w:type="dxa"/>
            <w:vAlign w:val="bottom"/>
          </w:tcPr>
          <w:p w14:paraId="4535D3D1" w14:textId="384D5EA4" w:rsidR="00D208F0" w:rsidRPr="00026C29" w:rsidRDefault="00D208F0" w:rsidP="00D208F0">
            <w:pPr>
              <w:spacing w:after="0"/>
              <w:jc w:val="right"/>
              <w:rPr>
                <w:sz w:val="16"/>
                <w:szCs w:val="16"/>
              </w:rPr>
            </w:pPr>
            <w:r w:rsidRPr="00026C29">
              <w:rPr>
                <w:rFonts w:cs="Calibri"/>
                <w:color w:val="000000"/>
                <w:sz w:val="16"/>
                <w:szCs w:val="16"/>
              </w:rPr>
              <w:t>0.54x</w:t>
            </w:r>
          </w:p>
        </w:tc>
        <w:tc>
          <w:tcPr>
            <w:tcW w:w="1350" w:type="dxa"/>
            <w:noWrap/>
            <w:vAlign w:val="center"/>
            <w:hideMark/>
          </w:tcPr>
          <w:p w14:paraId="35EA345D" w14:textId="2FB81CCE" w:rsidR="00D208F0" w:rsidRPr="003B25DC" w:rsidRDefault="00D208F0" w:rsidP="00D208F0">
            <w:pPr>
              <w:spacing w:after="0"/>
              <w:jc w:val="right"/>
              <w:rPr>
                <w:sz w:val="14"/>
                <w:szCs w:val="14"/>
              </w:rPr>
            </w:pPr>
            <w:r w:rsidRPr="003B25DC">
              <w:rPr>
                <w:sz w:val="14"/>
                <w:szCs w:val="14"/>
              </w:rPr>
              <w:t>-16.73%</w:t>
            </w:r>
          </w:p>
        </w:tc>
        <w:tc>
          <w:tcPr>
            <w:tcW w:w="1435" w:type="dxa"/>
            <w:noWrap/>
            <w:vAlign w:val="center"/>
            <w:hideMark/>
          </w:tcPr>
          <w:p w14:paraId="74E7ADD9" w14:textId="77777777" w:rsidR="00D208F0" w:rsidRPr="003B25DC" w:rsidRDefault="00D208F0" w:rsidP="00D208F0">
            <w:pPr>
              <w:spacing w:after="0"/>
              <w:jc w:val="right"/>
              <w:rPr>
                <w:sz w:val="14"/>
                <w:szCs w:val="14"/>
              </w:rPr>
            </w:pPr>
            <w:r w:rsidRPr="003B25DC">
              <w:rPr>
                <w:sz w:val="14"/>
                <w:szCs w:val="14"/>
              </w:rPr>
              <w:t>14.10%</w:t>
            </w:r>
          </w:p>
        </w:tc>
      </w:tr>
      <w:tr w:rsidR="00026C29" w:rsidRPr="003B25DC" w14:paraId="28DEB4F2" w14:textId="77777777" w:rsidTr="0017180C">
        <w:trPr>
          <w:trHeight w:val="300"/>
        </w:trPr>
        <w:tc>
          <w:tcPr>
            <w:tcW w:w="1435" w:type="dxa"/>
            <w:shd w:val="clear" w:color="auto" w:fill="D0CECE" w:themeFill="background2" w:themeFillShade="E6"/>
            <w:noWrap/>
            <w:vAlign w:val="center"/>
            <w:hideMark/>
          </w:tcPr>
          <w:p w14:paraId="201E3D3F" w14:textId="77777777" w:rsidR="00D208F0" w:rsidRPr="003B25DC" w:rsidRDefault="00D208F0" w:rsidP="00D208F0">
            <w:pPr>
              <w:spacing w:after="0"/>
              <w:rPr>
                <w:b/>
                <w:sz w:val="14"/>
                <w:szCs w:val="14"/>
              </w:rPr>
            </w:pPr>
            <w:r w:rsidRPr="003B25DC">
              <w:rPr>
                <w:b/>
                <w:sz w:val="14"/>
                <w:szCs w:val="14"/>
              </w:rPr>
              <w:t>Consumer Non-Cyclicals</w:t>
            </w:r>
          </w:p>
        </w:tc>
        <w:tc>
          <w:tcPr>
            <w:tcW w:w="1350" w:type="dxa"/>
            <w:vAlign w:val="bottom"/>
          </w:tcPr>
          <w:p w14:paraId="4AE9676D" w14:textId="0B349166" w:rsidR="00D208F0" w:rsidRPr="00026C29" w:rsidRDefault="00D208F0" w:rsidP="00D208F0">
            <w:pPr>
              <w:spacing w:after="0"/>
              <w:jc w:val="right"/>
              <w:rPr>
                <w:sz w:val="16"/>
                <w:szCs w:val="16"/>
              </w:rPr>
            </w:pPr>
            <w:r w:rsidRPr="00026C29">
              <w:rPr>
                <w:rFonts w:cs="Calibri"/>
                <w:color w:val="000000"/>
                <w:sz w:val="16"/>
                <w:szCs w:val="16"/>
              </w:rPr>
              <w:t>1.05x</w:t>
            </w:r>
          </w:p>
        </w:tc>
        <w:tc>
          <w:tcPr>
            <w:tcW w:w="1260" w:type="dxa"/>
            <w:vAlign w:val="bottom"/>
          </w:tcPr>
          <w:p w14:paraId="2C1E134E" w14:textId="7ABAA508" w:rsidR="00D208F0" w:rsidRPr="00026C29" w:rsidRDefault="00D208F0" w:rsidP="00D208F0">
            <w:pPr>
              <w:spacing w:after="0"/>
              <w:jc w:val="right"/>
              <w:rPr>
                <w:sz w:val="16"/>
                <w:szCs w:val="16"/>
              </w:rPr>
            </w:pPr>
            <w:r w:rsidRPr="00026C29">
              <w:rPr>
                <w:rFonts w:cs="Calibri"/>
                <w:color w:val="000000"/>
                <w:sz w:val="16"/>
                <w:szCs w:val="16"/>
              </w:rPr>
              <w:t>0.94x</w:t>
            </w:r>
          </w:p>
        </w:tc>
        <w:tc>
          <w:tcPr>
            <w:tcW w:w="1260" w:type="dxa"/>
            <w:vAlign w:val="bottom"/>
          </w:tcPr>
          <w:p w14:paraId="4251222B" w14:textId="655A1FD6" w:rsidR="00D208F0" w:rsidRPr="00026C29" w:rsidRDefault="00D208F0" w:rsidP="00D208F0">
            <w:pPr>
              <w:spacing w:after="0"/>
              <w:jc w:val="right"/>
              <w:rPr>
                <w:sz w:val="16"/>
                <w:szCs w:val="16"/>
              </w:rPr>
            </w:pPr>
            <w:r w:rsidRPr="00026C29">
              <w:rPr>
                <w:rFonts w:cs="Calibri"/>
                <w:color w:val="000000"/>
                <w:sz w:val="16"/>
                <w:szCs w:val="16"/>
              </w:rPr>
              <w:t>0.39x</w:t>
            </w:r>
          </w:p>
        </w:tc>
        <w:tc>
          <w:tcPr>
            <w:tcW w:w="1260" w:type="dxa"/>
            <w:vAlign w:val="bottom"/>
          </w:tcPr>
          <w:p w14:paraId="0928C04F" w14:textId="4D843F5D" w:rsidR="00D208F0" w:rsidRPr="00026C29" w:rsidRDefault="00D208F0" w:rsidP="00D208F0">
            <w:pPr>
              <w:spacing w:after="0"/>
              <w:jc w:val="right"/>
              <w:rPr>
                <w:sz w:val="16"/>
                <w:szCs w:val="16"/>
              </w:rPr>
            </w:pPr>
            <w:r w:rsidRPr="00026C29">
              <w:rPr>
                <w:rFonts w:cs="Calibri"/>
                <w:color w:val="000000"/>
                <w:sz w:val="16"/>
                <w:szCs w:val="16"/>
              </w:rPr>
              <w:t>0.39x</w:t>
            </w:r>
          </w:p>
        </w:tc>
        <w:tc>
          <w:tcPr>
            <w:tcW w:w="1350" w:type="dxa"/>
            <w:noWrap/>
            <w:vAlign w:val="center"/>
            <w:hideMark/>
          </w:tcPr>
          <w:p w14:paraId="43207047" w14:textId="3D0BCF9E" w:rsidR="00D208F0" w:rsidRPr="003B25DC" w:rsidRDefault="00D208F0" w:rsidP="00D208F0">
            <w:pPr>
              <w:spacing w:after="0"/>
              <w:jc w:val="right"/>
              <w:rPr>
                <w:sz w:val="14"/>
                <w:szCs w:val="14"/>
              </w:rPr>
            </w:pPr>
            <w:r w:rsidRPr="003B25DC">
              <w:rPr>
                <w:sz w:val="14"/>
                <w:szCs w:val="14"/>
              </w:rPr>
              <w:t>-10.47%</w:t>
            </w:r>
          </w:p>
        </w:tc>
        <w:tc>
          <w:tcPr>
            <w:tcW w:w="1435" w:type="dxa"/>
            <w:noWrap/>
            <w:vAlign w:val="center"/>
            <w:hideMark/>
          </w:tcPr>
          <w:p w14:paraId="4E803E31" w14:textId="77777777" w:rsidR="00D208F0" w:rsidRPr="003B25DC" w:rsidRDefault="00D208F0" w:rsidP="00D208F0">
            <w:pPr>
              <w:spacing w:after="0"/>
              <w:jc w:val="right"/>
              <w:rPr>
                <w:sz w:val="14"/>
                <w:szCs w:val="14"/>
              </w:rPr>
            </w:pPr>
            <w:r w:rsidRPr="003B25DC">
              <w:rPr>
                <w:sz w:val="14"/>
                <w:szCs w:val="14"/>
              </w:rPr>
              <w:t>0.41%</w:t>
            </w:r>
          </w:p>
        </w:tc>
      </w:tr>
      <w:tr w:rsidR="00026C29" w:rsidRPr="003B25DC" w14:paraId="51ED054F" w14:textId="77777777" w:rsidTr="0017180C">
        <w:trPr>
          <w:trHeight w:val="300"/>
        </w:trPr>
        <w:tc>
          <w:tcPr>
            <w:tcW w:w="1435" w:type="dxa"/>
            <w:shd w:val="clear" w:color="auto" w:fill="D0CECE" w:themeFill="background2" w:themeFillShade="E6"/>
            <w:noWrap/>
            <w:vAlign w:val="center"/>
            <w:hideMark/>
          </w:tcPr>
          <w:p w14:paraId="02D064E9" w14:textId="77777777" w:rsidR="00D208F0" w:rsidRPr="003B25DC" w:rsidRDefault="00D208F0" w:rsidP="00D208F0">
            <w:pPr>
              <w:spacing w:after="0"/>
              <w:rPr>
                <w:b/>
                <w:sz w:val="14"/>
                <w:szCs w:val="14"/>
              </w:rPr>
            </w:pPr>
            <w:r w:rsidRPr="003B25DC">
              <w:rPr>
                <w:b/>
                <w:sz w:val="14"/>
                <w:szCs w:val="14"/>
              </w:rPr>
              <w:t>Consumer Services</w:t>
            </w:r>
          </w:p>
        </w:tc>
        <w:tc>
          <w:tcPr>
            <w:tcW w:w="1350" w:type="dxa"/>
            <w:vAlign w:val="bottom"/>
          </w:tcPr>
          <w:p w14:paraId="475D1112" w14:textId="657FBED4" w:rsidR="00D208F0" w:rsidRPr="00026C29" w:rsidRDefault="00D208F0" w:rsidP="00D208F0">
            <w:pPr>
              <w:spacing w:after="0"/>
              <w:jc w:val="right"/>
              <w:rPr>
                <w:sz w:val="16"/>
                <w:szCs w:val="16"/>
              </w:rPr>
            </w:pPr>
            <w:r w:rsidRPr="00026C29">
              <w:rPr>
                <w:rFonts w:cs="Calibri"/>
                <w:color w:val="000000"/>
                <w:sz w:val="16"/>
                <w:szCs w:val="16"/>
              </w:rPr>
              <w:t>1.33x</w:t>
            </w:r>
          </w:p>
        </w:tc>
        <w:tc>
          <w:tcPr>
            <w:tcW w:w="1260" w:type="dxa"/>
            <w:vAlign w:val="bottom"/>
          </w:tcPr>
          <w:p w14:paraId="187D26CB" w14:textId="70C8C85E" w:rsidR="00D208F0" w:rsidRPr="00026C29" w:rsidRDefault="00D208F0" w:rsidP="00D208F0">
            <w:pPr>
              <w:spacing w:after="0"/>
              <w:jc w:val="right"/>
              <w:rPr>
                <w:sz w:val="16"/>
                <w:szCs w:val="16"/>
              </w:rPr>
            </w:pPr>
            <w:r w:rsidRPr="00026C29">
              <w:rPr>
                <w:rFonts w:cs="Calibri"/>
                <w:color w:val="000000"/>
                <w:sz w:val="16"/>
                <w:szCs w:val="16"/>
              </w:rPr>
              <w:t>1.52x</w:t>
            </w:r>
          </w:p>
        </w:tc>
        <w:tc>
          <w:tcPr>
            <w:tcW w:w="1260" w:type="dxa"/>
            <w:vAlign w:val="bottom"/>
          </w:tcPr>
          <w:p w14:paraId="220B08D2" w14:textId="61BBB9EE" w:rsidR="00D208F0" w:rsidRPr="00026C29" w:rsidRDefault="00D208F0" w:rsidP="00D208F0">
            <w:pPr>
              <w:spacing w:after="0"/>
              <w:jc w:val="right"/>
              <w:rPr>
                <w:sz w:val="16"/>
                <w:szCs w:val="16"/>
              </w:rPr>
            </w:pPr>
            <w:r w:rsidRPr="00026C29">
              <w:rPr>
                <w:rFonts w:cs="Calibri"/>
                <w:color w:val="000000"/>
                <w:sz w:val="16"/>
                <w:szCs w:val="16"/>
              </w:rPr>
              <w:t>8.31x</w:t>
            </w:r>
          </w:p>
        </w:tc>
        <w:tc>
          <w:tcPr>
            <w:tcW w:w="1260" w:type="dxa"/>
            <w:vAlign w:val="bottom"/>
          </w:tcPr>
          <w:p w14:paraId="211850EA" w14:textId="79D8BBFF" w:rsidR="00D208F0" w:rsidRPr="00026C29" w:rsidRDefault="00D208F0" w:rsidP="00D208F0">
            <w:pPr>
              <w:spacing w:after="0"/>
              <w:jc w:val="right"/>
              <w:rPr>
                <w:sz w:val="16"/>
                <w:szCs w:val="16"/>
              </w:rPr>
            </w:pPr>
            <w:r w:rsidRPr="00026C29">
              <w:rPr>
                <w:rFonts w:cs="Calibri"/>
                <w:color w:val="000000"/>
                <w:sz w:val="16"/>
                <w:szCs w:val="16"/>
              </w:rPr>
              <w:t>2.77x</w:t>
            </w:r>
          </w:p>
        </w:tc>
        <w:tc>
          <w:tcPr>
            <w:tcW w:w="1350" w:type="dxa"/>
            <w:noWrap/>
            <w:vAlign w:val="center"/>
            <w:hideMark/>
          </w:tcPr>
          <w:p w14:paraId="0FBBEC94" w14:textId="7B665D5A" w:rsidR="00D208F0" w:rsidRPr="003B25DC" w:rsidRDefault="00D208F0" w:rsidP="00D208F0">
            <w:pPr>
              <w:spacing w:after="0"/>
              <w:jc w:val="right"/>
              <w:rPr>
                <w:sz w:val="14"/>
                <w:szCs w:val="14"/>
              </w:rPr>
            </w:pPr>
            <w:r w:rsidRPr="003B25DC">
              <w:rPr>
                <w:sz w:val="14"/>
                <w:szCs w:val="14"/>
              </w:rPr>
              <w:t>14.04%</w:t>
            </w:r>
          </w:p>
        </w:tc>
        <w:tc>
          <w:tcPr>
            <w:tcW w:w="1435" w:type="dxa"/>
            <w:noWrap/>
            <w:vAlign w:val="center"/>
            <w:hideMark/>
          </w:tcPr>
          <w:p w14:paraId="376FAA82" w14:textId="77777777" w:rsidR="00D208F0" w:rsidRPr="003B25DC" w:rsidRDefault="00D208F0" w:rsidP="00D208F0">
            <w:pPr>
              <w:spacing w:after="0"/>
              <w:jc w:val="right"/>
              <w:rPr>
                <w:sz w:val="14"/>
                <w:szCs w:val="14"/>
              </w:rPr>
            </w:pPr>
            <w:r w:rsidRPr="003B25DC">
              <w:rPr>
                <w:sz w:val="14"/>
                <w:szCs w:val="14"/>
              </w:rPr>
              <w:t>-66.70%</w:t>
            </w:r>
          </w:p>
        </w:tc>
      </w:tr>
      <w:tr w:rsidR="00026C29" w:rsidRPr="003B25DC" w14:paraId="46E49820" w14:textId="77777777" w:rsidTr="0017180C">
        <w:trPr>
          <w:trHeight w:val="300"/>
        </w:trPr>
        <w:tc>
          <w:tcPr>
            <w:tcW w:w="1435" w:type="dxa"/>
            <w:shd w:val="clear" w:color="auto" w:fill="D0CECE" w:themeFill="background2" w:themeFillShade="E6"/>
            <w:noWrap/>
            <w:vAlign w:val="center"/>
            <w:hideMark/>
          </w:tcPr>
          <w:p w14:paraId="0CF17780" w14:textId="77777777" w:rsidR="00D208F0" w:rsidRPr="003B25DC" w:rsidRDefault="00D208F0" w:rsidP="00D208F0">
            <w:pPr>
              <w:spacing w:after="0"/>
              <w:rPr>
                <w:b/>
                <w:sz w:val="14"/>
                <w:szCs w:val="14"/>
              </w:rPr>
            </w:pPr>
            <w:r w:rsidRPr="003B25DC">
              <w:rPr>
                <w:b/>
                <w:sz w:val="14"/>
                <w:szCs w:val="14"/>
              </w:rPr>
              <w:t>Finance</w:t>
            </w:r>
          </w:p>
        </w:tc>
        <w:tc>
          <w:tcPr>
            <w:tcW w:w="1350" w:type="dxa"/>
            <w:vAlign w:val="bottom"/>
          </w:tcPr>
          <w:p w14:paraId="2D05BA72" w14:textId="0AB10BFE" w:rsidR="00D208F0" w:rsidRPr="00026C29" w:rsidRDefault="00D208F0" w:rsidP="00D208F0">
            <w:pPr>
              <w:spacing w:after="0"/>
              <w:jc w:val="right"/>
              <w:rPr>
                <w:sz w:val="16"/>
                <w:szCs w:val="16"/>
              </w:rPr>
            </w:pPr>
            <w:r w:rsidRPr="00026C29">
              <w:rPr>
                <w:rFonts w:cs="Calibri"/>
                <w:color w:val="000000"/>
                <w:sz w:val="16"/>
                <w:szCs w:val="16"/>
              </w:rPr>
              <w:t>2.96x</w:t>
            </w:r>
          </w:p>
        </w:tc>
        <w:tc>
          <w:tcPr>
            <w:tcW w:w="1260" w:type="dxa"/>
            <w:vAlign w:val="bottom"/>
          </w:tcPr>
          <w:p w14:paraId="5D9B67FC" w14:textId="4525C78B" w:rsidR="00D208F0" w:rsidRPr="00026C29" w:rsidRDefault="00D208F0" w:rsidP="00D208F0">
            <w:pPr>
              <w:spacing w:after="0"/>
              <w:jc w:val="right"/>
              <w:rPr>
                <w:sz w:val="16"/>
                <w:szCs w:val="16"/>
              </w:rPr>
            </w:pPr>
            <w:r w:rsidRPr="00026C29">
              <w:rPr>
                <w:rFonts w:cs="Calibri"/>
                <w:color w:val="000000"/>
                <w:sz w:val="16"/>
                <w:szCs w:val="16"/>
              </w:rPr>
              <w:t>1.88x</w:t>
            </w:r>
          </w:p>
        </w:tc>
        <w:tc>
          <w:tcPr>
            <w:tcW w:w="1260" w:type="dxa"/>
            <w:vAlign w:val="bottom"/>
          </w:tcPr>
          <w:p w14:paraId="62064268" w14:textId="55650925" w:rsidR="00D208F0" w:rsidRPr="00026C29" w:rsidRDefault="00D208F0" w:rsidP="00D208F0">
            <w:pPr>
              <w:spacing w:after="0"/>
              <w:jc w:val="right"/>
              <w:rPr>
                <w:sz w:val="16"/>
                <w:szCs w:val="16"/>
              </w:rPr>
            </w:pPr>
            <w:r w:rsidRPr="00026C29">
              <w:rPr>
                <w:rFonts w:cs="Calibri"/>
                <w:color w:val="000000"/>
                <w:sz w:val="16"/>
                <w:szCs w:val="16"/>
              </w:rPr>
              <w:t>4.12x</w:t>
            </w:r>
          </w:p>
        </w:tc>
        <w:tc>
          <w:tcPr>
            <w:tcW w:w="1260" w:type="dxa"/>
            <w:vAlign w:val="bottom"/>
          </w:tcPr>
          <w:p w14:paraId="348CCA21" w14:textId="201CAEA1" w:rsidR="00D208F0" w:rsidRPr="00026C29" w:rsidRDefault="00D208F0" w:rsidP="00D208F0">
            <w:pPr>
              <w:spacing w:after="0"/>
              <w:jc w:val="right"/>
              <w:rPr>
                <w:sz w:val="16"/>
                <w:szCs w:val="16"/>
              </w:rPr>
            </w:pPr>
            <w:r w:rsidRPr="00026C29">
              <w:rPr>
                <w:rFonts w:cs="Calibri"/>
                <w:color w:val="000000"/>
                <w:sz w:val="16"/>
                <w:szCs w:val="16"/>
              </w:rPr>
              <w:t>1.21x</w:t>
            </w:r>
          </w:p>
        </w:tc>
        <w:tc>
          <w:tcPr>
            <w:tcW w:w="1350" w:type="dxa"/>
            <w:noWrap/>
            <w:vAlign w:val="center"/>
            <w:hideMark/>
          </w:tcPr>
          <w:p w14:paraId="26822E23" w14:textId="3CE4E75E" w:rsidR="00D208F0" w:rsidRPr="003B25DC" w:rsidRDefault="00D208F0" w:rsidP="00D208F0">
            <w:pPr>
              <w:spacing w:after="0"/>
              <w:jc w:val="right"/>
              <w:rPr>
                <w:sz w:val="14"/>
                <w:szCs w:val="14"/>
              </w:rPr>
            </w:pPr>
            <w:r w:rsidRPr="003B25DC">
              <w:rPr>
                <w:sz w:val="14"/>
                <w:szCs w:val="14"/>
              </w:rPr>
              <w:t>-36.42%</w:t>
            </w:r>
          </w:p>
        </w:tc>
        <w:tc>
          <w:tcPr>
            <w:tcW w:w="1435" w:type="dxa"/>
            <w:noWrap/>
            <w:vAlign w:val="center"/>
            <w:hideMark/>
          </w:tcPr>
          <w:p w14:paraId="6B30B6E0" w14:textId="77777777" w:rsidR="00D208F0" w:rsidRPr="003B25DC" w:rsidRDefault="00D208F0" w:rsidP="00D208F0">
            <w:pPr>
              <w:spacing w:after="0"/>
              <w:jc w:val="right"/>
              <w:rPr>
                <w:sz w:val="14"/>
                <w:szCs w:val="14"/>
              </w:rPr>
            </w:pPr>
            <w:r w:rsidRPr="003B25DC">
              <w:rPr>
                <w:sz w:val="14"/>
                <w:szCs w:val="14"/>
              </w:rPr>
              <w:t>-70.60%</w:t>
            </w:r>
          </w:p>
        </w:tc>
      </w:tr>
      <w:tr w:rsidR="00026C29" w:rsidRPr="003B25DC" w14:paraId="0C1D8070" w14:textId="77777777" w:rsidTr="0017180C">
        <w:trPr>
          <w:trHeight w:val="300"/>
        </w:trPr>
        <w:tc>
          <w:tcPr>
            <w:tcW w:w="1435" w:type="dxa"/>
            <w:shd w:val="clear" w:color="auto" w:fill="D0CECE" w:themeFill="background2" w:themeFillShade="E6"/>
            <w:noWrap/>
            <w:vAlign w:val="center"/>
            <w:hideMark/>
          </w:tcPr>
          <w:p w14:paraId="4AACDB11" w14:textId="77777777" w:rsidR="00D208F0" w:rsidRPr="003B25DC" w:rsidRDefault="00D208F0" w:rsidP="00D208F0">
            <w:pPr>
              <w:spacing w:after="0"/>
              <w:rPr>
                <w:b/>
                <w:sz w:val="14"/>
                <w:szCs w:val="14"/>
              </w:rPr>
            </w:pPr>
            <w:r w:rsidRPr="003B25DC">
              <w:rPr>
                <w:b/>
                <w:sz w:val="14"/>
                <w:szCs w:val="14"/>
              </w:rPr>
              <w:t>Healthcare</w:t>
            </w:r>
          </w:p>
        </w:tc>
        <w:tc>
          <w:tcPr>
            <w:tcW w:w="1350" w:type="dxa"/>
            <w:vAlign w:val="bottom"/>
          </w:tcPr>
          <w:p w14:paraId="3B67A428" w14:textId="07641655" w:rsidR="00D208F0" w:rsidRPr="00026C29" w:rsidRDefault="00D208F0" w:rsidP="00D208F0">
            <w:pPr>
              <w:spacing w:after="0"/>
              <w:jc w:val="right"/>
              <w:rPr>
                <w:sz w:val="16"/>
                <w:szCs w:val="16"/>
              </w:rPr>
            </w:pPr>
            <w:r w:rsidRPr="00026C29">
              <w:rPr>
                <w:rFonts w:cs="Calibri"/>
                <w:color w:val="000000"/>
                <w:sz w:val="16"/>
                <w:szCs w:val="16"/>
              </w:rPr>
              <w:t>2.38x</w:t>
            </w:r>
          </w:p>
        </w:tc>
        <w:tc>
          <w:tcPr>
            <w:tcW w:w="1260" w:type="dxa"/>
            <w:vAlign w:val="bottom"/>
          </w:tcPr>
          <w:p w14:paraId="147C5CE3" w14:textId="25B96511" w:rsidR="00D208F0" w:rsidRPr="00026C29" w:rsidRDefault="00D208F0" w:rsidP="00D208F0">
            <w:pPr>
              <w:spacing w:after="0"/>
              <w:jc w:val="right"/>
              <w:rPr>
                <w:sz w:val="16"/>
                <w:szCs w:val="16"/>
              </w:rPr>
            </w:pPr>
            <w:r w:rsidRPr="00026C29">
              <w:rPr>
                <w:rFonts w:cs="Calibri"/>
                <w:color w:val="000000"/>
                <w:sz w:val="16"/>
                <w:szCs w:val="16"/>
              </w:rPr>
              <w:t>2.07x</w:t>
            </w:r>
          </w:p>
        </w:tc>
        <w:tc>
          <w:tcPr>
            <w:tcW w:w="1260" w:type="dxa"/>
            <w:vAlign w:val="bottom"/>
          </w:tcPr>
          <w:p w14:paraId="017CC017" w14:textId="5466FAC4" w:rsidR="00D208F0" w:rsidRPr="00026C29" w:rsidRDefault="00D208F0" w:rsidP="00D208F0">
            <w:pPr>
              <w:spacing w:after="0"/>
              <w:jc w:val="right"/>
              <w:rPr>
                <w:sz w:val="16"/>
                <w:szCs w:val="16"/>
              </w:rPr>
            </w:pPr>
            <w:r w:rsidRPr="00026C29">
              <w:rPr>
                <w:rFonts w:cs="Calibri"/>
                <w:color w:val="000000"/>
                <w:sz w:val="16"/>
                <w:szCs w:val="16"/>
              </w:rPr>
              <w:t>14.81x</w:t>
            </w:r>
          </w:p>
        </w:tc>
        <w:tc>
          <w:tcPr>
            <w:tcW w:w="1260" w:type="dxa"/>
            <w:vAlign w:val="bottom"/>
          </w:tcPr>
          <w:p w14:paraId="7DF9351E" w14:textId="0DAF16E2" w:rsidR="00D208F0" w:rsidRPr="00026C29" w:rsidRDefault="00D208F0" w:rsidP="00D208F0">
            <w:pPr>
              <w:spacing w:after="0"/>
              <w:jc w:val="right"/>
              <w:rPr>
                <w:sz w:val="16"/>
                <w:szCs w:val="16"/>
              </w:rPr>
            </w:pPr>
            <w:r w:rsidRPr="00026C29">
              <w:rPr>
                <w:rFonts w:cs="Calibri"/>
                <w:color w:val="000000"/>
                <w:sz w:val="16"/>
                <w:szCs w:val="16"/>
              </w:rPr>
              <w:t>4.20x</w:t>
            </w:r>
          </w:p>
        </w:tc>
        <w:tc>
          <w:tcPr>
            <w:tcW w:w="1350" w:type="dxa"/>
            <w:noWrap/>
            <w:vAlign w:val="center"/>
            <w:hideMark/>
          </w:tcPr>
          <w:p w14:paraId="645CF40A" w14:textId="18332AAF" w:rsidR="00D208F0" w:rsidRPr="003B25DC" w:rsidRDefault="00D208F0" w:rsidP="00D208F0">
            <w:pPr>
              <w:spacing w:after="0"/>
              <w:jc w:val="right"/>
              <w:rPr>
                <w:sz w:val="14"/>
                <w:szCs w:val="14"/>
              </w:rPr>
            </w:pPr>
            <w:r w:rsidRPr="003B25DC">
              <w:rPr>
                <w:sz w:val="14"/>
                <w:szCs w:val="14"/>
              </w:rPr>
              <w:t>-12.81%</w:t>
            </w:r>
          </w:p>
        </w:tc>
        <w:tc>
          <w:tcPr>
            <w:tcW w:w="1435" w:type="dxa"/>
            <w:noWrap/>
            <w:vAlign w:val="center"/>
            <w:hideMark/>
          </w:tcPr>
          <w:p w14:paraId="5D0B0DCE" w14:textId="77777777" w:rsidR="00D208F0" w:rsidRPr="003B25DC" w:rsidRDefault="00D208F0" w:rsidP="00D208F0">
            <w:pPr>
              <w:spacing w:after="0"/>
              <w:jc w:val="right"/>
              <w:rPr>
                <w:sz w:val="14"/>
                <w:szCs w:val="14"/>
              </w:rPr>
            </w:pPr>
            <w:r w:rsidRPr="003B25DC">
              <w:rPr>
                <w:sz w:val="14"/>
                <w:szCs w:val="14"/>
              </w:rPr>
              <w:t>-71.63%</w:t>
            </w:r>
          </w:p>
        </w:tc>
      </w:tr>
      <w:tr w:rsidR="00026C29" w:rsidRPr="003B25DC" w14:paraId="3B0073A1" w14:textId="77777777" w:rsidTr="0017180C">
        <w:trPr>
          <w:trHeight w:val="300"/>
        </w:trPr>
        <w:tc>
          <w:tcPr>
            <w:tcW w:w="1435" w:type="dxa"/>
            <w:shd w:val="clear" w:color="auto" w:fill="D0CECE" w:themeFill="background2" w:themeFillShade="E6"/>
            <w:noWrap/>
            <w:vAlign w:val="center"/>
            <w:hideMark/>
          </w:tcPr>
          <w:p w14:paraId="62D5120A" w14:textId="77777777" w:rsidR="00D208F0" w:rsidRPr="003B25DC" w:rsidRDefault="00D208F0" w:rsidP="00D208F0">
            <w:pPr>
              <w:spacing w:after="0"/>
              <w:rPr>
                <w:b/>
                <w:sz w:val="14"/>
                <w:szCs w:val="14"/>
              </w:rPr>
            </w:pPr>
            <w:r w:rsidRPr="003B25DC">
              <w:rPr>
                <w:b/>
                <w:sz w:val="14"/>
                <w:szCs w:val="14"/>
              </w:rPr>
              <w:t>Industrials</w:t>
            </w:r>
          </w:p>
        </w:tc>
        <w:tc>
          <w:tcPr>
            <w:tcW w:w="1350" w:type="dxa"/>
            <w:vAlign w:val="bottom"/>
          </w:tcPr>
          <w:p w14:paraId="3DFC3246" w14:textId="110DA23D" w:rsidR="00D208F0" w:rsidRPr="00026C29" w:rsidRDefault="00D208F0" w:rsidP="00D208F0">
            <w:pPr>
              <w:spacing w:after="0"/>
              <w:jc w:val="right"/>
              <w:rPr>
                <w:sz w:val="16"/>
                <w:szCs w:val="16"/>
              </w:rPr>
            </w:pPr>
            <w:r w:rsidRPr="00026C29">
              <w:rPr>
                <w:rFonts w:cs="Calibri"/>
                <w:color w:val="000000"/>
                <w:sz w:val="16"/>
                <w:szCs w:val="16"/>
              </w:rPr>
              <w:t>1.01x</w:t>
            </w:r>
          </w:p>
        </w:tc>
        <w:tc>
          <w:tcPr>
            <w:tcW w:w="1260" w:type="dxa"/>
            <w:vAlign w:val="bottom"/>
          </w:tcPr>
          <w:p w14:paraId="76422AEF" w14:textId="5315B23C" w:rsidR="00D208F0" w:rsidRPr="00026C29" w:rsidRDefault="00D208F0" w:rsidP="00D208F0">
            <w:pPr>
              <w:spacing w:after="0"/>
              <w:jc w:val="right"/>
              <w:rPr>
                <w:sz w:val="16"/>
                <w:szCs w:val="16"/>
              </w:rPr>
            </w:pPr>
            <w:r w:rsidRPr="00026C29">
              <w:rPr>
                <w:rFonts w:cs="Calibri"/>
                <w:color w:val="000000"/>
                <w:sz w:val="16"/>
                <w:szCs w:val="16"/>
              </w:rPr>
              <w:t>1.06x</w:t>
            </w:r>
          </w:p>
        </w:tc>
        <w:tc>
          <w:tcPr>
            <w:tcW w:w="1260" w:type="dxa"/>
            <w:vAlign w:val="bottom"/>
          </w:tcPr>
          <w:p w14:paraId="5C7F93ED" w14:textId="02638ADB" w:rsidR="00D208F0" w:rsidRPr="00026C29" w:rsidRDefault="00D208F0" w:rsidP="00D208F0">
            <w:pPr>
              <w:spacing w:after="0"/>
              <w:jc w:val="right"/>
              <w:rPr>
                <w:sz w:val="16"/>
                <w:szCs w:val="16"/>
              </w:rPr>
            </w:pPr>
            <w:r w:rsidRPr="00026C29">
              <w:rPr>
                <w:rFonts w:cs="Calibri"/>
                <w:color w:val="000000"/>
                <w:sz w:val="16"/>
                <w:szCs w:val="16"/>
              </w:rPr>
              <w:t>2.02x</w:t>
            </w:r>
          </w:p>
        </w:tc>
        <w:tc>
          <w:tcPr>
            <w:tcW w:w="1260" w:type="dxa"/>
            <w:vAlign w:val="bottom"/>
          </w:tcPr>
          <w:p w14:paraId="7631984C" w14:textId="3FD2ABFB" w:rsidR="00D208F0" w:rsidRPr="00026C29" w:rsidRDefault="00D208F0" w:rsidP="00D208F0">
            <w:pPr>
              <w:spacing w:after="0"/>
              <w:jc w:val="right"/>
              <w:rPr>
                <w:sz w:val="16"/>
                <w:szCs w:val="16"/>
              </w:rPr>
            </w:pPr>
            <w:r w:rsidRPr="00026C29">
              <w:rPr>
                <w:rFonts w:cs="Calibri"/>
                <w:color w:val="000000"/>
                <w:sz w:val="16"/>
                <w:szCs w:val="16"/>
              </w:rPr>
              <w:t>1.22x</w:t>
            </w:r>
          </w:p>
        </w:tc>
        <w:tc>
          <w:tcPr>
            <w:tcW w:w="1350" w:type="dxa"/>
            <w:noWrap/>
            <w:vAlign w:val="center"/>
            <w:hideMark/>
          </w:tcPr>
          <w:p w14:paraId="2322032B" w14:textId="5C77ACEB" w:rsidR="00D208F0" w:rsidRPr="003B25DC" w:rsidRDefault="00D208F0" w:rsidP="00D208F0">
            <w:pPr>
              <w:spacing w:after="0"/>
              <w:jc w:val="right"/>
              <w:rPr>
                <w:sz w:val="14"/>
                <w:szCs w:val="14"/>
              </w:rPr>
            </w:pPr>
            <w:r w:rsidRPr="003B25DC">
              <w:rPr>
                <w:sz w:val="14"/>
                <w:szCs w:val="14"/>
              </w:rPr>
              <w:t>4.39%</w:t>
            </w:r>
          </w:p>
        </w:tc>
        <w:tc>
          <w:tcPr>
            <w:tcW w:w="1435" w:type="dxa"/>
            <w:noWrap/>
            <w:vAlign w:val="center"/>
            <w:hideMark/>
          </w:tcPr>
          <w:p w14:paraId="6AE053EC" w14:textId="77777777" w:rsidR="00D208F0" w:rsidRPr="003B25DC" w:rsidRDefault="00D208F0" w:rsidP="00D208F0">
            <w:pPr>
              <w:spacing w:after="0"/>
              <w:jc w:val="right"/>
              <w:rPr>
                <w:sz w:val="14"/>
                <w:szCs w:val="14"/>
              </w:rPr>
            </w:pPr>
            <w:r w:rsidRPr="003B25DC">
              <w:rPr>
                <w:sz w:val="14"/>
                <w:szCs w:val="14"/>
              </w:rPr>
              <w:t>-39.62%</w:t>
            </w:r>
          </w:p>
        </w:tc>
      </w:tr>
      <w:tr w:rsidR="00026C29" w:rsidRPr="003B25DC" w14:paraId="1C1B1066" w14:textId="77777777" w:rsidTr="0017180C">
        <w:trPr>
          <w:trHeight w:val="300"/>
        </w:trPr>
        <w:tc>
          <w:tcPr>
            <w:tcW w:w="1435" w:type="dxa"/>
            <w:shd w:val="clear" w:color="auto" w:fill="D0CECE" w:themeFill="background2" w:themeFillShade="E6"/>
            <w:noWrap/>
            <w:vAlign w:val="center"/>
            <w:hideMark/>
          </w:tcPr>
          <w:p w14:paraId="1B60BABC" w14:textId="77777777" w:rsidR="00D208F0" w:rsidRPr="003B25DC" w:rsidRDefault="00D208F0" w:rsidP="00D208F0">
            <w:pPr>
              <w:spacing w:after="0"/>
              <w:rPr>
                <w:b/>
                <w:sz w:val="14"/>
                <w:szCs w:val="14"/>
              </w:rPr>
            </w:pPr>
            <w:r w:rsidRPr="003B25DC">
              <w:rPr>
                <w:b/>
                <w:sz w:val="14"/>
                <w:szCs w:val="14"/>
              </w:rPr>
              <w:t>Non-Energy Materials</w:t>
            </w:r>
          </w:p>
        </w:tc>
        <w:tc>
          <w:tcPr>
            <w:tcW w:w="1350" w:type="dxa"/>
            <w:vAlign w:val="bottom"/>
          </w:tcPr>
          <w:p w14:paraId="1512729A" w14:textId="101C8D69" w:rsidR="00D208F0" w:rsidRPr="00026C29" w:rsidRDefault="00D208F0" w:rsidP="00D208F0">
            <w:pPr>
              <w:spacing w:after="0"/>
              <w:jc w:val="right"/>
              <w:rPr>
                <w:sz w:val="16"/>
                <w:szCs w:val="16"/>
              </w:rPr>
            </w:pPr>
            <w:r w:rsidRPr="00026C29">
              <w:rPr>
                <w:rFonts w:cs="Calibri"/>
                <w:color w:val="000000"/>
                <w:sz w:val="16"/>
                <w:szCs w:val="16"/>
              </w:rPr>
              <w:t>1.28x</w:t>
            </w:r>
          </w:p>
        </w:tc>
        <w:tc>
          <w:tcPr>
            <w:tcW w:w="1260" w:type="dxa"/>
            <w:vAlign w:val="bottom"/>
          </w:tcPr>
          <w:p w14:paraId="3FDF692B" w14:textId="3269BBBA" w:rsidR="00D208F0" w:rsidRPr="00026C29" w:rsidRDefault="00D208F0" w:rsidP="00D208F0">
            <w:pPr>
              <w:spacing w:after="0"/>
              <w:jc w:val="right"/>
              <w:rPr>
                <w:sz w:val="16"/>
                <w:szCs w:val="16"/>
              </w:rPr>
            </w:pPr>
            <w:r w:rsidRPr="00026C29">
              <w:rPr>
                <w:rFonts w:cs="Calibri"/>
                <w:color w:val="000000"/>
                <w:sz w:val="16"/>
                <w:szCs w:val="16"/>
              </w:rPr>
              <w:t>1.10x</w:t>
            </w:r>
          </w:p>
        </w:tc>
        <w:tc>
          <w:tcPr>
            <w:tcW w:w="1260" w:type="dxa"/>
            <w:vAlign w:val="bottom"/>
          </w:tcPr>
          <w:p w14:paraId="29A4A5E8" w14:textId="1D53AC75" w:rsidR="00D208F0" w:rsidRPr="00026C29" w:rsidRDefault="00D208F0" w:rsidP="00D208F0">
            <w:pPr>
              <w:spacing w:after="0"/>
              <w:jc w:val="right"/>
              <w:rPr>
                <w:sz w:val="16"/>
                <w:szCs w:val="16"/>
              </w:rPr>
            </w:pPr>
            <w:r w:rsidRPr="00026C29">
              <w:rPr>
                <w:rFonts w:cs="Calibri"/>
                <w:color w:val="000000"/>
                <w:sz w:val="16"/>
                <w:szCs w:val="16"/>
              </w:rPr>
              <w:t>0.86x</w:t>
            </w:r>
          </w:p>
        </w:tc>
        <w:tc>
          <w:tcPr>
            <w:tcW w:w="1260" w:type="dxa"/>
            <w:vAlign w:val="bottom"/>
          </w:tcPr>
          <w:p w14:paraId="61FC823D" w14:textId="2E0BCED6" w:rsidR="00D208F0" w:rsidRPr="00026C29" w:rsidRDefault="00D208F0" w:rsidP="00D208F0">
            <w:pPr>
              <w:spacing w:after="0"/>
              <w:jc w:val="right"/>
              <w:rPr>
                <w:sz w:val="16"/>
                <w:szCs w:val="16"/>
              </w:rPr>
            </w:pPr>
            <w:r w:rsidRPr="00026C29">
              <w:rPr>
                <w:rFonts w:cs="Calibri"/>
                <w:color w:val="000000"/>
                <w:sz w:val="16"/>
                <w:szCs w:val="16"/>
              </w:rPr>
              <w:t>1.97x</w:t>
            </w:r>
          </w:p>
        </w:tc>
        <w:tc>
          <w:tcPr>
            <w:tcW w:w="1350" w:type="dxa"/>
            <w:noWrap/>
            <w:vAlign w:val="center"/>
            <w:hideMark/>
          </w:tcPr>
          <w:p w14:paraId="68E89091" w14:textId="67AC8F26" w:rsidR="00D208F0" w:rsidRPr="003B25DC" w:rsidRDefault="00D208F0" w:rsidP="00D208F0">
            <w:pPr>
              <w:spacing w:after="0"/>
              <w:jc w:val="right"/>
              <w:rPr>
                <w:sz w:val="14"/>
                <w:szCs w:val="14"/>
              </w:rPr>
            </w:pPr>
            <w:r w:rsidRPr="003B25DC">
              <w:rPr>
                <w:sz w:val="14"/>
                <w:szCs w:val="14"/>
              </w:rPr>
              <w:t>-13.74%</w:t>
            </w:r>
          </w:p>
        </w:tc>
        <w:tc>
          <w:tcPr>
            <w:tcW w:w="1435" w:type="dxa"/>
            <w:noWrap/>
            <w:vAlign w:val="center"/>
            <w:hideMark/>
          </w:tcPr>
          <w:p w14:paraId="3CFEF573" w14:textId="77777777" w:rsidR="00D208F0" w:rsidRPr="003B25DC" w:rsidRDefault="00D208F0" w:rsidP="00D208F0">
            <w:pPr>
              <w:spacing w:after="0"/>
              <w:jc w:val="right"/>
              <w:rPr>
                <w:sz w:val="14"/>
                <w:szCs w:val="14"/>
              </w:rPr>
            </w:pPr>
            <w:r w:rsidRPr="003B25DC">
              <w:rPr>
                <w:sz w:val="14"/>
                <w:szCs w:val="14"/>
              </w:rPr>
              <w:t>127.63%</w:t>
            </w:r>
          </w:p>
        </w:tc>
      </w:tr>
      <w:tr w:rsidR="00026C29" w:rsidRPr="003B25DC" w14:paraId="45258410" w14:textId="77777777" w:rsidTr="0017180C">
        <w:trPr>
          <w:trHeight w:val="300"/>
        </w:trPr>
        <w:tc>
          <w:tcPr>
            <w:tcW w:w="1435" w:type="dxa"/>
            <w:shd w:val="clear" w:color="auto" w:fill="D0CECE" w:themeFill="background2" w:themeFillShade="E6"/>
            <w:noWrap/>
            <w:vAlign w:val="center"/>
            <w:hideMark/>
          </w:tcPr>
          <w:p w14:paraId="5550E7CE" w14:textId="77777777" w:rsidR="00D208F0" w:rsidRPr="003B25DC" w:rsidRDefault="00D208F0" w:rsidP="00D208F0">
            <w:pPr>
              <w:spacing w:after="0"/>
              <w:rPr>
                <w:b/>
                <w:sz w:val="14"/>
                <w:szCs w:val="14"/>
              </w:rPr>
            </w:pPr>
            <w:r w:rsidRPr="003B25DC">
              <w:rPr>
                <w:b/>
                <w:sz w:val="14"/>
                <w:szCs w:val="14"/>
              </w:rPr>
              <w:t>Technology</w:t>
            </w:r>
          </w:p>
        </w:tc>
        <w:tc>
          <w:tcPr>
            <w:tcW w:w="1350" w:type="dxa"/>
            <w:vAlign w:val="bottom"/>
          </w:tcPr>
          <w:p w14:paraId="7ED007F4" w14:textId="160AA26A" w:rsidR="00D208F0" w:rsidRPr="00026C29" w:rsidRDefault="00D208F0" w:rsidP="00D208F0">
            <w:pPr>
              <w:spacing w:after="0"/>
              <w:jc w:val="right"/>
              <w:rPr>
                <w:sz w:val="16"/>
                <w:szCs w:val="16"/>
              </w:rPr>
            </w:pPr>
            <w:r w:rsidRPr="00026C29">
              <w:rPr>
                <w:rFonts w:cs="Calibri"/>
                <w:color w:val="000000"/>
                <w:sz w:val="16"/>
                <w:szCs w:val="16"/>
              </w:rPr>
              <w:t>2.74x</w:t>
            </w:r>
          </w:p>
        </w:tc>
        <w:tc>
          <w:tcPr>
            <w:tcW w:w="1260" w:type="dxa"/>
            <w:vAlign w:val="bottom"/>
          </w:tcPr>
          <w:p w14:paraId="3D64C2B4" w14:textId="3105789A" w:rsidR="00D208F0" w:rsidRPr="00026C29" w:rsidRDefault="00D208F0" w:rsidP="00D208F0">
            <w:pPr>
              <w:spacing w:after="0"/>
              <w:jc w:val="right"/>
              <w:rPr>
                <w:sz w:val="16"/>
                <w:szCs w:val="16"/>
              </w:rPr>
            </w:pPr>
            <w:r w:rsidRPr="00026C29">
              <w:rPr>
                <w:rFonts w:cs="Calibri"/>
                <w:color w:val="000000"/>
                <w:sz w:val="16"/>
                <w:szCs w:val="16"/>
              </w:rPr>
              <w:t>1.71x</w:t>
            </w:r>
          </w:p>
        </w:tc>
        <w:tc>
          <w:tcPr>
            <w:tcW w:w="1260" w:type="dxa"/>
            <w:vAlign w:val="bottom"/>
          </w:tcPr>
          <w:p w14:paraId="66223E5D" w14:textId="39F07959" w:rsidR="00D208F0" w:rsidRPr="00026C29" w:rsidRDefault="00D208F0" w:rsidP="00D208F0">
            <w:pPr>
              <w:spacing w:after="0"/>
              <w:jc w:val="right"/>
              <w:rPr>
                <w:sz w:val="16"/>
                <w:szCs w:val="16"/>
              </w:rPr>
            </w:pPr>
            <w:r w:rsidRPr="00026C29">
              <w:rPr>
                <w:rFonts w:cs="Calibri"/>
                <w:color w:val="000000"/>
                <w:sz w:val="16"/>
                <w:szCs w:val="16"/>
              </w:rPr>
              <w:t>8.49x</w:t>
            </w:r>
          </w:p>
        </w:tc>
        <w:tc>
          <w:tcPr>
            <w:tcW w:w="1260" w:type="dxa"/>
            <w:vAlign w:val="bottom"/>
          </w:tcPr>
          <w:p w14:paraId="11E2A82E" w14:textId="596C1729" w:rsidR="00D208F0" w:rsidRPr="00026C29" w:rsidRDefault="00D208F0" w:rsidP="00D208F0">
            <w:pPr>
              <w:spacing w:after="0"/>
              <w:jc w:val="right"/>
              <w:rPr>
                <w:sz w:val="16"/>
                <w:szCs w:val="16"/>
              </w:rPr>
            </w:pPr>
            <w:r w:rsidRPr="00026C29">
              <w:rPr>
                <w:rFonts w:cs="Calibri"/>
                <w:color w:val="000000"/>
                <w:sz w:val="16"/>
                <w:szCs w:val="16"/>
              </w:rPr>
              <w:t>1.26x</w:t>
            </w:r>
          </w:p>
        </w:tc>
        <w:tc>
          <w:tcPr>
            <w:tcW w:w="1350" w:type="dxa"/>
            <w:noWrap/>
            <w:vAlign w:val="center"/>
            <w:hideMark/>
          </w:tcPr>
          <w:p w14:paraId="1BD9A002" w14:textId="2F1D4B68" w:rsidR="00D208F0" w:rsidRPr="003B25DC" w:rsidRDefault="00D208F0" w:rsidP="00D208F0">
            <w:pPr>
              <w:spacing w:after="0"/>
              <w:jc w:val="right"/>
              <w:rPr>
                <w:sz w:val="14"/>
                <w:szCs w:val="14"/>
              </w:rPr>
            </w:pPr>
            <w:r w:rsidRPr="003B25DC">
              <w:rPr>
                <w:sz w:val="14"/>
                <w:szCs w:val="14"/>
              </w:rPr>
              <w:t>-37.57%</w:t>
            </w:r>
          </w:p>
        </w:tc>
        <w:tc>
          <w:tcPr>
            <w:tcW w:w="1435" w:type="dxa"/>
            <w:noWrap/>
            <w:vAlign w:val="center"/>
            <w:hideMark/>
          </w:tcPr>
          <w:p w14:paraId="06DC1BDC" w14:textId="77777777" w:rsidR="00D208F0" w:rsidRPr="003B25DC" w:rsidRDefault="00D208F0" w:rsidP="00D208F0">
            <w:pPr>
              <w:spacing w:after="0"/>
              <w:jc w:val="right"/>
              <w:rPr>
                <w:sz w:val="14"/>
                <w:szCs w:val="14"/>
              </w:rPr>
            </w:pPr>
            <w:r w:rsidRPr="003B25DC">
              <w:rPr>
                <w:sz w:val="14"/>
                <w:szCs w:val="14"/>
              </w:rPr>
              <w:t>-85.13%</w:t>
            </w:r>
          </w:p>
        </w:tc>
      </w:tr>
      <w:tr w:rsidR="00026C29" w:rsidRPr="003B25DC" w14:paraId="0EF8CC93" w14:textId="77777777" w:rsidTr="0017180C">
        <w:trPr>
          <w:trHeight w:val="300"/>
        </w:trPr>
        <w:tc>
          <w:tcPr>
            <w:tcW w:w="1435" w:type="dxa"/>
            <w:shd w:val="clear" w:color="auto" w:fill="D0CECE" w:themeFill="background2" w:themeFillShade="E6"/>
            <w:noWrap/>
            <w:vAlign w:val="center"/>
            <w:hideMark/>
          </w:tcPr>
          <w:p w14:paraId="4B483C0B" w14:textId="0E0647D5" w:rsidR="00D208F0" w:rsidRPr="003B25DC" w:rsidRDefault="00D208F0" w:rsidP="00D208F0">
            <w:pPr>
              <w:spacing w:after="0"/>
              <w:rPr>
                <w:b/>
                <w:sz w:val="14"/>
                <w:szCs w:val="14"/>
              </w:rPr>
            </w:pPr>
            <w:r w:rsidRPr="003B25DC">
              <w:rPr>
                <w:b/>
                <w:sz w:val="14"/>
                <w:szCs w:val="14"/>
              </w:rPr>
              <w:t>Telecom</w:t>
            </w:r>
          </w:p>
        </w:tc>
        <w:tc>
          <w:tcPr>
            <w:tcW w:w="1350" w:type="dxa"/>
            <w:vAlign w:val="bottom"/>
          </w:tcPr>
          <w:p w14:paraId="3753FC1D" w14:textId="22C152D8" w:rsidR="00D208F0" w:rsidRPr="00026C29" w:rsidRDefault="00D208F0" w:rsidP="00D208F0">
            <w:pPr>
              <w:spacing w:after="0"/>
              <w:jc w:val="right"/>
              <w:rPr>
                <w:sz w:val="16"/>
                <w:szCs w:val="16"/>
              </w:rPr>
            </w:pPr>
            <w:r w:rsidRPr="00026C29">
              <w:rPr>
                <w:rFonts w:cs="Calibri"/>
                <w:color w:val="000000"/>
                <w:sz w:val="16"/>
                <w:szCs w:val="16"/>
              </w:rPr>
              <w:t>3.15x</w:t>
            </w:r>
          </w:p>
        </w:tc>
        <w:tc>
          <w:tcPr>
            <w:tcW w:w="1260" w:type="dxa"/>
            <w:vAlign w:val="bottom"/>
          </w:tcPr>
          <w:p w14:paraId="34500379" w14:textId="6D93DEDD" w:rsidR="00D208F0" w:rsidRPr="00026C29" w:rsidRDefault="00D208F0" w:rsidP="00D208F0">
            <w:pPr>
              <w:spacing w:after="0"/>
              <w:jc w:val="right"/>
              <w:rPr>
                <w:sz w:val="16"/>
                <w:szCs w:val="16"/>
              </w:rPr>
            </w:pPr>
            <w:r w:rsidRPr="00026C29">
              <w:rPr>
                <w:rFonts w:cs="Calibri"/>
                <w:color w:val="000000"/>
                <w:sz w:val="16"/>
                <w:szCs w:val="16"/>
              </w:rPr>
              <w:t>1.70x</w:t>
            </w:r>
          </w:p>
        </w:tc>
        <w:tc>
          <w:tcPr>
            <w:tcW w:w="1260" w:type="dxa"/>
            <w:vAlign w:val="bottom"/>
          </w:tcPr>
          <w:p w14:paraId="2DE4BF2C" w14:textId="5CD9BF8A" w:rsidR="00D208F0" w:rsidRPr="00026C29" w:rsidRDefault="00D208F0" w:rsidP="00D208F0">
            <w:pPr>
              <w:spacing w:after="0"/>
              <w:jc w:val="right"/>
              <w:rPr>
                <w:sz w:val="16"/>
                <w:szCs w:val="16"/>
              </w:rPr>
            </w:pPr>
            <w:r w:rsidRPr="00026C29">
              <w:rPr>
                <w:rFonts w:cs="Calibri"/>
                <w:color w:val="000000"/>
                <w:sz w:val="16"/>
                <w:szCs w:val="16"/>
              </w:rPr>
              <w:t>7.64x</w:t>
            </w:r>
          </w:p>
        </w:tc>
        <w:tc>
          <w:tcPr>
            <w:tcW w:w="1260" w:type="dxa"/>
            <w:vAlign w:val="bottom"/>
          </w:tcPr>
          <w:p w14:paraId="13B4781F" w14:textId="289609B2" w:rsidR="00D208F0" w:rsidRPr="00026C29" w:rsidRDefault="00D208F0" w:rsidP="00D208F0">
            <w:pPr>
              <w:spacing w:after="0"/>
              <w:jc w:val="right"/>
              <w:rPr>
                <w:sz w:val="16"/>
                <w:szCs w:val="16"/>
              </w:rPr>
            </w:pPr>
            <w:r w:rsidRPr="00026C29">
              <w:rPr>
                <w:rFonts w:cs="Calibri"/>
                <w:color w:val="000000"/>
                <w:sz w:val="16"/>
                <w:szCs w:val="16"/>
              </w:rPr>
              <w:t>1.25x</w:t>
            </w:r>
          </w:p>
        </w:tc>
        <w:tc>
          <w:tcPr>
            <w:tcW w:w="1350" w:type="dxa"/>
            <w:noWrap/>
            <w:vAlign w:val="center"/>
            <w:hideMark/>
          </w:tcPr>
          <w:p w14:paraId="2D3450DB" w14:textId="3F5AA68E" w:rsidR="00D208F0" w:rsidRPr="003B25DC" w:rsidRDefault="00D208F0" w:rsidP="00D208F0">
            <w:pPr>
              <w:spacing w:after="0"/>
              <w:jc w:val="right"/>
              <w:rPr>
                <w:sz w:val="14"/>
                <w:szCs w:val="14"/>
              </w:rPr>
            </w:pPr>
            <w:r w:rsidRPr="003B25DC">
              <w:rPr>
                <w:sz w:val="14"/>
                <w:szCs w:val="14"/>
              </w:rPr>
              <w:t>-46.06%</w:t>
            </w:r>
          </w:p>
        </w:tc>
        <w:tc>
          <w:tcPr>
            <w:tcW w:w="1435" w:type="dxa"/>
            <w:noWrap/>
            <w:vAlign w:val="center"/>
            <w:hideMark/>
          </w:tcPr>
          <w:p w14:paraId="4B0EB9C0" w14:textId="77777777" w:rsidR="00D208F0" w:rsidRPr="003B25DC" w:rsidRDefault="00D208F0" w:rsidP="00D208F0">
            <w:pPr>
              <w:spacing w:after="0"/>
              <w:jc w:val="right"/>
              <w:rPr>
                <w:sz w:val="14"/>
                <w:szCs w:val="14"/>
              </w:rPr>
            </w:pPr>
            <w:r w:rsidRPr="003B25DC">
              <w:rPr>
                <w:sz w:val="14"/>
                <w:szCs w:val="14"/>
              </w:rPr>
              <w:t>-83.61%</w:t>
            </w:r>
          </w:p>
        </w:tc>
      </w:tr>
      <w:tr w:rsidR="00026C29" w:rsidRPr="003B25DC" w14:paraId="382E5A3C" w14:textId="77777777" w:rsidTr="0017180C">
        <w:trPr>
          <w:trHeight w:val="300"/>
        </w:trPr>
        <w:tc>
          <w:tcPr>
            <w:tcW w:w="1435" w:type="dxa"/>
            <w:shd w:val="clear" w:color="auto" w:fill="D0CECE" w:themeFill="background2" w:themeFillShade="E6"/>
            <w:noWrap/>
            <w:vAlign w:val="center"/>
            <w:hideMark/>
          </w:tcPr>
          <w:p w14:paraId="79CCE45D" w14:textId="77777777" w:rsidR="00D208F0" w:rsidRPr="003B25DC" w:rsidRDefault="00D208F0" w:rsidP="00D208F0">
            <w:pPr>
              <w:spacing w:after="0"/>
              <w:rPr>
                <w:b/>
                <w:sz w:val="14"/>
                <w:szCs w:val="14"/>
                <w:u w:val="single"/>
              </w:rPr>
            </w:pPr>
            <w:r w:rsidRPr="003B25DC">
              <w:rPr>
                <w:b/>
                <w:sz w:val="14"/>
                <w:szCs w:val="14"/>
                <w:u w:val="single"/>
              </w:rPr>
              <w:t>Average</w:t>
            </w:r>
          </w:p>
        </w:tc>
        <w:tc>
          <w:tcPr>
            <w:tcW w:w="1350" w:type="dxa"/>
            <w:vAlign w:val="bottom"/>
          </w:tcPr>
          <w:p w14:paraId="716A7593" w14:textId="1EFEAF1C" w:rsidR="00D208F0" w:rsidRPr="00026C29" w:rsidRDefault="00D208F0" w:rsidP="00D208F0">
            <w:pPr>
              <w:spacing w:after="0"/>
              <w:jc w:val="right"/>
              <w:rPr>
                <w:sz w:val="16"/>
                <w:szCs w:val="16"/>
              </w:rPr>
            </w:pPr>
            <w:r w:rsidRPr="00026C29">
              <w:rPr>
                <w:rFonts w:cs="Calibri"/>
                <w:color w:val="000000"/>
                <w:sz w:val="16"/>
                <w:szCs w:val="16"/>
              </w:rPr>
              <w:t>3.14x</w:t>
            </w:r>
          </w:p>
        </w:tc>
        <w:tc>
          <w:tcPr>
            <w:tcW w:w="1260" w:type="dxa"/>
            <w:vAlign w:val="bottom"/>
          </w:tcPr>
          <w:p w14:paraId="6F030170" w14:textId="2B90768D" w:rsidR="00D208F0" w:rsidRPr="00026C29" w:rsidRDefault="00D208F0" w:rsidP="00D208F0">
            <w:pPr>
              <w:spacing w:after="0"/>
              <w:jc w:val="right"/>
              <w:rPr>
                <w:sz w:val="16"/>
                <w:szCs w:val="16"/>
              </w:rPr>
            </w:pPr>
            <w:r w:rsidRPr="00026C29">
              <w:rPr>
                <w:rFonts w:cs="Calibri"/>
                <w:color w:val="000000"/>
                <w:sz w:val="16"/>
                <w:szCs w:val="16"/>
              </w:rPr>
              <w:t>1.35x</w:t>
            </w:r>
          </w:p>
        </w:tc>
        <w:tc>
          <w:tcPr>
            <w:tcW w:w="1260" w:type="dxa"/>
            <w:vAlign w:val="bottom"/>
          </w:tcPr>
          <w:p w14:paraId="39A8ED7D" w14:textId="6020CD99" w:rsidR="00D208F0" w:rsidRPr="00026C29" w:rsidRDefault="00D208F0" w:rsidP="00D208F0">
            <w:pPr>
              <w:spacing w:after="0"/>
              <w:jc w:val="right"/>
              <w:rPr>
                <w:sz w:val="16"/>
                <w:szCs w:val="16"/>
              </w:rPr>
            </w:pPr>
            <w:r w:rsidRPr="00026C29">
              <w:rPr>
                <w:rFonts w:cs="Calibri"/>
                <w:color w:val="000000"/>
                <w:sz w:val="16"/>
                <w:szCs w:val="16"/>
              </w:rPr>
              <w:t>2.89x</w:t>
            </w:r>
          </w:p>
        </w:tc>
        <w:tc>
          <w:tcPr>
            <w:tcW w:w="1260" w:type="dxa"/>
            <w:vAlign w:val="bottom"/>
          </w:tcPr>
          <w:p w14:paraId="3FFE7DC6" w14:textId="657C4045" w:rsidR="00D208F0" w:rsidRPr="00026C29" w:rsidRDefault="00D208F0" w:rsidP="00D208F0">
            <w:pPr>
              <w:spacing w:after="0"/>
              <w:jc w:val="right"/>
              <w:rPr>
                <w:sz w:val="16"/>
                <w:szCs w:val="16"/>
              </w:rPr>
            </w:pPr>
            <w:r w:rsidRPr="00026C29">
              <w:rPr>
                <w:rFonts w:cs="Calibri"/>
                <w:color w:val="000000"/>
                <w:sz w:val="16"/>
                <w:szCs w:val="16"/>
              </w:rPr>
              <w:t>0.85x</w:t>
            </w:r>
          </w:p>
        </w:tc>
        <w:tc>
          <w:tcPr>
            <w:tcW w:w="1350" w:type="dxa"/>
            <w:noWrap/>
            <w:vAlign w:val="center"/>
            <w:hideMark/>
          </w:tcPr>
          <w:p w14:paraId="4461B022" w14:textId="0D70EB45" w:rsidR="00D208F0" w:rsidRPr="003B25DC" w:rsidRDefault="00D208F0" w:rsidP="00D208F0">
            <w:pPr>
              <w:spacing w:after="0"/>
              <w:jc w:val="right"/>
              <w:rPr>
                <w:sz w:val="14"/>
                <w:szCs w:val="14"/>
              </w:rPr>
            </w:pPr>
            <w:r w:rsidRPr="003B25DC">
              <w:rPr>
                <w:sz w:val="14"/>
                <w:szCs w:val="14"/>
              </w:rPr>
              <w:t>-21.24%</w:t>
            </w:r>
          </w:p>
        </w:tc>
        <w:tc>
          <w:tcPr>
            <w:tcW w:w="1435" w:type="dxa"/>
            <w:noWrap/>
            <w:vAlign w:val="center"/>
            <w:hideMark/>
          </w:tcPr>
          <w:p w14:paraId="72AED500" w14:textId="77777777" w:rsidR="00D208F0" w:rsidRPr="003B25DC" w:rsidRDefault="00D208F0" w:rsidP="00D208F0">
            <w:pPr>
              <w:spacing w:after="0"/>
              <w:jc w:val="right"/>
              <w:rPr>
                <w:sz w:val="14"/>
                <w:szCs w:val="14"/>
              </w:rPr>
            </w:pPr>
            <w:r w:rsidRPr="003B25DC">
              <w:rPr>
                <w:sz w:val="14"/>
                <w:szCs w:val="14"/>
              </w:rPr>
              <w:t>-34.57%</w:t>
            </w:r>
          </w:p>
        </w:tc>
      </w:tr>
    </w:tbl>
    <w:p w14:paraId="060D287E" w14:textId="751A07C5" w:rsidR="00972F1E" w:rsidRDefault="00C6651D" w:rsidP="00972F1E">
      <w:pPr>
        <w:pStyle w:val="Heading1"/>
      </w:pPr>
      <w:bookmarkStart w:id="24" w:name="_Toc90181484"/>
      <w:r>
        <w:t>Conclusion</w:t>
      </w:r>
      <w:bookmarkStart w:id="25" w:name="_Ref47980644"/>
      <w:bookmarkEnd w:id="24"/>
    </w:p>
    <w:bookmarkEnd w:id="25"/>
    <w:p w14:paraId="02A90B87" w14:textId="1C55DB67" w:rsidR="00CA4784" w:rsidRDefault="00487F0A" w:rsidP="00CA4784">
      <w:r>
        <w:t xml:space="preserve">Ultimately, </w:t>
      </w:r>
      <w:r w:rsidR="00277779">
        <w:t xml:space="preserve">the results show that </w:t>
      </w:r>
      <w:r w:rsidR="00E85EE6">
        <w:t xml:space="preserve">across the majority of industries, unprofitability was treated with a higher valuation in the period leading up to the March 2000 peak, rather than afterwards. </w:t>
      </w:r>
      <w:r w:rsidR="006C0D76">
        <w:t xml:space="preserve">Thus, perhaps it is not the case that we treat current tech companies with overvaluations and that this was a tendency even in the past with significantly higher valuations. Another possible conclusion is that companies like Tesla and Uber that may have significant overvaluation due to their relative sales may just make tech seem riskier due to the availability heuristic and in reality, tech has become a more stable and well-understood industry than it was before. In addition, the unique adjusted-EBIT used as a profitability measurement metric may have pushed many previously unprofitable companies over the line and due to their significant R&amp;D or Marketing expense, they were valued lower, even though their growth prospects are very high. </w:t>
      </w:r>
      <w:r w:rsidR="004E42D7">
        <w:t>In general, it seems valuation has fallen off across numerous industries as show in the table below:</w:t>
      </w:r>
    </w:p>
    <w:p w14:paraId="4715A9DD" w14:textId="24CEBF15" w:rsidR="006C0D76" w:rsidRPr="00CA4784" w:rsidRDefault="003B25DC" w:rsidP="00CA4784">
      <w:r>
        <w:t>In a future analysis, I would want to screen for even more companies in particular industries and see if the results come out more meaningfully and search across more industries</w:t>
      </w:r>
      <w:r w:rsidR="004E42D7">
        <w:t xml:space="preserve"> with different multiples besides EV/Sales, but overall, the data shows that unprofitable tech companies (an in general profitable and unprofitable companies across all industries) were valued higher in the past than they are now. </w:t>
      </w:r>
    </w:p>
    <w:sectPr w:rsidR="006C0D76" w:rsidRPr="00CA4784" w:rsidSect="005F611D">
      <w:headerReference w:type="default" r:id="rId12"/>
      <w:pgSz w:w="12240" w:h="15840" w:code="1"/>
      <w:pgMar w:top="1008" w:right="1440" w:bottom="720" w:left="1440" w:header="432"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3A466" w16cex:dateUtc="2021-12-15T04:16:00Z"/>
  <w16cex:commentExtensible w16cex:durableId="2563AA1D" w16cex:dateUtc="2021-12-15T04:41:00Z"/>
  <w16cex:commentExtensible w16cex:durableId="2563A980" w16cex:dateUtc="2021-12-15T04:38:00Z"/>
  <w16cex:commentExtensible w16cex:durableId="2563AD12" w16cex:dateUtc="2021-12-15T04:5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8A2CC" w14:textId="77777777" w:rsidR="00305165" w:rsidRDefault="00305165" w:rsidP="00DB23F4">
      <w:pPr>
        <w:spacing w:after="0"/>
      </w:pPr>
      <w:r>
        <w:separator/>
      </w:r>
    </w:p>
  </w:endnote>
  <w:endnote w:type="continuationSeparator" w:id="0">
    <w:p w14:paraId="16B6B4B7" w14:textId="77777777" w:rsidR="00305165" w:rsidRDefault="00305165" w:rsidP="00DB23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panose1 w:val="020B0503020103020203"/>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9919754"/>
      <w:docPartObj>
        <w:docPartGallery w:val="Page Numbers (Bottom of Page)"/>
        <w:docPartUnique/>
      </w:docPartObj>
    </w:sdtPr>
    <w:sdtEndPr>
      <w:rPr>
        <w:noProof/>
      </w:rPr>
    </w:sdtEndPr>
    <w:sdtContent>
      <w:p w14:paraId="215F9F82" w14:textId="77777777" w:rsidR="0086695F" w:rsidRPr="000A6D8C" w:rsidRDefault="0086695F" w:rsidP="000A6D8C">
        <w:pPr>
          <w:pStyle w:val="Footer"/>
          <w:pBdr>
            <w:top w:val="single" w:sz="4" w:space="1" w:color="44546A" w:themeColor="text2"/>
          </w:pBdr>
          <w:jc w:val="center"/>
          <w:rPr>
            <w:sz w:val="12"/>
            <w:szCs w:val="12"/>
          </w:rPr>
        </w:pPr>
      </w:p>
      <w:p w14:paraId="6C770B07" w14:textId="77777777" w:rsidR="0086695F" w:rsidRDefault="0086695F" w:rsidP="001736B2">
        <w:pPr>
          <w:pStyle w:val="Footer"/>
          <w:pBdr>
            <w:top w:val="single" w:sz="4" w:space="1" w:color="44546A" w:themeColor="text2"/>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6E91E" w14:textId="77777777" w:rsidR="00305165" w:rsidRDefault="00305165" w:rsidP="00DB23F4">
      <w:pPr>
        <w:spacing w:after="0"/>
      </w:pPr>
      <w:r>
        <w:separator/>
      </w:r>
    </w:p>
  </w:footnote>
  <w:footnote w:type="continuationSeparator" w:id="0">
    <w:p w14:paraId="37C75B0B" w14:textId="77777777" w:rsidR="00305165" w:rsidRDefault="00305165" w:rsidP="00DB23F4">
      <w:pPr>
        <w:spacing w:after="0"/>
      </w:pPr>
      <w:r>
        <w:continuationSeparator/>
      </w:r>
    </w:p>
  </w:footnote>
  <w:footnote w:id="1">
    <w:p w14:paraId="7E7E90F4" w14:textId="43D03206" w:rsidR="0086695F" w:rsidRDefault="0086695F">
      <w:pPr>
        <w:pStyle w:val="FootnoteText"/>
      </w:pPr>
      <w:r>
        <w:rPr>
          <w:rStyle w:val="FootnoteReference"/>
        </w:rPr>
        <w:footnoteRef/>
      </w:r>
      <w:r w:rsidRPr="00363E08">
        <w:rPr>
          <w:sz w:val="16"/>
          <w:szCs w:val="16"/>
        </w:rPr>
        <w:t>https://www.google.com/url?sa=t&amp;rct=j&amp;q=&amp;esrc=s&amp;source=web&amp;cd=&amp;ved=2ahUKEwi284i07NP0AhVXCs0KHYi3CiAQFnoECBAQAQ&amp;url=https%3A%2F%2Fpeople.stern.nyu.edu%2Fadamodar%2Fpdfiles%2Fpapers%2FR%26D.pdf&amp;usg=AOvVaw2dPUhVRONNbRS7vtB74NPV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4AE53" w14:textId="4844BBDD" w:rsidR="0086695F" w:rsidRDefault="0086695F" w:rsidP="007462FD">
    <w:pPr>
      <w:pStyle w:val="Header"/>
      <w:pBdr>
        <w:bottom w:val="single" w:sz="6" w:space="1" w:color="44546A" w:themeColor="text2"/>
      </w:pBdr>
    </w:pPr>
    <w:r>
      <w:rPr>
        <w:noProof/>
      </w:rPr>
      <w:drawing>
        <wp:anchor distT="0" distB="0" distL="114300" distR="114300" simplePos="0" relativeHeight="251658240" behindDoc="1" locked="0" layoutInCell="1" allowOverlap="1" wp14:anchorId="5F3C6A28" wp14:editId="1D99FAF7">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410510079"/>
        <w:placeholder>
          <w:docPart w:val="9D8C11EF4FF64D20BF4A583FBB347240"/>
        </w:placeholder>
        <w:dataBinding w:prefixMappings="xmlns:ns0='http://purl.org/dc/elements/1.1/' xmlns:ns1='http://schemas.openxmlformats.org/package/2006/metadata/core-properties' " w:xpath="/ns1:coreProperties[1]/ns0:title[1]" w:storeItemID="{6C3C8BC8-F283-45AE-878A-BAB7291924A1}"/>
        <w:text/>
      </w:sdtPr>
      <w:sdtEndPr/>
      <w:sdtContent>
        <w:r>
          <w:t>Technology Valuations Pre and Post-Tech Boom</w:t>
        </w:r>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E063F" w14:textId="7D0E668F" w:rsidR="0086695F" w:rsidRDefault="0086695F" w:rsidP="00D401D6">
    <w:pPr>
      <w:pStyle w:val="Header"/>
      <w:spacing w:after="40"/>
      <w:jc w:val="right"/>
    </w:pPr>
    <w:r>
      <w:rPr>
        <w:noProof/>
      </w:rPr>
      <w:drawing>
        <wp:inline distT="0" distB="0" distL="0" distR="0" wp14:anchorId="2C818140" wp14:editId="0F7BB5D7">
          <wp:extent cx="1760084" cy="410686"/>
          <wp:effectExtent l="0" t="0" r="0" b="8890"/>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higanRossHoriz_MB_RGB.jpg"/>
                  <pic:cNvPicPr/>
                </pic:nvPicPr>
                <pic:blipFill>
                  <a:blip r:embed="rId1">
                    <a:extLst>
                      <a:ext uri="{28A0092B-C50C-407E-A947-70E740481C1C}">
                        <a14:useLocalDpi xmlns:a14="http://schemas.microsoft.com/office/drawing/2010/main" val="0"/>
                      </a:ext>
                    </a:extLst>
                  </a:blip>
                  <a:stretch>
                    <a:fillRect/>
                  </a:stretch>
                </pic:blipFill>
                <pic:spPr>
                  <a:xfrm>
                    <a:off x="0" y="0"/>
                    <a:ext cx="1787527" cy="4170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A71AA" w14:textId="4D80D4F8" w:rsidR="0086695F" w:rsidRDefault="0086695F" w:rsidP="007462FD">
    <w:pPr>
      <w:pStyle w:val="Header"/>
      <w:pBdr>
        <w:bottom w:val="single" w:sz="6" w:space="1" w:color="44546A" w:themeColor="text2"/>
      </w:pBdr>
    </w:pPr>
    <w:r>
      <w:rPr>
        <w:noProof/>
      </w:rPr>
      <w:drawing>
        <wp:anchor distT="0" distB="0" distL="114300" distR="114300" simplePos="0" relativeHeight="251662336" behindDoc="1" locked="0" layoutInCell="1" allowOverlap="1" wp14:anchorId="46F75C07" wp14:editId="1A924725">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466616486"/>
        <w:placeholder>
          <w:docPart w:val="617B481C97754047A78F285E3CD7A6B3"/>
        </w:placeholder>
        <w:dataBinding w:prefixMappings="xmlns:ns0='http://purl.org/dc/elements/1.1/' xmlns:ns1='http://schemas.openxmlformats.org/package/2006/metadata/core-properties' " w:xpath="/ns1:coreProperties[1]/ns0:title[1]" w:storeItemID="{6C3C8BC8-F283-45AE-878A-BAB7291924A1}"/>
        <w:text/>
      </w:sdtPr>
      <w:sdtEndPr/>
      <w:sdtContent>
        <w:r>
          <w:t>Technology Valuations Pre and Post-Tech Boom</w: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21A1F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D4E4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2460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D62C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260D4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AE7D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99AAA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7A78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94E1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2260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317A2"/>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7872D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EA6163B"/>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E523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5F2F2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9743A03"/>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772FD"/>
    <w:multiLevelType w:val="multilevel"/>
    <w:tmpl w:val="3AB2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64EF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C5905A5"/>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8F50FC"/>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6EE08A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7C95B4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85A5CF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1E2D7A"/>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7A512FD"/>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3E3E8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D825D65"/>
    <w:multiLevelType w:val="hybridMultilevel"/>
    <w:tmpl w:val="8A902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535F2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59D5DD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782163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976034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C7E31CD"/>
    <w:multiLevelType w:val="multilevel"/>
    <w:tmpl w:val="BC6CED34"/>
    <w:lvl w:ilvl="0">
      <w:start w:val="1"/>
      <w:numFmt w:val="bullet"/>
      <w:pStyle w:val="ListParagraph"/>
      <w:lvlText w:val="□"/>
      <w:lvlJc w:val="left"/>
      <w:pPr>
        <w:ind w:left="360" w:hanging="360"/>
      </w:pPr>
      <w:rPr>
        <w:rFonts w:ascii="Cambria" w:hAnsi="Cambria" w:hint="default"/>
        <w:color w:val="44546A" w:themeColor="text2"/>
      </w:rPr>
    </w:lvl>
    <w:lvl w:ilvl="1">
      <w:start w:val="1"/>
      <w:numFmt w:val="bullet"/>
      <w:lvlText w:val="●"/>
      <w:lvlJc w:val="left"/>
      <w:pPr>
        <w:ind w:left="720" w:hanging="360"/>
      </w:pPr>
      <w:rPr>
        <w:rFonts w:ascii="Garamond" w:hAnsi="Garamond" w:hint="default"/>
        <w:color w:val="auto"/>
      </w:rPr>
    </w:lvl>
    <w:lvl w:ilvl="2">
      <w:start w:val="1"/>
      <w:numFmt w:val="bullet"/>
      <w:lvlText w:val="−"/>
      <w:lvlJc w:val="left"/>
      <w:pPr>
        <w:ind w:left="1080" w:hanging="360"/>
      </w:pPr>
      <w:rPr>
        <w:rFonts w:ascii="Calibri" w:hAnsi="Calibri"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28"/>
  </w:num>
  <w:num w:numId="3">
    <w:abstractNumId w:val="10"/>
  </w:num>
  <w:num w:numId="4">
    <w:abstractNumId w:val="24"/>
  </w:num>
  <w:num w:numId="5">
    <w:abstractNumId w:val="13"/>
  </w:num>
  <w:num w:numId="6">
    <w:abstractNumId w:val="22"/>
  </w:num>
  <w:num w:numId="7">
    <w:abstractNumId w:val="21"/>
  </w:num>
  <w:num w:numId="8">
    <w:abstractNumId w:val="29"/>
  </w:num>
  <w:num w:numId="9">
    <w:abstractNumId w:val="23"/>
  </w:num>
  <w:num w:numId="10">
    <w:abstractNumId w:val="20"/>
  </w:num>
  <w:num w:numId="11">
    <w:abstractNumId w:val="14"/>
  </w:num>
  <w:num w:numId="12">
    <w:abstractNumId w:val="18"/>
  </w:num>
  <w:num w:numId="13">
    <w:abstractNumId w:val="16"/>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7"/>
  </w:num>
  <w:num w:numId="25">
    <w:abstractNumId w:val="30"/>
  </w:num>
  <w:num w:numId="26">
    <w:abstractNumId w:val="25"/>
  </w:num>
  <w:num w:numId="27">
    <w:abstractNumId w:val="17"/>
  </w:num>
  <w:num w:numId="28">
    <w:abstractNumId w:val="12"/>
  </w:num>
  <w:num w:numId="29">
    <w:abstractNumId w:val="31"/>
  </w:num>
  <w:num w:numId="30">
    <w:abstractNumId w:val="11"/>
  </w:num>
  <w:num w:numId="31">
    <w:abstractNumId w:val="15"/>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5949A1"/>
    <w:rsid w:val="00007638"/>
    <w:rsid w:val="000155EC"/>
    <w:rsid w:val="00026C29"/>
    <w:rsid w:val="00045A72"/>
    <w:rsid w:val="00067A85"/>
    <w:rsid w:val="000A04BE"/>
    <w:rsid w:val="000A6D8C"/>
    <w:rsid w:val="000D6BAF"/>
    <w:rsid w:val="000E122E"/>
    <w:rsid w:val="000E7270"/>
    <w:rsid w:val="000F28EC"/>
    <w:rsid w:val="000F40F9"/>
    <w:rsid w:val="001056F6"/>
    <w:rsid w:val="00111C0E"/>
    <w:rsid w:val="00122C6C"/>
    <w:rsid w:val="00126313"/>
    <w:rsid w:val="00134C9F"/>
    <w:rsid w:val="00137FDE"/>
    <w:rsid w:val="00152A31"/>
    <w:rsid w:val="0015367C"/>
    <w:rsid w:val="00166C2D"/>
    <w:rsid w:val="00166DDC"/>
    <w:rsid w:val="0017180C"/>
    <w:rsid w:val="001736B2"/>
    <w:rsid w:val="001A17F8"/>
    <w:rsid w:val="001A295E"/>
    <w:rsid w:val="001A4779"/>
    <w:rsid w:val="001C19C0"/>
    <w:rsid w:val="001C1ED6"/>
    <w:rsid w:val="001D4C7D"/>
    <w:rsid w:val="001F495D"/>
    <w:rsid w:val="00215F62"/>
    <w:rsid w:val="00216FCB"/>
    <w:rsid w:val="00230A2D"/>
    <w:rsid w:val="0023682D"/>
    <w:rsid w:val="00247C44"/>
    <w:rsid w:val="00270ECE"/>
    <w:rsid w:val="00277779"/>
    <w:rsid w:val="0028334A"/>
    <w:rsid w:val="002A4089"/>
    <w:rsid w:val="002B084A"/>
    <w:rsid w:val="002D60AA"/>
    <w:rsid w:val="002E516E"/>
    <w:rsid w:val="002E580C"/>
    <w:rsid w:val="002F24C1"/>
    <w:rsid w:val="002F2B8E"/>
    <w:rsid w:val="003020EB"/>
    <w:rsid w:val="00305165"/>
    <w:rsid w:val="003076B1"/>
    <w:rsid w:val="00312047"/>
    <w:rsid w:val="00317BEB"/>
    <w:rsid w:val="00321A87"/>
    <w:rsid w:val="0033189C"/>
    <w:rsid w:val="003374AD"/>
    <w:rsid w:val="00341B33"/>
    <w:rsid w:val="0034755B"/>
    <w:rsid w:val="003520C8"/>
    <w:rsid w:val="00357B48"/>
    <w:rsid w:val="00362A53"/>
    <w:rsid w:val="00363E08"/>
    <w:rsid w:val="003B25DC"/>
    <w:rsid w:val="003C49C5"/>
    <w:rsid w:val="003C658B"/>
    <w:rsid w:val="003C7B18"/>
    <w:rsid w:val="003D01DA"/>
    <w:rsid w:val="003D3579"/>
    <w:rsid w:val="003D4620"/>
    <w:rsid w:val="003D64B5"/>
    <w:rsid w:val="003F142D"/>
    <w:rsid w:val="003F199D"/>
    <w:rsid w:val="003F600B"/>
    <w:rsid w:val="00407CD4"/>
    <w:rsid w:val="00415035"/>
    <w:rsid w:val="004305F0"/>
    <w:rsid w:val="0045055B"/>
    <w:rsid w:val="00460114"/>
    <w:rsid w:val="00461A32"/>
    <w:rsid w:val="00465374"/>
    <w:rsid w:val="00467D75"/>
    <w:rsid w:val="00474CD7"/>
    <w:rsid w:val="004774A6"/>
    <w:rsid w:val="00487F0A"/>
    <w:rsid w:val="00497D8F"/>
    <w:rsid w:val="004B6A01"/>
    <w:rsid w:val="004B6B6B"/>
    <w:rsid w:val="004C2BA8"/>
    <w:rsid w:val="004D0180"/>
    <w:rsid w:val="004E4065"/>
    <w:rsid w:val="004E42D7"/>
    <w:rsid w:val="0051609F"/>
    <w:rsid w:val="005256E3"/>
    <w:rsid w:val="00531AD7"/>
    <w:rsid w:val="00532AB9"/>
    <w:rsid w:val="00551BB6"/>
    <w:rsid w:val="00556707"/>
    <w:rsid w:val="005618D5"/>
    <w:rsid w:val="0056213E"/>
    <w:rsid w:val="0056237A"/>
    <w:rsid w:val="00564246"/>
    <w:rsid w:val="005716DA"/>
    <w:rsid w:val="005949A1"/>
    <w:rsid w:val="005A09A8"/>
    <w:rsid w:val="005D5D66"/>
    <w:rsid w:val="005E08CC"/>
    <w:rsid w:val="005E460D"/>
    <w:rsid w:val="005F1D5B"/>
    <w:rsid w:val="005F611D"/>
    <w:rsid w:val="006001B3"/>
    <w:rsid w:val="00604C82"/>
    <w:rsid w:val="006176D5"/>
    <w:rsid w:val="00624CD6"/>
    <w:rsid w:val="00630F00"/>
    <w:rsid w:val="00633547"/>
    <w:rsid w:val="00636EF0"/>
    <w:rsid w:val="00644132"/>
    <w:rsid w:val="006628E2"/>
    <w:rsid w:val="00664ABC"/>
    <w:rsid w:val="00667ADB"/>
    <w:rsid w:val="00673A64"/>
    <w:rsid w:val="00674E9E"/>
    <w:rsid w:val="00677E15"/>
    <w:rsid w:val="006801A0"/>
    <w:rsid w:val="00682BA1"/>
    <w:rsid w:val="0069667F"/>
    <w:rsid w:val="006A4530"/>
    <w:rsid w:val="006B165F"/>
    <w:rsid w:val="006B3D48"/>
    <w:rsid w:val="006C05DF"/>
    <w:rsid w:val="006C0D76"/>
    <w:rsid w:val="006C643C"/>
    <w:rsid w:val="006D6108"/>
    <w:rsid w:val="006E79A7"/>
    <w:rsid w:val="006F0C8A"/>
    <w:rsid w:val="006F33F6"/>
    <w:rsid w:val="006F68A0"/>
    <w:rsid w:val="006F7B84"/>
    <w:rsid w:val="0071414B"/>
    <w:rsid w:val="007154F6"/>
    <w:rsid w:val="00715C61"/>
    <w:rsid w:val="00723E28"/>
    <w:rsid w:val="00724BA3"/>
    <w:rsid w:val="00725E01"/>
    <w:rsid w:val="007462FD"/>
    <w:rsid w:val="00752326"/>
    <w:rsid w:val="0075739C"/>
    <w:rsid w:val="00766BCE"/>
    <w:rsid w:val="00786549"/>
    <w:rsid w:val="00787B33"/>
    <w:rsid w:val="007914BC"/>
    <w:rsid w:val="00794CC5"/>
    <w:rsid w:val="00795F63"/>
    <w:rsid w:val="007A583F"/>
    <w:rsid w:val="007B71AA"/>
    <w:rsid w:val="007C4002"/>
    <w:rsid w:val="007D6801"/>
    <w:rsid w:val="007E2CDB"/>
    <w:rsid w:val="007E3D57"/>
    <w:rsid w:val="007F4F9B"/>
    <w:rsid w:val="00804FA3"/>
    <w:rsid w:val="008116B3"/>
    <w:rsid w:val="00812966"/>
    <w:rsid w:val="00847D38"/>
    <w:rsid w:val="00857061"/>
    <w:rsid w:val="0086695F"/>
    <w:rsid w:val="008726B9"/>
    <w:rsid w:val="00872987"/>
    <w:rsid w:val="0088425E"/>
    <w:rsid w:val="008903B5"/>
    <w:rsid w:val="008A244F"/>
    <w:rsid w:val="008C43C3"/>
    <w:rsid w:val="008D44DD"/>
    <w:rsid w:val="008E2B5B"/>
    <w:rsid w:val="008E7C21"/>
    <w:rsid w:val="008F5BFF"/>
    <w:rsid w:val="00907D9D"/>
    <w:rsid w:val="009319A0"/>
    <w:rsid w:val="00934DA4"/>
    <w:rsid w:val="0094174A"/>
    <w:rsid w:val="009656FF"/>
    <w:rsid w:val="00970AE0"/>
    <w:rsid w:val="00972F1E"/>
    <w:rsid w:val="009768B8"/>
    <w:rsid w:val="00992DFB"/>
    <w:rsid w:val="009C2433"/>
    <w:rsid w:val="009D1890"/>
    <w:rsid w:val="009D2C87"/>
    <w:rsid w:val="009D5848"/>
    <w:rsid w:val="009E5545"/>
    <w:rsid w:val="00A0561F"/>
    <w:rsid w:val="00A05DF9"/>
    <w:rsid w:val="00A121DA"/>
    <w:rsid w:val="00A22ADF"/>
    <w:rsid w:val="00A30EF8"/>
    <w:rsid w:val="00A62FBF"/>
    <w:rsid w:val="00A67506"/>
    <w:rsid w:val="00A67576"/>
    <w:rsid w:val="00A71B2E"/>
    <w:rsid w:val="00A83157"/>
    <w:rsid w:val="00A8349A"/>
    <w:rsid w:val="00A86787"/>
    <w:rsid w:val="00A91A9F"/>
    <w:rsid w:val="00AA155F"/>
    <w:rsid w:val="00AA1AD0"/>
    <w:rsid w:val="00AA2A86"/>
    <w:rsid w:val="00AB72B5"/>
    <w:rsid w:val="00AC0CEA"/>
    <w:rsid w:val="00AC24E1"/>
    <w:rsid w:val="00AC24FF"/>
    <w:rsid w:val="00AD1DF4"/>
    <w:rsid w:val="00AD3B6C"/>
    <w:rsid w:val="00AD794B"/>
    <w:rsid w:val="00AF5BE5"/>
    <w:rsid w:val="00B03C78"/>
    <w:rsid w:val="00B13CBB"/>
    <w:rsid w:val="00B23233"/>
    <w:rsid w:val="00B274B9"/>
    <w:rsid w:val="00B276D1"/>
    <w:rsid w:val="00B565E1"/>
    <w:rsid w:val="00B56700"/>
    <w:rsid w:val="00B64CD2"/>
    <w:rsid w:val="00B74EF4"/>
    <w:rsid w:val="00B7629F"/>
    <w:rsid w:val="00B85B36"/>
    <w:rsid w:val="00B925CE"/>
    <w:rsid w:val="00B97E3B"/>
    <w:rsid w:val="00BB5305"/>
    <w:rsid w:val="00BB7F90"/>
    <w:rsid w:val="00BC0E72"/>
    <w:rsid w:val="00BD0870"/>
    <w:rsid w:val="00BD09F0"/>
    <w:rsid w:val="00BD3AB7"/>
    <w:rsid w:val="00BF03AA"/>
    <w:rsid w:val="00BF371D"/>
    <w:rsid w:val="00BF3FA8"/>
    <w:rsid w:val="00C03AE2"/>
    <w:rsid w:val="00C07B47"/>
    <w:rsid w:val="00C110DA"/>
    <w:rsid w:val="00C14B03"/>
    <w:rsid w:val="00C36A5E"/>
    <w:rsid w:val="00C457F5"/>
    <w:rsid w:val="00C63356"/>
    <w:rsid w:val="00C6380D"/>
    <w:rsid w:val="00C6651D"/>
    <w:rsid w:val="00C7168D"/>
    <w:rsid w:val="00C73637"/>
    <w:rsid w:val="00C75892"/>
    <w:rsid w:val="00C8228D"/>
    <w:rsid w:val="00C90163"/>
    <w:rsid w:val="00CA036E"/>
    <w:rsid w:val="00CA076F"/>
    <w:rsid w:val="00CA299C"/>
    <w:rsid w:val="00CA4784"/>
    <w:rsid w:val="00CA5653"/>
    <w:rsid w:val="00CB2ABA"/>
    <w:rsid w:val="00CB4C0F"/>
    <w:rsid w:val="00CC0B9F"/>
    <w:rsid w:val="00CD5B21"/>
    <w:rsid w:val="00CE0BB5"/>
    <w:rsid w:val="00CE7C19"/>
    <w:rsid w:val="00CF0D31"/>
    <w:rsid w:val="00CF2F16"/>
    <w:rsid w:val="00D077F5"/>
    <w:rsid w:val="00D14ADE"/>
    <w:rsid w:val="00D208F0"/>
    <w:rsid w:val="00D332F4"/>
    <w:rsid w:val="00D33EDD"/>
    <w:rsid w:val="00D401D6"/>
    <w:rsid w:val="00D711AD"/>
    <w:rsid w:val="00D921AE"/>
    <w:rsid w:val="00D953DB"/>
    <w:rsid w:val="00D979A1"/>
    <w:rsid w:val="00DA146A"/>
    <w:rsid w:val="00DA4824"/>
    <w:rsid w:val="00DB01B1"/>
    <w:rsid w:val="00DB23F4"/>
    <w:rsid w:val="00DB64DF"/>
    <w:rsid w:val="00DB7C48"/>
    <w:rsid w:val="00DC4FEF"/>
    <w:rsid w:val="00DD4B60"/>
    <w:rsid w:val="00DD557F"/>
    <w:rsid w:val="00DF2FAB"/>
    <w:rsid w:val="00E03C52"/>
    <w:rsid w:val="00E058E0"/>
    <w:rsid w:val="00E102A8"/>
    <w:rsid w:val="00E36BAB"/>
    <w:rsid w:val="00E45332"/>
    <w:rsid w:val="00E45512"/>
    <w:rsid w:val="00E5025A"/>
    <w:rsid w:val="00E5076B"/>
    <w:rsid w:val="00E5264D"/>
    <w:rsid w:val="00E7140B"/>
    <w:rsid w:val="00E742C9"/>
    <w:rsid w:val="00E746C1"/>
    <w:rsid w:val="00E85EE6"/>
    <w:rsid w:val="00EA0C43"/>
    <w:rsid w:val="00ED7E8A"/>
    <w:rsid w:val="00EE5AA1"/>
    <w:rsid w:val="00EF55C8"/>
    <w:rsid w:val="00F15D69"/>
    <w:rsid w:val="00F22F21"/>
    <w:rsid w:val="00F2563F"/>
    <w:rsid w:val="00F25A7C"/>
    <w:rsid w:val="00F2615F"/>
    <w:rsid w:val="00F34279"/>
    <w:rsid w:val="00F3624A"/>
    <w:rsid w:val="00F44011"/>
    <w:rsid w:val="00F46C2D"/>
    <w:rsid w:val="00F47A85"/>
    <w:rsid w:val="00F702AB"/>
    <w:rsid w:val="00F77566"/>
    <w:rsid w:val="00F97F78"/>
    <w:rsid w:val="00FA0F84"/>
    <w:rsid w:val="00FA1F7B"/>
    <w:rsid w:val="00FA653C"/>
    <w:rsid w:val="00FB33B7"/>
    <w:rsid w:val="00FC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DADC3"/>
  <w15:chartTrackingRefBased/>
  <w15:docId w15:val="{13C80350-4932-4277-8DC6-054DD113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CD2"/>
    <w:pPr>
      <w:spacing w:after="80" w:line="240" w:lineRule="auto"/>
    </w:pPr>
    <w:rPr>
      <w:rFonts w:ascii="News Gothic MT" w:hAnsi="News Gothic MT"/>
    </w:rPr>
  </w:style>
  <w:style w:type="paragraph" w:styleId="Heading1">
    <w:name w:val="heading 1"/>
    <w:basedOn w:val="Normal"/>
    <w:next w:val="Normal"/>
    <w:link w:val="Heading1Char"/>
    <w:uiPriority w:val="9"/>
    <w:qFormat/>
    <w:rsid w:val="00B64CD2"/>
    <w:pPr>
      <w:keepNext/>
      <w:keepLines/>
      <w:spacing w:before="120"/>
      <w:outlineLvl w:val="0"/>
    </w:pPr>
    <w:rPr>
      <w:rFonts w:eastAsiaTheme="majorEastAsia" w:cstheme="majorBidi"/>
      <w:color w:val="001C38" w:themeColor="accent1" w:themeShade="BF"/>
      <w:sz w:val="40"/>
      <w:szCs w:val="40"/>
    </w:rPr>
  </w:style>
  <w:style w:type="paragraph" w:styleId="Heading2">
    <w:name w:val="heading 2"/>
    <w:basedOn w:val="Normal"/>
    <w:next w:val="Normal"/>
    <w:link w:val="Heading2Char"/>
    <w:uiPriority w:val="9"/>
    <w:unhideWhenUsed/>
    <w:qFormat/>
    <w:rsid w:val="00B64CD2"/>
    <w:pPr>
      <w:keepNext/>
      <w:keepLines/>
      <w:spacing w:before="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B64CD2"/>
    <w:pPr>
      <w:keepNext/>
      <w:keepLines/>
      <w:spacing w:before="40"/>
      <w:outlineLvl w:val="2"/>
    </w:pPr>
    <w:rPr>
      <w:rFonts w:eastAsiaTheme="majorEastAsia" w:cstheme="majorBidi"/>
      <w:sz w:val="28"/>
      <w:szCs w:val="32"/>
    </w:rPr>
  </w:style>
  <w:style w:type="paragraph" w:styleId="Heading4">
    <w:name w:val="heading 4"/>
    <w:basedOn w:val="Normal"/>
    <w:next w:val="Normal"/>
    <w:link w:val="Heading4Char"/>
    <w:uiPriority w:val="9"/>
    <w:unhideWhenUsed/>
    <w:qFormat/>
    <w:rsid w:val="005949A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949A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949A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949A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949A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949A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qFormat/>
    <w:rsid w:val="00B74EF4"/>
    <w:pPr>
      <w:spacing w:after="0" w:line="240" w:lineRule="auto"/>
    </w:pPr>
    <w:rPr>
      <w:rFonts w:ascii="News Gothic MT" w:hAnsi="News Gothic MT"/>
      <w:bCs/>
      <w:sz w:val="20"/>
    </w:rPr>
  </w:style>
  <w:style w:type="character" w:customStyle="1" w:styleId="Heading1Char">
    <w:name w:val="Heading 1 Char"/>
    <w:basedOn w:val="DefaultParagraphFont"/>
    <w:link w:val="Heading1"/>
    <w:uiPriority w:val="9"/>
    <w:rsid w:val="00B64CD2"/>
    <w:rPr>
      <w:rFonts w:ascii="News Gothic MT" w:eastAsiaTheme="majorEastAsia" w:hAnsi="News Gothic MT" w:cstheme="majorBidi"/>
      <w:color w:val="001C38" w:themeColor="accent1" w:themeShade="BF"/>
      <w:sz w:val="40"/>
      <w:szCs w:val="40"/>
    </w:rPr>
  </w:style>
  <w:style w:type="character" w:customStyle="1" w:styleId="Heading2Char">
    <w:name w:val="Heading 2 Char"/>
    <w:basedOn w:val="DefaultParagraphFont"/>
    <w:link w:val="Heading2"/>
    <w:uiPriority w:val="9"/>
    <w:rsid w:val="00B64CD2"/>
    <w:rPr>
      <w:rFonts w:ascii="News Gothic MT" w:eastAsiaTheme="majorEastAsia" w:hAnsi="News Gothic MT" w:cstheme="majorBidi"/>
      <w:sz w:val="32"/>
      <w:szCs w:val="32"/>
    </w:rPr>
  </w:style>
  <w:style w:type="character" w:customStyle="1" w:styleId="Heading3Char">
    <w:name w:val="Heading 3 Char"/>
    <w:basedOn w:val="DefaultParagraphFont"/>
    <w:link w:val="Heading3"/>
    <w:uiPriority w:val="9"/>
    <w:rsid w:val="00B64CD2"/>
    <w:rPr>
      <w:rFonts w:ascii="News Gothic MT" w:eastAsiaTheme="majorEastAsia" w:hAnsi="News Gothic MT" w:cstheme="majorBidi"/>
      <w:sz w:val="28"/>
      <w:szCs w:val="32"/>
    </w:rPr>
  </w:style>
  <w:style w:type="character" w:customStyle="1" w:styleId="Heading4Char">
    <w:name w:val="Heading 4 Char"/>
    <w:basedOn w:val="DefaultParagraphFont"/>
    <w:link w:val="Heading4"/>
    <w:uiPriority w:val="9"/>
    <w:rsid w:val="005949A1"/>
    <w:rPr>
      <w:rFonts w:asciiTheme="majorHAnsi" w:eastAsiaTheme="majorEastAsia" w:hAnsiTheme="majorHAnsi" w:cstheme="majorBidi"/>
      <w:i/>
      <w:iCs/>
      <w:sz w:val="30"/>
      <w:szCs w:val="30"/>
    </w:rPr>
  </w:style>
  <w:style w:type="paragraph" w:styleId="Caption">
    <w:name w:val="caption"/>
    <w:basedOn w:val="Normal"/>
    <w:next w:val="Normal"/>
    <w:uiPriority w:val="35"/>
    <w:unhideWhenUsed/>
    <w:qFormat/>
    <w:rsid w:val="001056F6"/>
    <w:pPr>
      <w:keepNext/>
      <w:jc w:val="center"/>
    </w:pPr>
    <w:rPr>
      <w:b/>
      <w:bCs/>
      <w:color w:val="404040" w:themeColor="text1" w:themeTint="BF"/>
      <w:sz w:val="20"/>
      <w:szCs w:val="16"/>
    </w:rPr>
  </w:style>
  <w:style w:type="paragraph" w:styleId="Title">
    <w:name w:val="Title"/>
    <w:basedOn w:val="Normal"/>
    <w:next w:val="Normal"/>
    <w:link w:val="TitleChar"/>
    <w:uiPriority w:val="10"/>
    <w:qFormat/>
    <w:rsid w:val="00C6651D"/>
    <w:pPr>
      <w:pBdr>
        <w:top w:val="single" w:sz="6" w:space="8" w:color="A5A5A5" w:themeColor="accent3"/>
        <w:bottom w:val="single" w:sz="6" w:space="8" w:color="A5A5A5" w:themeColor="accent3"/>
      </w:pBdr>
      <w:spacing w:after="400"/>
      <w:contextualSpacing/>
      <w:jc w:val="center"/>
    </w:pPr>
    <w:rPr>
      <w:rFonts w:eastAsiaTheme="majorEastAsia" w:cstheme="majorBidi"/>
      <w:color w:val="44546A" w:themeColor="text2"/>
      <w:sz w:val="40"/>
      <w:szCs w:val="72"/>
    </w:rPr>
  </w:style>
  <w:style w:type="character" w:customStyle="1" w:styleId="TitleChar">
    <w:name w:val="Title Char"/>
    <w:basedOn w:val="DefaultParagraphFont"/>
    <w:link w:val="Title"/>
    <w:uiPriority w:val="10"/>
    <w:rsid w:val="00C6651D"/>
    <w:rPr>
      <w:rFonts w:ascii="News Gothic MT" w:eastAsiaTheme="majorEastAsia" w:hAnsi="News Gothic MT" w:cstheme="majorBidi"/>
      <w:color w:val="44546A" w:themeColor="text2"/>
      <w:sz w:val="40"/>
      <w:szCs w:val="72"/>
    </w:rPr>
  </w:style>
  <w:style w:type="character" w:styleId="Strong">
    <w:name w:val="Strong"/>
    <w:basedOn w:val="DefaultParagraphFont"/>
    <w:uiPriority w:val="22"/>
    <w:qFormat/>
    <w:rsid w:val="005949A1"/>
    <w:rPr>
      <w:b/>
      <w:bCs/>
    </w:rPr>
  </w:style>
  <w:style w:type="character" w:styleId="Emphasis">
    <w:name w:val="Emphasis"/>
    <w:basedOn w:val="DefaultParagraphFont"/>
    <w:uiPriority w:val="20"/>
    <w:qFormat/>
    <w:rsid w:val="005949A1"/>
    <w:rPr>
      <w:i/>
      <w:iCs/>
      <w:color w:val="000000" w:themeColor="text1"/>
    </w:rPr>
  </w:style>
  <w:style w:type="paragraph" w:styleId="NoSpacing">
    <w:name w:val="No Spacing"/>
    <w:uiPriority w:val="1"/>
    <w:qFormat/>
    <w:rsid w:val="005949A1"/>
    <w:pPr>
      <w:spacing w:after="0" w:line="240" w:lineRule="auto"/>
    </w:pPr>
  </w:style>
  <w:style w:type="paragraph" w:styleId="ListParagraph">
    <w:name w:val="List Paragraph"/>
    <w:basedOn w:val="Normal"/>
    <w:uiPriority w:val="34"/>
    <w:qFormat/>
    <w:rsid w:val="009D1890"/>
    <w:pPr>
      <w:numPr>
        <w:numId w:val="29"/>
      </w:numPr>
      <w:contextualSpacing/>
    </w:pPr>
  </w:style>
  <w:style w:type="paragraph" w:styleId="Quote">
    <w:name w:val="Quote"/>
    <w:basedOn w:val="Normal"/>
    <w:next w:val="Normal"/>
    <w:link w:val="QuoteChar"/>
    <w:uiPriority w:val="29"/>
    <w:qFormat/>
    <w:rsid w:val="005949A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949A1"/>
    <w:rPr>
      <w:i/>
      <w:iCs/>
      <w:color w:val="7B7B7B" w:themeColor="accent3" w:themeShade="BF"/>
      <w:sz w:val="24"/>
      <w:szCs w:val="24"/>
    </w:rPr>
  </w:style>
  <w:style w:type="character" w:styleId="SubtleEmphasis">
    <w:name w:val="Subtle Emphasis"/>
    <w:basedOn w:val="DefaultParagraphFont"/>
    <w:uiPriority w:val="19"/>
    <w:qFormat/>
    <w:rsid w:val="005949A1"/>
    <w:rPr>
      <w:i/>
      <w:iCs/>
      <w:color w:val="595959" w:themeColor="text1" w:themeTint="A6"/>
    </w:rPr>
  </w:style>
  <w:style w:type="character" w:styleId="IntenseEmphasis">
    <w:name w:val="Intense Emphasis"/>
    <w:basedOn w:val="DefaultParagraphFont"/>
    <w:uiPriority w:val="21"/>
    <w:qFormat/>
    <w:rsid w:val="005949A1"/>
    <w:rPr>
      <w:b/>
      <w:bCs/>
      <w:i/>
      <w:iCs/>
      <w:color w:val="auto"/>
    </w:rPr>
  </w:style>
  <w:style w:type="character" w:styleId="IntenseReference">
    <w:name w:val="Intense Reference"/>
    <w:basedOn w:val="DefaultParagraphFont"/>
    <w:uiPriority w:val="32"/>
    <w:qFormat/>
    <w:rsid w:val="005949A1"/>
    <w:rPr>
      <w:b/>
      <w:bCs/>
      <w:caps w:val="0"/>
      <w:smallCaps/>
      <w:color w:val="auto"/>
      <w:spacing w:val="0"/>
      <w:u w:val="single"/>
    </w:rPr>
  </w:style>
  <w:style w:type="paragraph" w:styleId="TOCHeading">
    <w:name w:val="TOC Heading"/>
    <w:basedOn w:val="Heading1"/>
    <w:next w:val="Normal"/>
    <w:uiPriority w:val="39"/>
    <w:unhideWhenUsed/>
    <w:qFormat/>
    <w:rsid w:val="005949A1"/>
    <w:pPr>
      <w:outlineLvl w:val="9"/>
    </w:pPr>
  </w:style>
  <w:style w:type="character" w:customStyle="1" w:styleId="Heading5Char">
    <w:name w:val="Heading 5 Char"/>
    <w:basedOn w:val="DefaultParagraphFont"/>
    <w:link w:val="Heading5"/>
    <w:uiPriority w:val="9"/>
    <w:semiHidden/>
    <w:rsid w:val="005949A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949A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949A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949A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949A1"/>
    <w:rPr>
      <w:b/>
      <w:bCs/>
      <w:i/>
      <w:iCs/>
    </w:rPr>
  </w:style>
  <w:style w:type="paragraph" w:styleId="Subtitle">
    <w:name w:val="Subtitle"/>
    <w:basedOn w:val="Normal"/>
    <w:next w:val="Normal"/>
    <w:link w:val="SubtitleChar"/>
    <w:uiPriority w:val="11"/>
    <w:qFormat/>
    <w:rsid w:val="005949A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949A1"/>
    <w:rPr>
      <w:color w:val="44546A" w:themeColor="text2"/>
      <w:sz w:val="28"/>
      <w:szCs w:val="28"/>
    </w:rPr>
  </w:style>
  <w:style w:type="paragraph" w:styleId="IntenseQuote">
    <w:name w:val="Intense Quote"/>
    <w:basedOn w:val="Normal"/>
    <w:next w:val="Normal"/>
    <w:link w:val="IntenseQuoteChar"/>
    <w:uiPriority w:val="30"/>
    <w:qFormat/>
    <w:rsid w:val="005949A1"/>
    <w:pPr>
      <w:spacing w:before="160" w:line="276" w:lineRule="auto"/>
      <w:ind w:left="936" w:right="936"/>
      <w:jc w:val="center"/>
    </w:pPr>
    <w:rPr>
      <w:rFonts w:asciiTheme="majorHAnsi" w:eastAsiaTheme="majorEastAsia" w:hAnsiTheme="majorHAnsi" w:cstheme="majorBidi"/>
      <w:caps/>
      <w:color w:val="001C38" w:themeColor="accent1" w:themeShade="BF"/>
      <w:sz w:val="28"/>
      <w:szCs w:val="28"/>
    </w:rPr>
  </w:style>
  <w:style w:type="character" w:customStyle="1" w:styleId="IntenseQuoteChar">
    <w:name w:val="Intense Quote Char"/>
    <w:basedOn w:val="DefaultParagraphFont"/>
    <w:link w:val="IntenseQuote"/>
    <w:uiPriority w:val="30"/>
    <w:rsid w:val="005949A1"/>
    <w:rPr>
      <w:rFonts w:asciiTheme="majorHAnsi" w:eastAsiaTheme="majorEastAsia" w:hAnsiTheme="majorHAnsi" w:cstheme="majorBidi"/>
      <w:caps/>
      <w:color w:val="001C38" w:themeColor="accent1" w:themeShade="BF"/>
      <w:sz w:val="28"/>
      <w:szCs w:val="28"/>
    </w:rPr>
  </w:style>
  <w:style w:type="character" w:styleId="SubtleReference">
    <w:name w:val="Subtle Reference"/>
    <w:basedOn w:val="DefaultParagraphFont"/>
    <w:uiPriority w:val="31"/>
    <w:qFormat/>
    <w:rsid w:val="005949A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949A1"/>
    <w:rPr>
      <w:b/>
      <w:bCs/>
      <w:caps w:val="0"/>
      <w:smallCaps/>
      <w:spacing w:val="0"/>
    </w:rPr>
  </w:style>
  <w:style w:type="table" w:styleId="TableGrid">
    <w:name w:val="Table Grid"/>
    <w:basedOn w:val="TableNormal"/>
    <w:uiPriority w:val="39"/>
    <w:rsid w:val="00FA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651D"/>
    <w:pPr>
      <w:tabs>
        <w:tab w:val="center" w:pos="4680"/>
        <w:tab w:val="right" w:pos="9360"/>
      </w:tabs>
      <w:spacing w:after="0"/>
    </w:pPr>
    <w:rPr>
      <w:sz w:val="16"/>
    </w:rPr>
  </w:style>
  <w:style w:type="character" w:customStyle="1" w:styleId="HeaderChar">
    <w:name w:val="Header Char"/>
    <w:basedOn w:val="DefaultParagraphFont"/>
    <w:link w:val="Header"/>
    <w:uiPriority w:val="99"/>
    <w:rsid w:val="00C6651D"/>
    <w:rPr>
      <w:rFonts w:ascii="News Gothic MT" w:hAnsi="News Gothic MT"/>
      <w:sz w:val="16"/>
    </w:rPr>
  </w:style>
  <w:style w:type="paragraph" w:styleId="Footer">
    <w:name w:val="footer"/>
    <w:basedOn w:val="Normal"/>
    <w:link w:val="FooterChar"/>
    <w:uiPriority w:val="99"/>
    <w:unhideWhenUsed/>
    <w:rsid w:val="00DB23F4"/>
    <w:pPr>
      <w:tabs>
        <w:tab w:val="center" w:pos="4680"/>
        <w:tab w:val="right" w:pos="9360"/>
      </w:tabs>
      <w:spacing w:after="0"/>
    </w:pPr>
  </w:style>
  <w:style w:type="character" w:customStyle="1" w:styleId="FooterChar">
    <w:name w:val="Footer Char"/>
    <w:basedOn w:val="DefaultParagraphFont"/>
    <w:link w:val="Footer"/>
    <w:uiPriority w:val="99"/>
    <w:rsid w:val="00DB23F4"/>
  </w:style>
  <w:style w:type="character" w:styleId="PlaceholderText">
    <w:name w:val="Placeholder Text"/>
    <w:basedOn w:val="DefaultParagraphFont"/>
    <w:uiPriority w:val="99"/>
    <w:semiHidden/>
    <w:rsid w:val="00DB23F4"/>
    <w:rPr>
      <w:color w:val="808080"/>
    </w:rPr>
  </w:style>
  <w:style w:type="table" w:styleId="GridTable4-Accent5">
    <w:name w:val="Grid Table 4 Accent 5"/>
    <w:basedOn w:val="TableNormal"/>
    <w:uiPriority w:val="49"/>
    <w:rsid w:val="00795F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44132"/>
    <w:pPr>
      <w:spacing w:after="0"/>
    </w:pPr>
    <w:rPr>
      <w:sz w:val="20"/>
      <w:szCs w:val="20"/>
    </w:rPr>
  </w:style>
  <w:style w:type="character" w:customStyle="1" w:styleId="FootnoteTextChar">
    <w:name w:val="Footnote Text Char"/>
    <w:basedOn w:val="DefaultParagraphFont"/>
    <w:link w:val="FootnoteText"/>
    <w:uiPriority w:val="99"/>
    <w:semiHidden/>
    <w:rsid w:val="00644132"/>
    <w:rPr>
      <w:sz w:val="20"/>
      <w:szCs w:val="20"/>
    </w:rPr>
  </w:style>
  <w:style w:type="character" w:styleId="FootnoteReference">
    <w:name w:val="footnote reference"/>
    <w:basedOn w:val="DefaultParagraphFont"/>
    <w:uiPriority w:val="99"/>
    <w:semiHidden/>
    <w:unhideWhenUsed/>
    <w:rsid w:val="00644132"/>
    <w:rPr>
      <w:vertAlign w:val="superscript"/>
    </w:rPr>
  </w:style>
  <w:style w:type="paragraph" w:styleId="TOC1">
    <w:name w:val="toc 1"/>
    <w:basedOn w:val="Normal"/>
    <w:next w:val="Normal"/>
    <w:autoRedefine/>
    <w:uiPriority w:val="39"/>
    <w:unhideWhenUsed/>
    <w:rsid w:val="006801A0"/>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6801A0"/>
    <w:pPr>
      <w:spacing w:before="120" w:after="0"/>
    </w:pPr>
    <w:rPr>
      <w:b/>
      <w:bCs/>
      <w:sz w:val="20"/>
      <w:szCs w:val="20"/>
    </w:rPr>
  </w:style>
  <w:style w:type="character" w:styleId="Hyperlink">
    <w:name w:val="Hyperlink"/>
    <w:basedOn w:val="DefaultParagraphFont"/>
    <w:uiPriority w:val="99"/>
    <w:unhideWhenUsed/>
    <w:rsid w:val="006B165F"/>
    <w:rPr>
      <w:rFonts w:ascii="News Gothic MT" w:hAnsi="News Gothic MT"/>
      <w:color w:val="0563C1" w:themeColor="hyperlink"/>
      <w:u w:val="single"/>
    </w:rPr>
  </w:style>
  <w:style w:type="paragraph" w:styleId="TOC3">
    <w:name w:val="toc 3"/>
    <w:basedOn w:val="Normal"/>
    <w:next w:val="Normal"/>
    <w:autoRedefine/>
    <w:uiPriority w:val="39"/>
    <w:unhideWhenUsed/>
    <w:rsid w:val="00E742C9"/>
    <w:pPr>
      <w:spacing w:after="0"/>
      <w:ind w:left="210"/>
    </w:pPr>
    <w:rPr>
      <w:sz w:val="20"/>
      <w:szCs w:val="20"/>
    </w:rPr>
  </w:style>
  <w:style w:type="paragraph" w:styleId="TOC4">
    <w:name w:val="toc 4"/>
    <w:basedOn w:val="Normal"/>
    <w:next w:val="Normal"/>
    <w:autoRedefine/>
    <w:uiPriority w:val="39"/>
    <w:unhideWhenUsed/>
    <w:rsid w:val="00E742C9"/>
    <w:pPr>
      <w:spacing w:after="0"/>
      <w:ind w:left="420"/>
    </w:pPr>
    <w:rPr>
      <w:sz w:val="20"/>
      <w:szCs w:val="20"/>
    </w:rPr>
  </w:style>
  <w:style w:type="paragraph" w:styleId="TOC5">
    <w:name w:val="toc 5"/>
    <w:basedOn w:val="Normal"/>
    <w:next w:val="Normal"/>
    <w:autoRedefine/>
    <w:uiPriority w:val="39"/>
    <w:unhideWhenUsed/>
    <w:rsid w:val="00E742C9"/>
    <w:pPr>
      <w:spacing w:after="0"/>
      <w:ind w:left="630"/>
    </w:pPr>
    <w:rPr>
      <w:sz w:val="20"/>
      <w:szCs w:val="20"/>
    </w:rPr>
  </w:style>
  <w:style w:type="paragraph" w:styleId="TOC6">
    <w:name w:val="toc 6"/>
    <w:basedOn w:val="Normal"/>
    <w:next w:val="Normal"/>
    <w:autoRedefine/>
    <w:uiPriority w:val="39"/>
    <w:unhideWhenUsed/>
    <w:rsid w:val="00E742C9"/>
    <w:pPr>
      <w:spacing w:after="0"/>
      <w:ind w:left="840"/>
    </w:pPr>
    <w:rPr>
      <w:sz w:val="20"/>
      <w:szCs w:val="20"/>
    </w:rPr>
  </w:style>
  <w:style w:type="paragraph" w:styleId="TOC7">
    <w:name w:val="toc 7"/>
    <w:basedOn w:val="Normal"/>
    <w:next w:val="Normal"/>
    <w:autoRedefine/>
    <w:uiPriority w:val="39"/>
    <w:unhideWhenUsed/>
    <w:rsid w:val="00E742C9"/>
    <w:pPr>
      <w:spacing w:after="0"/>
      <w:ind w:left="1050"/>
    </w:pPr>
    <w:rPr>
      <w:sz w:val="20"/>
      <w:szCs w:val="20"/>
    </w:rPr>
  </w:style>
  <w:style w:type="paragraph" w:styleId="TOC8">
    <w:name w:val="toc 8"/>
    <w:basedOn w:val="Normal"/>
    <w:next w:val="Normal"/>
    <w:autoRedefine/>
    <w:uiPriority w:val="39"/>
    <w:unhideWhenUsed/>
    <w:rsid w:val="00E742C9"/>
    <w:pPr>
      <w:spacing w:after="0"/>
      <w:ind w:left="1260"/>
    </w:pPr>
    <w:rPr>
      <w:sz w:val="20"/>
      <w:szCs w:val="20"/>
    </w:rPr>
  </w:style>
  <w:style w:type="paragraph" w:styleId="TOC9">
    <w:name w:val="toc 9"/>
    <w:basedOn w:val="Normal"/>
    <w:next w:val="Normal"/>
    <w:autoRedefine/>
    <w:uiPriority w:val="39"/>
    <w:unhideWhenUsed/>
    <w:rsid w:val="00E742C9"/>
    <w:pPr>
      <w:spacing w:after="0"/>
      <w:ind w:left="1470"/>
    </w:pPr>
    <w:rPr>
      <w:sz w:val="20"/>
      <w:szCs w:val="20"/>
    </w:rPr>
  </w:style>
  <w:style w:type="character" w:styleId="UnresolvedMention">
    <w:name w:val="Unresolved Mention"/>
    <w:basedOn w:val="DefaultParagraphFont"/>
    <w:uiPriority w:val="99"/>
    <w:semiHidden/>
    <w:unhideWhenUsed/>
    <w:rsid w:val="00415035"/>
    <w:rPr>
      <w:color w:val="605E5C"/>
      <w:shd w:val="clear" w:color="auto" w:fill="E1DFDD"/>
    </w:rPr>
  </w:style>
  <w:style w:type="character" w:styleId="LineNumber">
    <w:name w:val="line number"/>
    <w:basedOn w:val="DefaultParagraphFont"/>
    <w:uiPriority w:val="99"/>
    <w:semiHidden/>
    <w:unhideWhenUsed/>
    <w:rsid w:val="00CD5B21"/>
  </w:style>
  <w:style w:type="paragraph" w:styleId="TableofFigures">
    <w:name w:val="table of figures"/>
    <w:basedOn w:val="Normal"/>
    <w:next w:val="Normal"/>
    <w:uiPriority w:val="99"/>
    <w:unhideWhenUsed/>
    <w:rsid w:val="006D6108"/>
    <w:pPr>
      <w:spacing w:after="0"/>
    </w:pPr>
  </w:style>
  <w:style w:type="table" w:styleId="ListTable3-Accent1">
    <w:name w:val="List Table 3 Accent 1"/>
    <w:basedOn w:val="TableNormal"/>
    <w:uiPriority w:val="48"/>
    <w:rsid w:val="00B74EF4"/>
    <w:pPr>
      <w:spacing w:after="0" w:line="240" w:lineRule="auto"/>
    </w:pPr>
    <w:tblPr>
      <w:tblStyleRowBandSize w:val="1"/>
      <w:tblStyleColBandSize w:val="1"/>
      <w:tblBorders>
        <w:top w:val="single" w:sz="4" w:space="0" w:color="00274C" w:themeColor="accent1"/>
        <w:left w:val="single" w:sz="4" w:space="0" w:color="00274C" w:themeColor="accent1"/>
        <w:bottom w:val="single" w:sz="4" w:space="0" w:color="00274C" w:themeColor="accent1"/>
        <w:right w:val="single" w:sz="4" w:space="0" w:color="00274C" w:themeColor="accent1"/>
      </w:tblBorders>
    </w:tblPr>
    <w:tblStylePr w:type="firstRow">
      <w:rPr>
        <w:b/>
        <w:bCs/>
        <w:color w:val="FFFFFF" w:themeColor="background1"/>
      </w:rPr>
      <w:tblPr/>
      <w:tcPr>
        <w:shd w:val="clear" w:color="auto" w:fill="00274C" w:themeFill="accent1"/>
      </w:tcPr>
    </w:tblStylePr>
    <w:tblStylePr w:type="lastRow">
      <w:rPr>
        <w:b/>
        <w:bCs/>
      </w:rPr>
      <w:tblPr/>
      <w:tcPr>
        <w:tcBorders>
          <w:top w:val="double" w:sz="4" w:space="0" w:color="0027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74C" w:themeColor="accent1"/>
          <w:right w:val="single" w:sz="4" w:space="0" w:color="00274C" w:themeColor="accent1"/>
        </w:tcBorders>
      </w:tcPr>
    </w:tblStylePr>
    <w:tblStylePr w:type="band1Horz">
      <w:tblPr/>
      <w:tcPr>
        <w:tcBorders>
          <w:top w:val="single" w:sz="4" w:space="0" w:color="00274C" w:themeColor="accent1"/>
          <w:bottom w:val="single" w:sz="4" w:space="0" w:color="0027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74C" w:themeColor="accent1"/>
          <w:left w:val="nil"/>
        </w:tcBorders>
      </w:tcPr>
    </w:tblStylePr>
    <w:tblStylePr w:type="swCell">
      <w:tblPr/>
      <w:tcPr>
        <w:tcBorders>
          <w:top w:val="double" w:sz="4" w:space="0" w:color="00274C" w:themeColor="accent1"/>
          <w:right w:val="nil"/>
        </w:tcBorders>
      </w:tcPr>
    </w:tblStylePr>
  </w:style>
  <w:style w:type="character" w:styleId="CommentReference">
    <w:name w:val="annotation reference"/>
    <w:basedOn w:val="DefaultParagraphFont"/>
    <w:uiPriority w:val="99"/>
    <w:semiHidden/>
    <w:unhideWhenUsed/>
    <w:rsid w:val="00F2563F"/>
    <w:rPr>
      <w:sz w:val="16"/>
      <w:szCs w:val="16"/>
    </w:rPr>
  </w:style>
  <w:style w:type="paragraph" w:styleId="CommentText">
    <w:name w:val="annotation text"/>
    <w:basedOn w:val="Normal"/>
    <w:link w:val="CommentTextChar"/>
    <w:uiPriority w:val="99"/>
    <w:semiHidden/>
    <w:unhideWhenUsed/>
    <w:rsid w:val="00F2563F"/>
    <w:rPr>
      <w:sz w:val="20"/>
      <w:szCs w:val="20"/>
    </w:rPr>
  </w:style>
  <w:style w:type="character" w:customStyle="1" w:styleId="CommentTextChar">
    <w:name w:val="Comment Text Char"/>
    <w:basedOn w:val="DefaultParagraphFont"/>
    <w:link w:val="CommentText"/>
    <w:uiPriority w:val="99"/>
    <w:semiHidden/>
    <w:rsid w:val="00F2563F"/>
    <w:rPr>
      <w:rFonts w:ascii="News Gothic MT" w:hAnsi="News Gothic MT"/>
      <w:sz w:val="20"/>
      <w:szCs w:val="20"/>
    </w:rPr>
  </w:style>
  <w:style w:type="paragraph" w:styleId="CommentSubject">
    <w:name w:val="annotation subject"/>
    <w:basedOn w:val="CommentText"/>
    <w:next w:val="CommentText"/>
    <w:link w:val="CommentSubjectChar"/>
    <w:uiPriority w:val="99"/>
    <w:semiHidden/>
    <w:unhideWhenUsed/>
    <w:rsid w:val="00F2563F"/>
    <w:rPr>
      <w:b/>
      <w:bCs/>
    </w:rPr>
  </w:style>
  <w:style w:type="character" w:customStyle="1" w:styleId="CommentSubjectChar">
    <w:name w:val="Comment Subject Char"/>
    <w:basedOn w:val="CommentTextChar"/>
    <w:link w:val="CommentSubject"/>
    <w:uiPriority w:val="99"/>
    <w:semiHidden/>
    <w:rsid w:val="00F2563F"/>
    <w:rPr>
      <w:rFonts w:ascii="News Gothic MT" w:hAnsi="News Gothic MT"/>
      <w:b/>
      <w:bCs/>
      <w:sz w:val="20"/>
      <w:szCs w:val="20"/>
    </w:rPr>
  </w:style>
  <w:style w:type="paragraph" w:styleId="BalloonText">
    <w:name w:val="Balloon Text"/>
    <w:basedOn w:val="Normal"/>
    <w:link w:val="BalloonTextChar"/>
    <w:uiPriority w:val="99"/>
    <w:semiHidden/>
    <w:unhideWhenUsed/>
    <w:rsid w:val="00A6750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75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227">
      <w:bodyDiv w:val="1"/>
      <w:marLeft w:val="0"/>
      <w:marRight w:val="0"/>
      <w:marTop w:val="0"/>
      <w:marBottom w:val="0"/>
      <w:divBdr>
        <w:top w:val="none" w:sz="0" w:space="0" w:color="auto"/>
        <w:left w:val="none" w:sz="0" w:space="0" w:color="auto"/>
        <w:bottom w:val="none" w:sz="0" w:space="0" w:color="auto"/>
        <w:right w:val="none" w:sz="0" w:space="0" w:color="auto"/>
      </w:divBdr>
    </w:div>
    <w:div w:id="86268738">
      <w:bodyDiv w:val="1"/>
      <w:marLeft w:val="0"/>
      <w:marRight w:val="0"/>
      <w:marTop w:val="0"/>
      <w:marBottom w:val="0"/>
      <w:divBdr>
        <w:top w:val="none" w:sz="0" w:space="0" w:color="auto"/>
        <w:left w:val="none" w:sz="0" w:space="0" w:color="auto"/>
        <w:bottom w:val="none" w:sz="0" w:space="0" w:color="auto"/>
        <w:right w:val="none" w:sz="0" w:space="0" w:color="auto"/>
      </w:divBdr>
    </w:div>
    <w:div w:id="957562175">
      <w:bodyDiv w:val="1"/>
      <w:marLeft w:val="0"/>
      <w:marRight w:val="0"/>
      <w:marTop w:val="0"/>
      <w:marBottom w:val="0"/>
      <w:divBdr>
        <w:top w:val="none" w:sz="0" w:space="0" w:color="auto"/>
        <w:left w:val="none" w:sz="0" w:space="0" w:color="auto"/>
        <w:bottom w:val="none" w:sz="0" w:space="0" w:color="auto"/>
        <w:right w:val="none" w:sz="0" w:space="0" w:color="auto"/>
      </w:divBdr>
      <w:divsChild>
        <w:div w:id="683674415">
          <w:marLeft w:val="-225"/>
          <w:marRight w:val="-225"/>
          <w:marTop w:val="0"/>
          <w:marBottom w:val="0"/>
          <w:divBdr>
            <w:top w:val="none" w:sz="0" w:space="0" w:color="auto"/>
            <w:left w:val="none" w:sz="0" w:space="0" w:color="auto"/>
            <w:bottom w:val="none" w:sz="0" w:space="0" w:color="auto"/>
            <w:right w:val="none" w:sz="0" w:space="0" w:color="auto"/>
          </w:divBdr>
          <w:divsChild>
            <w:div w:id="481430423">
              <w:marLeft w:val="0"/>
              <w:marRight w:val="0"/>
              <w:marTop w:val="0"/>
              <w:marBottom w:val="0"/>
              <w:divBdr>
                <w:top w:val="none" w:sz="0" w:space="0" w:color="auto"/>
                <w:left w:val="none" w:sz="0" w:space="0" w:color="auto"/>
                <w:bottom w:val="none" w:sz="0" w:space="0" w:color="auto"/>
                <w:right w:val="none" w:sz="0" w:space="0" w:color="auto"/>
              </w:divBdr>
              <w:divsChild>
                <w:div w:id="21018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5202">
          <w:marLeft w:val="-225"/>
          <w:marRight w:val="-225"/>
          <w:marTop w:val="0"/>
          <w:marBottom w:val="0"/>
          <w:divBdr>
            <w:top w:val="none" w:sz="0" w:space="0" w:color="auto"/>
            <w:left w:val="none" w:sz="0" w:space="0" w:color="auto"/>
            <w:bottom w:val="none" w:sz="0" w:space="0" w:color="auto"/>
            <w:right w:val="none" w:sz="0" w:space="0" w:color="auto"/>
          </w:divBdr>
          <w:divsChild>
            <w:div w:id="1035346789">
              <w:marLeft w:val="0"/>
              <w:marRight w:val="0"/>
              <w:marTop w:val="0"/>
              <w:marBottom w:val="0"/>
              <w:divBdr>
                <w:top w:val="none" w:sz="0" w:space="0" w:color="auto"/>
                <w:left w:val="none" w:sz="0" w:space="0" w:color="auto"/>
                <w:bottom w:val="none" w:sz="0" w:space="0" w:color="auto"/>
                <w:right w:val="none" w:sz="0" w:space="0" w:color="auto"/>
              </w:divBdr>
              <w:divsChild>
                <w:div w:id="1970476589">
                  <w:marLeft w:val="0"/>
                  <w:marRight w:val="0"/>
                  <w:marTop w:val="0"/>
                  <w:marBottom w:val="0"/>
                  <w:divBdr>
                    <w:top w:val="none" w:sz="0" w:space="0" w:color="auto"/>
                    <w:left w:val="none" w:sz="0" w:space="0" w:color="auto"/>
                    <w:bottom w:val="none" w:sz="0" w:space="0" w:color="auto"/>
                    <w:right w:val="none" w:sz="0" w:space="0" w:color="auto"/>
                  </w:divBdr>
                  <w:divsChild>
                    <w:div w:id="1354921258">
                      <w:marLeft w:val="0"/>
                      <w:marRight w:val="0"/>
                      <w:marTop w:val="0"/>
                      <w:marBottom w:val="0"/>
                      <w:divBdr>
                        <w:top w:val="none" w:sz="0" w:space="0" w:color="auto"/>
                        <w:left w:val="none" w:sz="0" w:space="0" w:color="auto"/>
                        <w:bottom w:val="none" w:sz="0" w:space="0" w:color="auto"/>
                        <w:right w:val="none" w:sz="0" w:space="0" w:color="auto"/>
                      </w:divBdr>
                      <w:divsChild>
                        <w:div w:id="1490251486">
                          <w:marLeft w:val="0"/>
                          <w:marRight w:val="0"/>
                          <w:marTop w:val="0"/>
                          <w:marBottom w:val="0"/>
                          <w:divBdr>
                            <w:top w:val="none" w:sz="0" w:space="0" w:color="auto"/>
                            <w:left w:val="none" w:sz="0" w:space="0" w:color="auto"/>
                            <w:bottom w:val="none" w:sz="0" w:space="0" w:color="auto"/>
                            <w:right w:val="none" w:sz="0" w:space="0" w:color="auto"/>
                          </w:divBdr>
                          <w:divsChild>
                            <w:div w:id="656420533">
                              <w:marLeft w:val="0"/>
                              <w:marRight w:val="0"/>
                              <w:marTop w:val="0"/>
                              <w:marBottom w:val="0"/>
                              <w:divBdr>
                                <w:top w:val="none" w:sz="0" w:space="0" w:color="auto"/>
                                <w:left w:val="none" w:sz="0" w:space="0" w:color="auto"/>
                                <w:bottom w:val="none" w:sz="0" w:space="0" w:color="auto"/>
                                <w:right w:val="none" w:sz="0" w:space="0" w:color="auto"/>
                              </w:divBdr>
                              <w:divsChild>
                                <w:div w:id="10692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357826">
      <w:bodyDiv w:val="1"/>
      <w:marLeft w:val="0"/>
      <w:marRight w:val="0"/>
      <w:marTop w:val="0"/>
      <w:marBottom w:val="0"/>
      <w:divBdr>
        <w:top w:val="none" w:sz="0" w:space="0" w:color="auto"/>
        <w:left w:val="none" w:sz="0" w:space="0" w:color="auto"/>
        <w:bottom w:val="none" w:sz="0" w:space="0" w:color="auto"/>
        <w:right w:val="none" w:sz="0" w:space="0" w:color="auto"/>
      </w:divBdr>
    </w:div>
    <w:div w:id="975721022">
      <w:bodyDiv w:val="1"/>
      <w:marLeft w:val="0"/>
      <w:marRight w:val="0"/>
      <w:marTop w:val="0"/>
      <w:marBottom w:val="0"/>
      <w:divBdr>
        <w:top w:val="none" w:sz="0" w:space="0" w:color="auto"/>
        <w:left w:val="none" w:sz="0" w:space="0" w:color="auto"/>
        <w:bottom w:val="none" w:sz="0" w:space="0" w:color="auto"/>
        <w:right w:val="none" w:sz="0" w:space="0" w:color="auto"/>
      </w:divBdr>
    </w:div>
    <w:div w:id="1511336110">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
    <w:div w:id="2031032070">
      <w:bodyDiv w:val="1"/>
      <w:marLeft w:val="0"/>
      <w:marRight w:val="0"/>
      <w:marTop w:val="0"/>
      <w:marBottom w:val="0"/>
      <w:divBdr>
        <w:top w:val="none" w:sz="0" w:space="0" w:color="auto"/>
        <w:left w:val="none" w:sz="0" w:space="0" w:color="auto"/>
        <w:bottom w:val="none" w:sz="0" w:space="0" w:color="auto"/>
        <w:right w:val="none" w:sz="0" w:space="0" w:color="auto"/>
      </w:divBdr>
    </w:div>
    <w:div w:id="213551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shulr@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8C11EF4FF64D20BF4A583FBB347240"/>
        <w:category>
          <w:name w:val="General"/>
          <w:gallery w:val="placeholder"/>
        </w:category>
        <w:types>
          <w:type w:val="bbPlcHdr"/>
        </w:types>
        <w:behaviors>
          <w:behavior w:val="content"/>
        </w:behaviors>
        <w:guid w:val="{A551F9C8-FBBE-4048-A73A-22D7C181A5E5}"/>
      </w:docPartPr>
      <w:docPartBody>
        <w:p w:rsidR="004B0375" w:rsidRDefault="007B479C">
          <w:r w:rsidRPr="00AB3952">
            <w:rPr>
              <w:rStyle w:val="PlaceholderText"/>
            </w:rPr>
            <w:t>[Title]</w:t>
          </w:r>
        </w:p>
      </w:docPartBody>
    </w:docPart>
    <w:docPart>
      <w:docPartPr>
        <w:name w:val="2987E3534C794FE1819BADA8A36A9AEE"/>
        <w:category>
          <w:name w:val="General"/>
          <w:gallery w:val="placeholder"/>
        </w:category>
        <w:types>
          <w:type w:val="bbPlcHdr"/>
        </w:types>
        <w:behaviors>
          <w:behavior w:val="content"/>
        </w:behaviors>
        <w:guid w:val="{AD295374-411A-437E-A4D6-6FD0318A382A}"/>
      </w:docPartPr>
      <w:docPartBody>
        <w:p w:rsidR="00B83AB3" w:rsidRDefault="00FB2683">
          <w:r w:rsidRPr="00071D76">
            <w:rPr>
              <w:rStyle w:val="PlaceholderText"/>
            </w:rPr>
            <w:t>[Title]</w:t>
          </w:r>
        </w:p>
      </w:docPartBody>
    </w:docPart>
    <w:docPart>
      <w:docPartPr>
        <w:name w:val="617B481C97754047A78F285E3CD7A6B3"/>
        <w:category>
          <w:name w:val="General"/>
          <w:gallery w:val="placeholder"/>
        </w:category>
        <w:types>
          <w:type w:val="bbPlcHdr"/>
        </w:types>
        <w:behaviors>
          <w:behavior w:val="content"/>
        </w:behaviors>
        <w:guid w:val="{5A6AF3B6-6812-4D1B-B00F-CE07EDF59AB9}"/>
      </w:docPartPr>
      <w:docPartBody>
        <w:p w:rsidR="00E860D2" w:rsidRDefault="00E860D2" w:rsidP="00E860D2">
          <w:pPr>
            <w:pStyle w:val="617B481C97754047A78F285E3CD7A6B3"/>
          </w:pPr>
          <w:r w:rsidRPr="00AB39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panose1 w:val="020B0503020103020203"/>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9C"/>
    <w:rsid w:val="00055282"/>
    <w:rsid w:val="00100315"/>
    <w:rsid w:val="00114A84"/>
    <w:rsid w:val="00147496"/>
    <w:rsid w:val="00287A3C"/>
    <w:rsid w:val="00325646"/>
    <w:rsid w:val="003D53E7"/>
    <w:rsid w:val="00425C6C"/>
    <w:rsid w:val="004B0375"/>
    <w:rsid w:val="004D3672"/>
    <w:rsid w:val="005337B4"/>
    <w:rsid w:val="005A6076"/>
    <w:rsid w:val="005D5877"/>
    <w:rsid w:val="005E70B2"/>
    <w:rsid w:val="006A4C05"/>
    <w:rsid w:val="007B479C"/>
    <w:rsid w:val="008021D2"/>
    <w:rsid w:val="008913AF"/>
    <w:rsid w:val="008C5AAD"/>
    <w:rsid w:val="008F5955"/>
    <w:rsid w:val="009715BC"/>
    <w:rsid w:val="00A425EB"/>
    <w:rsid w:val="00A84640"/>
    <w:rsid w:val="00B83AB3"/>
    <w:rsid w:val="00C02A98"/>
    <w:rsid w:val="00DB2529"/>
    <w:rsid w:val="00DF33F5"/>
    <w:rsid w:val="00E12B4C"/>
    <w:rsid w:val="00E2002D"/>
    <w:rsid w:val="00E62FBD"/>
    <w:rsid w:val="00E82EF2"/>
    <w:rsid w:val="00E860D2"/>
    <w:rsid w:val="00F65A5E"/>
    <w:rsid w:val="00F8539F"/>
    <w:rsid w:val="00FB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479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6076"/>
    <w:rPr>
      <w:color w:val="808080"/>
    </w:rPr>
  </w:style>
  <w:style w:type="paragraph" w:customStyle="1" w:styleId="617B481C97754047A78F285E3CD7A6B3">
    <w:name w:val="617B481C97754047A78F285E3CD7A6B3"/>
    <w:rsid w:val="00E86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ividend">
  <a:themeElements>
    <a:clrScheme name="University of Michigan">
      <a:dk1>
        <a:sysClr val="windowText" lastClr="000000"/>
      </a:dk1>
      <a:lt1>
        <a:sysClr val="window" lastClr="FFFFFF"/>
      </a:lt1>
      <a:dk2>
        <a:srgbClr val="44546A"/>
      </a:dk2>
      <a:lt2>
        <a:srgbClr val="E7E6E6"/>
      </a:lt2>
      <a:accent1>
        <a:srgbClr val="00274C"/>
      </a:accent1>
      <a:accent2>
        <a:srgbClr val="ED7D31"/>
      </a:accent2>
      <a:accent3>
        <a:srgbClr val="A5A5A5"/>
      </a:accent3>
      <a:accent4>
        <a:srgbClr val="FFCB05"/>
      </a:accent4>
      <a:accent5>
        <a:srgbClr val="5B9BD5"/>
      </a:accent5>
      <a:accent6>
        <a:srgbClr val="70AD47"/>
      </a:accent6>
      <a:hlink>
        <a:srgbClr val="0563C1"/>
      </a:hlink>
      <a:folHlink>
        <a:srgbClr val="954F72"/>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8EA2E-2793-E34D-9FAC-C56D649CA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2693</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Technology Valuations Pre and Post-Tech Boom</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Valuations Pre and Post-Tech Boom</dc:title>
  <dc:subject/>
  <dc:creator>Jason Hall</dc:creator>
  <cp:keywords/>
  <dc:description/>
  <cp:lastModifiedBy>Rana, Anshul</cp:lastModifiedBy>
  <cp:revision>16</cp:revision>
  <dcterms:created xsi:type="dcterms:W3CDTF">2021-12-15T04:00:00Z</dcterms:created>
  <dcterms:modified xsi:type="dcterms:W3CDTF">2021-12-21T00:33:00Z</dcterms:modified>
</cp:coreProperties>
</file>