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A569E"/>
          <w:sz w:val="72"/>
        </w:rPr>
        <w:t>BEHAVE-SEC</w:t>
      </w:r>
    </w:p>
    <w:p>
      <w:pPr>
        <w:jc w:val="center"/>
      </w:pPr>
      <w:r>
        <w:rPr>
          <w:rFonts w:ascii="Calibri" w:hAnsi="Calibri"/>
          <w:color w:val="2E74B5"/>
          <w:sz w:val="36"/>
        </w:rPr>
        <w:t>Behavioral Biometrics Authentication System</w:t>
      </w:r>
    </w:p>
    <w:p>
      <w:pPr>
        <w:jc w:val="center"/>
      </w:pPr>
      <w:r>
        <w:rPr>
          <w:rFonts w:ascii="Calibri" w:hAnsi="Calibri"/>
          <w:i/>
          <w:sz w:val="28"/>
        </w:rPr>
        <w:t>Full Project Technical Report  |  50 Pages</w:t>
      </w:r>
    </w:p>
    <w:p/>
    <w:p/>
    <w:p>
      <w:pPr>
        <w:jc w:val="center"/>
      </w:pPr>
      <w:r>
        <w:rPr>
          <w:color w:val="444444"/>
          <w:sz w:val="22"/>
        </w:rPr>
        <w:t>Python (FastAPI)   |   C# ASP.NET Core 8   |   HTML / CSS / JS   |   SQLite</w:t>
      </w:r>
    </w:p>
    <w:p>
      <w:r>
        <w:br w:type="page"/>
      </w:r>
    </w:p>
    <w:p>
      <w:pPr>
        <w:pStyle w:val="Heading1"/>
      </w:pPr>
      <w:r>
        <w:rPr>
          <w:rFonts w:ascii="Calibri" w:hAnsi="Calibri"/>
          <w:color w:val="1A569E"/>
        </w:rPr>
        <w:t>Chapter 1 — Abstract &amp; Introduction</w:t>
      </w:r>
    </w:p>
    <w:p>
      <w:r>
        <w:rPr>
          <w:i/>
          <w:color w:val="888888"/>
          <w:sz w:val="20"/>
        </w:rPr>
        <w:t>Pages 1-4</w:t>
      </w:r>
    </w:p>
    <w:p/>
    <w:p>
      <w:pPr>
        <w:pStyle w:val="Heading2"/>
      </w:pPr>
      <w:r>
        <w:rPr>
          <w:rFonts w:ascii="Calibri" w:hAnsi="Calibri"/>
          <w:color w:val="2E74B5"/>
        </w:rPr>
        <w:t>Abstract</w:t>
      </w:r>
    </w:p>
    <w:p>
      <w:pPr>
        <w:spacing w:after="120"/>
        <w:ind w:firstLine="425"/>
      </w:pPr>
      <w:r>
        <w:rPr>
          <w:rFonts w:ascii="Calibri" w:hAnsi="Calibri"/>
          <w:sz w:val="22"/>
        </w:rPr>
        <w:t>The digital world increasingly relies on knowledge-based authentication — usernames and passwords — as the primary gatekeeper to sensitive systems. Yet this model is fundamentally flawed. Passwords can be stolen, guessed, phished, or replicated. Once compromised, a static credential provides zero resistance to an adversary who holds it. The need for an authentication mechanism that is dynamic, continuous, and inherently personal has never been greater.</w:t>
      </w:r>
    </w:p>
    <w:p>
      <w:pPr>
        <w:spacing w:after="120"/>
        <w:ind w:firstLine="425"/>
      </w:pPr>
      <w:r>
        <w:rPr>
          <w:rFonts w:ascii="Calibri" w:hAnsi="Calibri"/>
          <w:sz w:val="22"/>
        </w:rPr>
        <w:t>BEHAVE-SEC addresses this challenge by introducing a Behavioral Biometrics Authentication System — a next-generation identity verification platform that identifies users not by what they know, but by how they behave. Every individual possesses a unique, involuntary behavioral signature embedded in the rhythm of their keystrokes, the curvature of their mouse movements, and the cadence of their clicks. BEHAVE-SEC captures, models, and continuously verifies this signature to provide a silent, frictionless layer of identity assurance.</w:t>
      </w:r>
    </w:p>
    <w:p>
      <w:pPr>
        <w:spacing w:after="120"/>
        <w:ind w:firstLine="425"/>
      </w:pPr>
      <w:r>
        <w:rPr>
          <w:rFonts w:ascii="Calibri" w:hAnsi="Calibri"/>
          <w:sz w:val="22"/>
        </w:rPr>
        <w:t>This report documents the full technical design, implementation, and validation of the BEHAVE-SEC system — covering its machine learning core, multi-tier software architecture, feature engineering pipeline, security model, and empirical results.</w:t>
      </w:r>
    </w:p>
    <w:p>
      <w:pPr>
        <w:pStyle w:val="Heading2"/>
      </w:pPr>
      <w:r>
        <w:rPr>
          <w:rFonts w:ascii="Calibri" w:hAnsi="Calibri"/>
          <w:color w:val="2E74B5"/>
        </w:rPr>
        <w:t>1.1  Problem Statement</w:t>
      </w:r>
    </w:p>
    <w:p>
      <w:pPr>
        <w:spacing w:after="120"/>
        <w:ind w:firstLine="425"/>
      </w:pPr>
      <w:r>
        <w:rPr>
          <w:rFonts w:ascii="Calibri" w:hAnsi="Calibri"/>
          <w:sz w:val="22"/>
        </w:rPr>
        <w:t>Authentication is the process of verifying that a person is who they claim to be. For decades, the industry standard has been the password — a shared secret known only to the legitimate user and the system. Despite its simplicity, this approach is catastrophically fragile in the modern threat landscape.</w:t>
      </w:r>
    </w:p>
    <w:p>
      <w:pPr>
        <w:spacing w:after="120"/>
        <w:ind w:firstLine="425"/>
      </w:pPr>
      <w:r>
        <w:rPr>
          <w:rFonts w:ascii="Calibri" w:hAnsi="Calibri"/>
          <w:sz w:val="22"/>
        </w:rPr>
        <w:t>Credential Theft is rampant. Billions of username-password pairs are traded openly on dark web marketplaces, harvested from data breaches at major organizations. Once a credential is stolen, an attacker can authenticate as the victim with perfect accuracy — the system has no way to distinguish the real user from the impersonator.</w:t>
      </w:r>
    </w:p>
    <w:p>
      <w:pPr>
        <w:spacing w:after="120"/>
        <w:ind w:firstLine="425"/>
      </w:pPr>
      <w:r>
        <w:rPr>
          <w:rFonts w:ascii="Calibri" w:hAnsi="Calibri"/>
          <w:sz w:val="22"/>
        </w:rPr>
        <w:t>Phishing Attacks exploit the human element. Fraudulent websites and emails trick users into voluntarily surrendering their credentials. No technical countermeasure stops a user from typing their password into a convincing fake login page. Replay Attacks occur when an intercepted authentication token or session credential is reused by an attacker. Even with encrypted transport, a replay attack can allow an adversary to assume an active session without knowing the underlying password.</w:t>
      </w:r>
    </w:p>
    <w:p>
      <w:pPr>
        <w:spacing w:after="120"/>
        <w:ind w:firstLine="425"/>
      </w:pPr>
      <w:r>
        <w:rPr>
          <w:rFonts w:ascii="Calibri" w:hAnsi="Calibri"/>
          <w:sz w:val="22"/>
        </w:rPr>
        <w:t>Multi-Factor Authentication (MFA), while significantly stronger, introduces user friction. One-time passwords via SMS are vulnerable to SIM-swapping. Hardware tokens can be lost. Push-notification fatigue causes users to approve fraudulent requests reflexively. The fundamental flaw in all of these mechanisms is that they are static — they rely on verifying a fixed piece of information at a single point in time. After login, no further identity verification occurs, leaving an active session fully exposed to a post-login adversary.</w:t>
      </w:r>
    </w:p>
    <w:p>
      <w:pPr>
        <w:spacing w:after="120"/>
        <w:ind w:firstLine="425"/>
      </w:pPr>
      <w:r>
        <w:rPr>
          <w:rFonts w:ascii="Calibri" w:hAnsi="Calibri"/>
          <w:sz w:val="22"/>
        </w:rPr>
        <w:t>What the industry needs is authentication that is continuous — verifying identity throughout the session; passive — requiring no active effort from the legitimate user; dynamic — producing a different signal every time that cannot be replayed or stolen; and personal — intrinsically tied to the individual's unique biological and behavioral traits. Behavioral biometrics fulfills all four requirements.</w:t>
      </w:r>
    </w:p>
    <w:p>
      <w:pPr>
        <w:pStyle w:val="Heading2"/>
      </w:pPr>
      <w:r>
        <w:rPr>
          <w:rFonts w:ascii="Calibri" w:hAnsi="Calibri"/>
          <w:color w:val="2E74B5"/>
        </w:rPr>
        <w:t>1.2  Proposed Solution</w:t>
      </w:r>
    </w:p>
    <w:p>
      <w:pPr>
        <w:spacing w:after="120"/>
        <w:ind w:firstLine="425"/>
      </w:pPr>
      <w:r>
        <w:rPr>
          <w:rFonts w:ascii="Calibri" w:hAnsi="Calibri"/>
          <w:sz w:val="22"/>
        </w:rPr>
        <w:t>BEHAVE-SEC builds a personalized behavioral model for each registered user. During an enrollment phase, the system silently observes the user's natural interaction patterns — how they type, how they move their mouse, how they click. This observation is distilled into a compact, 28-dimensional numerical feature vector that encodes the user's unique behavioral identity.</w:t>
      </w:r>
    </w:p>
    <w:p>
      <w:pPr>
        <w:spacing w:after="120"/>
        <w:ind w:firstLine="425"/>
      </w:pPr>
      <w:r>
        <w:rPr>
          <w:rFonts w:ascii="Calibri" w:hAnsi="Calibri"/>
          <w:sz w:val="22"/>
        </w:rPr>
        <w:t>Once enrolled, every subsequent interaction is compared against this learned profile in real time. If the behavioral signature of the current session matches the owner's established pattern, access continues uninterrupted. If the signature deviates significantly — indicating that someone else may be at the keyboard — the system flags the session as anomalous and can trigger escalation actions such as Step-Up MFA or session termination.</w:t>
      </w:r>
    </w:p>
    <w:p>
      <w:pPr>
        <w:spacing w:after="120"/>
        <w:ind w:firstLine="425"/>
      </w:pPr>
      <w:r>
        <w:rPr>
          <w:rFonts w:ascii="Calibri" w:hAnsi="Calibri"/>
          <w:sz w:val="22"/>
        </w:rPr>
        <w:t>Crucially, this entire process is invisible to the legitimate user. There is no extra button to click, no code to enter, no hardware to carry. The added security layer is completely transparent during normal use — it only becomes visible when something is wrong. The system also incorporates a dedicated Bot Detection module that addresses the growing threat of automated credential-stuffing attacks through two complementary mechanisms: a machine-learning-based global human baseline model and a deterministic kinematic check.</w:t>
      </w:r>
    </w:p>
    <w:p>
      <w:pPr>
        <w:pStyle w:val="Heading2"/>
      </w:pPr>
      <w:r>
        <w:rPr>
          <w:rFonts w:ascii="Calibri" w:hAnsi="Calibri"/>
          <w:color w:val="2E74B5"/>
        </w:rPr>
        <w:t>1.3  Core Idea</w:t>
      </w:r>
    </w:p>
    <w:p>
      <w:pPr>
        <w:spacing w:after="120"/>
        <w:ind w:firstLine="425"/>
      </w:pPr>
      <w:r>
        <w:rPr>
          <w:rFonts w:ascii="Calibri" w:hAnsi="Calibri"/>
          <w:sz w:val="22"/>
        </w:rPr>
        <w:t>The scientific foundation of BEHAVE-SEC rests on a well-established principle in cognitive neuroscience and human-computer interaction research: every individual interacts with a computer in a unique, consistent, and largely sub-conscious way.</w:t>
      </w:r>
    </w:p>
    <w:p>
      <w:pPr>
        <w:spacing w:after="120"/>
        <w:ind w:firstLine="425"/>
      </w:pPr>
      <w:r>
        <w:rPr>
          <w:rFonts w:ascii="Calibri" w:hAnsi="Calibri"/>
          <w:sz w:val="22"/>
        </w:rPr>
        <w:t>When a person types, their fingers follow ingrained muscular patterns — the result of years of habit and motor learning. The time between pressing one key and the next, the duration for which each key is held down, the rhythm of transitions between specific letter pairs (called digraphs) — all of these are as personal and stable as a handwriting signature. Research dating back to the 1980s (Gaines et al., 1980) demonstrated that keystroke timing alone can identify individuals with accuracy comparable to traditional biometrics.</w:t>
      </w:r>
    </w:p>
    <w:p>
      <w:pPr>
        <w:spacing w:after="120"/>
        <w:ind w:firstLine="425"/>
      </w:pPr>
      <w:r>
        <w:rPr>
          <w:rFonts w:ascii="Calibri" w:hAnsi="Calibri"/>
          <w:sz w:val="22"/>
        </w:rPr>
        <w:t>Mouse behavior is equally distinctive. The paths a person traces across a screen, the speed and acceleration of their movements, the precision and spacing of their clicks — these reflect individual motor habits and cognitive patterns that are extraordinarily difficult to consciously replicate. By capturing and modeling these patterns, BEHAVE-SEC creates a behavioral fingerprint that is unique to each individual, consistent over time, and replication-resistant — unlike a password, it cannot be written down, phished, or shared.</w:t>
      </w:r>
    </w:p>
    <w:p>
      <w:pPr>
        <w:pStyle w:val="Heading2"/>
      </w:pPr>
      <w:r>
        <w:rPr>
          <w:rFonts w:ascii="Calibri" w:hAnsi="Calibri"/>
          <w:color w:val="2E74B5"/>
        </w:rPr>
        <w:t>1.4  Scope of the System</w:t>
      </w:r>
    </w:p>
    <w:p>
      <w:pPr>
        <w:spacing w:after="120"/>
        <w:ind w:firstLine="425"/>
      </w:pPr>
      <w:r>
        <w:rPr>
          <w:rFonts w:ascii="Calibri" w:hAnsi="Calibri"/>
          <w:sz w:val="22"/>
        </w:rPr>
        <w:t>The BEHAVE-SEC system covers: User Enrollment via a structured Intruder Challenge collecting a minimum of 10 behavioral sessions; Real-Time Anomaly Detection scoring every new session against the personal One-Class SVM model in under 50 milliseconds; Bot Discrimination through a two-layer system combining a global human baseline model and a deterministic kinematic check; Active Learning via Feedback allowing the model to continuously refine its accuracy based on user-labeled sessions; and Behavioral Drift Protection to guard against model poisoning attacks through cosine similarity analysis and Step-Up MFA escalation.</w:t>
      </w:r>
    </w:p>
    <w:p>
      <w:pPr>
        <w:pStyle w:val="Heading2"/>
      </w:pPr>
      <w:r>
        <w:rPr>
          <w:rFonts w:ascii="Calibri" w:hAnsi="Calibri"/>
          <w:color w:val="2E74B5"/>
        </w:rPr>
        <w:t>1.5  Technology Stack Overview</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Layer</w:t>
            </w:r>
          </w:p>
        </w:tc>
        <w:tc>
          <w:tcPr>
            <w:tcW w:type="dxa" w:w="3041"/>
            <w:shd w:val="clear" w:color="auto" w:fill="1A569E"/>
          </w:tcPr>
          <w:p>
            <w:r/>
            <w:r>
              <w:rPr>
                <w:b/>
                <w:color w:val="FFFFFF"/>
                <w:sz w:val="20"/>
              </w:rPr>
              <w:t>Technology</w:t>
            </w:r>
          </w:p>
        </w:tc>
        <w:tc>
          <w:tcPr>
            <w:tcW w:type="dxa" w:w="3041"/>
            <w:shd w:val="clear" w:color="auto" w:fill="1A569E"/>
          </w:tcPr>
          <w:p>
            <w:r/>
            <w:r>
              <w:rPr>
                <w:b/>
                <w:color w:val="FFFFFF"/>
                <w:sz w:val="20"/>
              </w:rPr>
              <w:t>Role</w:t>
            </w:r>
          </w:p>
        </w:tc>
      </w:tr>
      <w:tr>
        <w:tc>
          <w:tcPr>
            <w:tcW w:type="dxa" w:w="3041"/>
            <w:shd w:val="clear" w:color="auto" w:fill="DCE6F1"/>
          </w:tcPr>
          <w:p>
            <w:r/>
            <w:r>
              <w:rPr>
                <w:rFonts w:ascii="Courier New" w:hAnsi="Courier New"/>
                <w:sz w:val="20"/>
              </w:rPr>
              <w:t>Frontend</w:t>
            </w:r>
          </w:p>
        </w:tc>
        <w:tc>
          <w:tcPr>
            <w:tcW w:type="dxa" w:w="3041"/>
            <w:shd w:val="clear" w:color="auto" w:fill="DCE6F1"/>
          </w:tcPr>
          <w:p>
            <w:r/>
            <w:r>
              <w:rPr>
                <w:sz w:val="20"/>
              </w:rPr>
              <w:t>HTML5, CSS3, JavaScript</w:t>
            </w:r>
          </w:p>
        </w:tc>
        <w:tc>
          <w:tcPr>
            <w:tcW w:type="dxa" w:w="3041"/>
            <w:shd w:val="clear" w:color="auto" w:fill="DCE6F1"/>
          </w:tcPr>
          <w:p>
            <w:r/>
            <w:r>
              <w:rPr>
                <w:sz w:val="20"/>
              </w:rPr>
              <w:t>Behavioral event capture, UI, challenge flow</w:t>
            </w:r>
          </w:p>
        </w:tc>
      </w:tr>
      <w:tr>
        <w:tc>
          <w:tcPr>
            <w:tcW w:type="dxa" w:w="3041"/>
            <w:shd w:val="clear" w:color="auto" w:fill="FFFFFF"/>
          </w:tcPr>
          <w:p>
            <w:r/>
            <w:r>
              <w:rPr>
                <w:rFonts w:ascii="Courier New" w:hAnsi="Courier New"/>
                <w:sz w:val="20"/>
              </w:rPr>
              <w:t>Gateway API</w:t>
            </w:r>
          </w:p>
        </w:tc>
        <w:tc>
          <w:tcPr>
            <w:tcW w:type="dxa" w:w="3041"/>
            <w:shd w:val="clear" w:color="auto" w:fill="FFFFFF"/>
          </w:tcPr>
          <w:p>
            <w:r/>
            <w:r>
              <w:rPr>
                <w:sz w:val="20"/>
              </w:rPr>
              <w:t>C# / ASP.NET Core 8</w:t>
            </w:r>
          </w:p>
        </w:tc>
        <w:tc>
          <w:tcPr>
            <w:tcW w:type="dxa" w:w="3041"/>
            <w:shd w:val="clear" w:color="auto" w:fill="FFFFFF"/>
          </w:tcPr>
          <w:p>
            <w:r/>
            <w:r>
              <w:rPr>
                <w:sz w:val="20"/>
              </w:rPr>
              <w:t>Authentication, session management, routing</w:t>
            </w:r>
          </w:p>
        </w:tc>
      </w:tr>
      <w:tr>
        <w:tc>
          <w:tcPr>
            <w:tcW w:type="dxa" w:w="3041"/>
            <w:shd w:val="clear" w:color="auto" w:fill="DCE6F1"/>
          </w:tcPr>
          <w:p>
            <w:r/>
            <w:r>
              <w:rPr>
                <w:rFonts w:ascii="Courier New" w:hAnsi="Courier New"/>
                <w:sz w:val="20"/>
              </w:rPr>
              <w:t>ML Microservice</w:t>
            </w:r>
          </w:p>
        </w:tc>
        <w:tc>
          <w:tcPr>
            <w:tcW w:type="dxa" w:w="3041"/>
            <w:shd w:val="clear" w:color="auto" w:fill="DCE6F1"/>
          </w:tcPr>
          <w:p>
            <w:r/>
            <w:r>
              <w:rPr>
                <w:sz w:val="20"/>
              </w:rPr>
              <w:t>Python 3.12 / FastAPI</w:t>
            </w:r>
          </w:p>
        </w:tc>
        <w:tc>
          <w:tcPr>
            <w:tcW w:type="dxa" w:w="3041"/>
            <w:shd w:val="clear" w:color="auto" w:fill="DCE6F1"/>
          </w:tcPr>
          <w:p>
            <w:r/>
            <w:r>
              <w:rPr>
                <w:sz w:val="20"/>
              </w:rPr>
              <w:t>Feature extraction, model training, scoring</w:t>
            </w:r>
          </w:p>
        </w:tc>
      </w:tr>
      <w:tr>
        <w:tc>
          <w:tcPr>
            <w:tcW w:type="dxa" w:w="3041"/>
            <w:shd w:val="clear" w:color="auto" w:fill="FFFFFF"/>
          </w:tcPr>
          <w:p>
            <w:r/>
            <w:r>
              <w:rPr>
                <w:rFonts w:ascii="Courier New" w:hAnsi="Courier New"/>
                <w:sz w:val="20"/>
              </w:rPr>
              <w:t>Database</w:t>
            </w:r>
          </w:p>
        </w:tc>
        <w:tc>
          <w:tcPr>
            <w:tcW w:type="dxa" w:w="3041"/>
            <w:shd w:val="clear" w:color="auto" w:fill="FFFFFF"/>
          </w:tcPr>
          <w:p>
            <w:r/>
            <w:r>
              <w:rPr>
                <w:sz w:val="20"/>
              </w:rPr>
              <w:t>SQLite (behave_dev.db)</w:t>
            </w:r>
          </w:p>
        </w:tc>
        <w:tc>
          <w:tcPr>
            <w:tcW w:type="dxa" w:w="3041"/>
            <w:shd w:val="clear" w:color="auto" w:fill="FFFFFF"/>
          </w:tcPr>
          <w:p>
            <w:r/>
            <w:r>
              <w:rPr>
                <w:sz w:val="20"/>
              </w:rPr>
              <w:t>User accounts, sessions, score history</w:t>
            </w:r>
          </w:p>
        </w:tc>
      </w:tr>
      <w:tr>
        <w:tc>
          <w:tcPr>
            <w:tcW w:type="dxa" w:w="3041"/>
            <w:shd w:val="clear" w:color="auto" w:fill="DCE6F1"/>
          </w:tcPr>
          <w:p>
            <w:r/>
            <w:r>
              <w:rPr>
                <w:rFonts w:ascii="Courier New" w:hAnsi="Courier New"/>
                <w:sz w:val="20"/>
              </w:rPr>
              <w:t>ML Libraries</w:t>
            </w:r>
          </w:p>
        </w:tc>
        <w:tc>
          <w:tcPr>
            <w:tcW w:type="dxa" w:w="3041"/>
            <w:shd w:val="clear" w:color="auto" w:fill="DCE6F1"/>
          </w:tcPr>
          <w:p>
            <w:r/>
            <w:r>
              <w:rPr>
                <w:sz w:val="20"/>
              </w:rPr>
              <w:t>scikit-learn, NumPy, joblib</w:t>
            </w:r>
          </w:p>
        </w:tc>
        <w:tc>
          <w:tcPr>
            <w:tcW w:type="dxa" w:w="3041"/>
            <w:shd w:val="clear" w:color="auto" w:fill="DCE6F1"/>
          </w:tcPr>
          <w:p>
            <w:r/>
            <w:r>
              <w:rPr>
                <w:sz w:val="20"/>
              </w:rPr>
              <w:t>OneClassSVM, StandardScaler, persistence</w:t>
            </w:r>
          </w:p>
        </w:tc>
      </w:tr>
      <w:tr>
        <w:tc>
          <w:tcPr>
            <w:tcW w:type="dxa" w:w="3041"/>
            <w:shd w:val="clear" w:color="auto" w:fill="FFFFFF"/>
          </w:tcPr>
          <w:p>
            <w:r/>
            <w:r>
              <w:rPr>
                <w:rFonts w:ascii="Courier New" w:hAnsi="Courier New"/>
                <w:sz w:val="20"/>
              </w:rPr>
              <w:t>Real-Time</w:t>
            </w:r>
          </w:p>
        </w:tc>
        <w:tc>
          <w:tcPr>
            <w:tcW w:type="dxa" w:w="3041"/>
            <w:shd w:val="clear" w:color="auto" w:fill="FFFFFF"/>
          </w:tcPr>
          <w:p>
            <w:r/>
            <w:r>
              <w:rPr>
                <w:sz w:val="20"/>
              </w:rPr>
              <w:t>ASP.NET SignalR</w:t>
            </w:r>
          </w:p>
        </w:tc>
        <w:tc>
          <w:tcPr>
            <w:tcW w:type="dxa" w:w="3041"/>
            <w:shd w:val="clear" w:color="auto" w:fill="FFFFFF"/>
          </w:tcPr>
          <w:p>
            <w:r/>
            <w:r>
              <w:rPr>
                <w:sz w:val="20"/>
              </w:rPr>
              <w:t>Live dashboard score streaming</w:t>
            </w:r>
          </w:p>
        </w:tc>
      </w:tr>
      <w:tr>
        <w:tc>
          <w:tcPr>
            <w:tcW w:type="dxa" w:w="3041"/>
            <w:shd w:val="clear" w:color="auto" w:fill="DCE6F1"/>
          </w:tcPr>
          <w:p>
            <w:r/>
            <w:r>
              <w:rPr>
                <w:rFonts w:ascii="Courier New" w:hAnsi="Courier New"/>
                <w:sz w:val="20"/>
              </w:rPr>
              <w:t>Deployment</w:t>
            </w:r>
          </w:p>
        </w:tc>
        <w:tc>
          <w:tcPr>
            <w:tcW w:type="dxa" w:w="3041"/>
            <w:shd w:val="clear" w:color="auto" w:fill="DCE6F1"/>
          </w:tcPr>
          <w:p>
            <w:r/>
            <w:r>
              <w:rPr>
                <w:sz w:val="20"/>
              </w:rPr>
              <w:t>Render.com (render.yaml)</w:t>
            </w:r>
          </w:p>
        </w:tc>
        <w:tc>
          <w:tcPr>
            <w:tcW w:type="dxa" w:w="3041"/>
            <w:shd w:val="clear" w:color="auto" w:fill="DCE6F1"/>
          </w:tcPr>
          <w:p>
            <w:r/>
            <w:r>
              <w:rPr>
                <w:sz w:val="20"/>
              </w:rPr>
              <w:t>Cloud hosting configuration</w:t>
            </w:r>
          </w:p>
        </w:tc>
      </w:tr>
    </w:tbl>
    <w:p/>
    <w:p>
      <w:pPr>
        <w:pStyle w:val="Heading2"/>
      </w:pPr>
      <w:r>
        <w:rPr>
          <w:rFonts w:ascii="Calibri" w:hAnsi="Calibri"/>
          <w:color w:val="2E74B5"/>
        </w:rPr>
        <w:t>1.6  Report Structure</w:t>
      </w:r>
    </w:p>
    <w:p>
      <w:pPr>
        <w:spacing w:after="120"/>
        <w:ind w:firstLine="425"/>
      </w:pPr>
      <w:r>
        <w:rPr>
          <w:rFonts w:ascii="Calibri" w:hAnsi="Calibri"/>
          <w:sz w:val="22"/>
        </w:rPr>
        <w:t>The remainder of this report is organized as follows: Chapter 2 surveys the academic foundations of behavioral biometrics. Chapter 3 describes the three-tier architecture and data flow. Chapter 4 details all 28 behavioral features and their derivation. Chapter 5 covers the machine learning model — algorithm selection, hyperparameter tuning, anomaly scoring, bot detection, and drift protection. Chapter 6 documents all REST endpoints and the C# gateway design. Chapter 7 describes the frontend pages, event capture, and the Intruder Challenge state machine. Chapter 8 analyses the security posture and production hardening requirements. Chapter 9 presents unit tests, integration tests, and validation results. Chapter 10 summarizes empirical performance metrics and discusses limitations. Chapter 11 concludes with key achievements and the future development roadmap.</w:t>
      </w:r>
    </w:p>
    <w:p>
      <w:r>
        <w:br w:type="page"/>
      </w:r>
    </w:p>
    <w:p>
      <w:pPr>
        <w:pStyle w:val="Heading1"/>
      </w:pPr>
      <w:r>
        <w:rPr>
          <w:rFonts w:ascii="Calibri" w:hAnsi="Calibri"/>
          <w:color w:val="1A569E"/>
        </w:rPr>
        <w:t>Chapter 2 — Background &amp; Literature Review</w:t>
      </w:r>
    </w:p>
    <w:p>
      <w:r>
        <w:rPr>
          <w:i/>
          <w:color w:val="888888"/>
          <w:sz w:val="20"/>
        </w:rPr>
        <w:t>Pages 5-9</w:t>
      </w:r>
    </w:p>
    <w:p/>
    <w:p>
      <w:pPr>
        <w:pStyle w:val="Heading2"/>
      </w:pPr>
      <w:r>
        <w:rPr>
          <w:rFonts w:ascii="Calibri" w:hAnsi="Calibri"/>
          <w:color w:val="2E74B5"/>
        </w:rPr>
        <w:t>2.1  Introduction to Behavioral Biometrics</w:t>
      </w:r>
    </w:p>
    <w:p>
      <w:pPr>
        <w:spacing w:after="120"/>
        <w:ind w:firstLine="425"/>
      </w:pPr>
      <w:r>
        <w:rPr>
          <w:rFonts w:ascii="Calibri" w:hAnsi="Calibri"/>
          <w:sz w:val="22"/>
        </w:rPr>
        <w:t>Biometrics is the science of measuring and analyzing biological and behavioral characteristics to verify identity. The field is broadly divided into physiological biometrics — such as fingerprints, iris patterns, and facial geometry — and behavioral biometrics, which analyzes the dynamic patterns that emerge from how a person performs an action rather than what their body looks like. Behavioral traits include keystroke dynamics, mouse dynamics, touchscreen gestures, gait analysis, voice dynamics, and signature dynamics.</w:t>
      </w:r>
    </w:p>
    <w:p>
      <w:pPr>
        <w:spacing w:after="120"/>
        <w:ind w:firstLine="425"/>
      </w:pPr>
      <w:r>
        <w:rPr>
          <w:rFonts w:ascii="Calibri" w:hAnsi="Calibri"/>
          <w:sz w:val="22"/>
        </w:rPr>
        <w:t>The defining characteristic of behavioral biometrics is that it is continuous and passive. Unlike a fingerprint scan, which requires deliberate user action at a specific moment, behavioral biometrics can be collected silently and invisibly throughout an entire session. This makes it uniquely suited for continuous authentication — the practice of verifying identity not just at login, but throughout the duration of a session. BEHAVE-SEC focuses on keystroke dynamics and mouse dynamics — the two most practical and extensively researched behavioral modalities for web-based authentication, requiring no specialized hardware beyond a standard keyboard and mouse.</w:t>
      </w:r>
    </w:p>
    <w:p>
      <w:pPr>
        <w:pStyle w:val="Heading2"/>
      </w:pPr>
      <w:r>
        <w:rPr>
          <w:rFonts w:ascii="Calibri" w:hAnsi="Calibri"/>
          <w:color w:val="2E74B5"/>
        </w:rPr>
        <w:t>2.2  Keystroke Dynamics — Historical Foundation</w:t>
      </w:r>
    </w:p>
    <w:p>
      <w:pPr>
        <w:spacing w:after="120"/>
        <w:ind w:firstLine="425"/>
      </w:pPr>
      <w:r>
        <w:rPr>
          <w:rFonts w:ascii="Calibri" w:hAnsi="Calibri"/>
          <w:sz w:val="22"/>
        </w:rPr>
        <w:t>The study of typing patterns as a biometric identifier has a surprisingly long history. The foundational work is widely attributed to Gaines et al. (1980), who demonstrated that the timing characteristics of a person's typing — specifically, the duration for which keys are held and the intervals between successive keystrokes — are sufficiently unique and stable to distinguish individuals. Their study, conducted on professional typists, showed that keystroke timing profiles could be matched with accuracy comparable to handwriting analysis.</w:t>
      </w:r>
    </w:p>
    <w:p>
      <w:pPr>
        <w:spacing w:after="120"/>
        <w:ind w:firstLine="425"/>
      </w:pPr>
      <w:r>
        <w:rPr>
          <w:rFonts w:ascii="Calibri" w:hAnsi="Calibri"/>
          <w:sz w:val="22"/>
        </w:rPr>
        <w:t>Leggett and Williams (1988) extended the analysis to non-professional typists, demonstrating that the biometric properties of keystroke dynamics generalize beyond controlled typist populations. Monrose and Rubin (1997, 2000) brought the concept firmly into the cybersecurity domain, proposing keystroke dynamics as a practical mechanism for user authentication and demonstrating classification accuracy above 90% in controlled settings.</w:t>
      </w:r>
    </w:p>
    <w:p>
      <w:pPr>
        <w:spacing w:after="120"/>
        <w:ind w:firstLine="425"/>
      </w:pPr>
      <w:r>
        <w:rPr>
          <w:rFonts w:ascii="Calibri" w:hAnsi="Calibri"/>
          <w:sz w:val="22"/>
        </w:rPr>
        <w:t>The publication of the CMU Keystroke Dynamics Benchmark Dataset by Killourhy and Maxion (2009) marked a turning point for the field. This dataset, comprising 51 subjects each typing the password '.tie5Roanl' 400 times, provided a standardized benchmark for comparing authentication algorithms. It remains one of the most widely cited datasets in keystroke dynamics research and directly informs the feature design used in BEHAVE-SEC — particularly the selection of keystroke indices used for the global human baseline model (features [6, 7, 8, 9, 16, 17]).</w:t>
      </w:r>
    </w:p>
    <w:p>
      <w:pPr>
        <w:spacing w:after="120"/>
        <w:ind w:firstLine="425"/>
      </w:pPr>
      <w:r>
        <w:rPr>
          <w:rFonts w:ascii="Calibri" w:hAnsi="Calibri"/>
          <w:sz w:val="22"/>
        </w:rPr>
        <w:t>The key insight from this body of research is that typing dynamics encode muscle memory — the sub-conscious neuromotor programs that govern how fingers move between keys. These programs are highly individual, deeply ingrained, and stable over long periods. They are also nearly impossible to deliberately replicate: even when people are asked to type like someone else, their own motor programs reassert themselves within seconds.</w:t>
      </w:r>
    </w:p>
    <w:p>
      <w:pPr>
        <w:pStyle w:val="Heading2"/>
      </w:pPr>
      <w:r>
        <w:rPr>
          <w:rFonts w:ascii="Calibri" w:hAnsi="Calibri"/>
          <w:color w:val="2E74B5"/>
        </w:rPr>
        <w:t>2.3  Mouse Dynamics — An Emerging Modality</w:t>
      </w:r>
    </w:p>
    <w:p>
      <w:pPr>
        <w:spacing w:after="120"/>
        <w:ind w:firstLine="425"/>
      </w:pPr>
      <w:r>
        <w:rPr>
          <w:rFonts w:ascii="Calibri" w:hAnsi="Calibri"/>
          <w:sz w:val="22"/>
        </w:rPr>
        <w:t>While keystroke dynamics has a 40-year research history, mouse dynamics emerged as a biometric modality in the early 2000s. Pusara and Brodley (2004) produced one of the earliest comprehensive studies of mouse movement as a biometric, demonstrating that features extracted from mouse speed, acceleration, and movement direction could distinguish users with measurable accuracy and serve as a complementary signal for continuous authentication.</w:t>
      </w:r>
    </w:p>
    <w:p>
      <w:pPr>
        <w:spacing w:after="120"/>
        <w:ind w:firstLine="425"/>
      </w:pPr>
      <w:r>
        <w:rPr>
          <w:rFonts w:ascii="Calibri" w:hAnsi="Calibri"/>
          <w:sz w:val="22"/>
        </w:rPr>
        <w:t>Shen et al. (2012) conducted a landmark study that established mouse movement speed, curvature patterns, and click intervals as particularly discriminative features. Their work showed that combining these three characteristics could achieve authentication accuracy exceeding 85% — a result that validated mouse dynamics as a serious biometric modality. Ahmed and Traore (2007) further analyzed mouse dynamics in naturalistic settings, finding that while accuracy drops somewhat in unconstrained use, it remains sufficient for anomaly detection in continuous authentication applications.</w:t>
      </w:r>
    </w:p>
    <w:p>
      <w:pPr>
        <w:spacing w:after="120"/>
        <w:ind w:firstLine="425"/>
      </w:pPr>
      <w:r>
        <w:rPr>
          <w:rFonts w:ascii="Calibri" w:hAnsi="Calibri"/>
          <w:sz w:val="22"/>
        </w:rPr>
        <w:t>A critical distinction between human and automated bot mouse behavior is path curvature. Human mouse movements follow naturally curved trajectories — the result of biomechanical constraints and the cognitive process of aiming at a target. Automated agents typically generate linear trajectories between points, producing a path directness ratio approaching 1.0. BEHAVE-SEC exploits this distinction as its primary zero-day bot detection mechanism.</w:t>
      </w:r>
    </w:p>
    <w:p>
      <w:pPr>
        <w:pStyle w:val="Heading2"/>
      </w:pPr>
      <w:r>
        <w:rPr>
          <w:rFonts w:ascii="Calibri" w:hAnsi="Calibri"/>
          <w:color w:val="2E74B5"/>
        </w:rPr>
        <w:t>2.4  One-Class Classification</w:t>
      </w:r>
    </w:p>
    <w:p>
      <w:pPr>
        <w:spacing w:after="120"/>
        <w:ind w:firstLine="425"/>
      </w:pPr>
      <w:r>
        <w:rPr>
          <w:rFonts w:ascii="Calibri" w:hAnsi="Calibri"/>
          <w:sz w:val="22"/>
        </w:rPr>
        <w:t>A central algorithmic challenge in behavioral biometrics authentication is that it is inherently a one-class classification problem. At enrollment time, the system has access only to samples from the legitimate owner — there is no set of known intruder samples to learn from. The model must learn to recognize the owner and flag everything else as anomalous.</w:t>
      </w:r>
    </w:p>
    <w:p>
      <w:pPr>
        <w:spacing w:after="120"/>
        <w:ind w:firstLine="425"/>
      </w:pPr>
      <w:r>
        <w:rPr>
          <w:rFonts w:ascii="Calibri" w:hAnsi="Calibri"/>
          <w:sz w:val="22"/>
        </w:rPr>
        <w:t>Gaussian Models assume that the owner's feature vectors follow a multivariate Gaussian distribution and perform poorly when the feature distribution is non-Gaussian — a common situation in behavioral data. Isolation Forest (Liu et al., 2008) is an ensemble method that explicitly isolates anomalies by recursively partitioning the feature space. One-Class SVM (Scholkopf et al., 2001) maps the owner's training data into a high-dimensional feature space via a kernel function and finds the minimum-volume hypersphere enclosing the majority of the data. With an RBF kernel, the decision boundary can be highly non-linear — making it particularly well-suited to the complex, non-linear structure of behavioral feature spaces. BEHAVE-SEC's hyperparameter grid-search empirically confirmed that One-Class SVM with an RBF kernel outperforms Isolation Forest on the behavioral biometrics task, achieving 96% balanced accuracy at the validated settings.</w:t>
      </w:r>
    </w:p>
    <w:p>
      <w:pPr>
        <w:pStyle w:val="Heading2"/>
      </w:pPr>
      <w:r>
        <w:rPr>
          <w:rFonts w:ascii="Calibri" w:hAnsi="Calibri"/>
          <w:color w:val="2E74B5"/>
        </w:rPr>
        <w:t>2.5  Limitations of Existing Work</w:t>
      </w:r>
    </w:p>
    <w:p>
      <w:pPr>
        <w:spacing w:after="120"/>
        <w:ind w:firstLine="425"/>
      </w:pPr>
      <w:r>
        <w:rPr>
          <w:rFonts w:ascii="Calibri" w:hAnsi="Calibri"/>
          <w:sz w:val="22"/>
        </w:rPr>
        <w:t>Despite four decades of research, behavioral biometrics systems face several persistent challenges. The overwhelming majority of published systems rely exclusively on keyboard data — BEHAVE-SEC addresses this by fusing keyboard and mouse modalities. Many published systems require hundreds of labeled samples before achieving acceptable accuracy — BEHAVE-SEC achieves reliable operation with as few as 10 behavioral sessions through a tightly-tuned One-Class SVM and an active learning feedback loop. Virtually all published systems focus exclusively on the binary problem of owner versus human intruder, ignoring the threat of automated agents — BEHAVE-SEC integrates bot detection as a first-class concern. Finally, no published system explicitly addresses the threat of model poisoning attacks through adversarial feedback — BEHAVE-SEC implements a cosine similarity drift guard backed by Step-Up MFA.</w:t>
      </w:r>
    </w:p>
    <w:p>
      <w:pPr>
        <w:pStyle w:val="Heading2"/>
      </w:pPr>
      <w:r>
        <w:rPr>
          <w:rFonts w:ascii="Calibri" w:hAnsi="Calibri"/>
          <w:color w:val="2E74B5"/>
        </w:rPr>
        <w:t>2.6  BEHAVE-SEC's Contribution</w:t>
      </w:r>
    </w:p>
    <w:p>
      <w:pPr>
        <w:spacing w:after="120"/>
        <w:ind w:firstLine="425"/>
      </w:pPr>
      <w:r>
        <w:rPr>
          <w:rFonts w:ascii="Calibri" w:hAnsi="Calibri"/>
          <w:sz w:val="22"/>
        </w:rPr>
        <w:t>Against this backdrop, BEHAVE-SEC makes five novel contributions: a unified 28-feature multimodal behavioral vector; a rigorously tuned One-Class SVM achieving 96% balanced accuracy with 100% owner acceptance and 92% intruder rejection; a two-layer bot detection system combining population-level ML with a deterministic kinematic check; an active learning feedback loop protected by a cosine similarity drift guard; and a full-stack production implementation built on industry-standard technologies — not a research prototype, but a functional security platform ready for real-world evaluation.</w:t>
      </w:r>
    </w:p>
    <w:p>
      <w:r>
        <w:br w:type="page"/>
      </w:r>
    </w:p>
    <w:p>
      <w:pPr>
        <w:pStyle w:val="Heading1"/>
      </w:pPr>
      <w:r>
        <w:rPr>
          <w:rFonts w:ascii="Calibri" w:hAnsi="Calibri"/>
          <w:color w:val="1A569E"/>
        </w:rPr>
        <w:t>Chapter 3 — System Architecture</w:t>
      </w:r>
    </w:p>
    <w:p>
      <w:r>
        <w:rPr>
          <w:i/>
          <w:color w:val="888888"/>
          <w:sz w:val="20"/>
        </w:rPr>
        <w:t>Pages 10-15</w:t>
      </w:r>
    </w:p>
    <w:p/>
    <w:p>
      <w:pPr>
        <w:pStyle w:val="Heading2"/>
      </w:pPr>
      <w:r>
        <w:rPr>
          <w:rFonts w:ascii="Calibri" w:hAnsi="Calibri"/>
          <w:color w:val="2E74B5"/>
        </w:rPr>
        <w:t>3.1  Architectural Philosophy</w:t>
      </w:r>
    </w:p>
    <w:p>
      <w:pPr>
        <w:spacing w:after="120"/>
        <w:ind w:firstLine="425"/>
      </w:pPr>
      <w:r>
        <w:rPr>
          <w:rFonts w:ascii="Calibri" w:hAnsi="Calibri"/>
          <w:sz w:val="22"/>
        </w:rPr>
        <w:t>The architecture of BEHAVE-SEC was designed around three guiding principles: separation of concerns, horizontal scalability, and operational resilience. Each tier of the system has a single, well-defined responsibility. No layer reaches into the domain of another. This clean boundary-setting yields a system that can be debugged, scaled, and evolved independently at each tier — a critical property for a security-sensitive application where the ML engine may need to be retrained or replaced without disturbing the authentication gateway.</w:t>
      </w:r>
    </w:p>
    <w:p>
      <w:pPr>
        <w:spacing w:after="120"/>
        <w:ind w:firstLine="425"/>
      </w:pPr>
      <w:r>
        <w:rPr>
          <w:rFonts w:ascii="Calibri" w:hAnsi="Calibri"/>
          <w:sz w:val="22"/>
        </w:rPr>
        <w:t>The result is a three-tier architecture composed of: a Browser Frontend responsible solely for behavioral event capture and user interaction; a C# ASP.NET Core Gateway API responsible for user identity, session management, and request orchestration; and a Python FastAPI ML Microservice responsible exclusively for machine learning — feature extraction, model training, and anomaly scoring.</w:t>
      </w:r>
    </w:p>
    <w:p>
      <w:pPr>
        <w:pStyle w:val="Heading2"/>
      </w:pPr>
      <w:r>
        <w:rPr>
          <w:rFonts w:ascii="Calibri" w:hAnsi="Calibri"/>
          <w:color w:val="2E74B5"/>
        </w:rPr>
        <w:t>3.2  Tier 1 — Browser Frontend</w:t>
      </w:r>
    </w:p>
    <w:p>
      <w:pPr>
        <w:spacing w:after="120"/>
        <w:ind w:firstLine="425"/>
      </w:pPr>
      <w:r>
        <w:rPr>
          <w:rFonts w:ascii="Calibri" w:hAnsi="Calibri"/>
          <w:sz w:val="22"/>
        </w:rPr>
        <w:t>The frontend layer is built entirely with vanilla HTML5, CSS3, and JavaScript — a deliberate choice that eliminates framework dependencies and ensures the behavioral capture code runs in every modern browser without a build step or package manager. The frontend consists of ten HTML pages, each serving a specific function within the user journey, from the landing page through signup, login, the three-phase Intruder Challenge, the real-time dashboard, and the analytical visualization pages.</w:t>
      </w:r>
    </w:p>
    <w:p>
      <w:pPr>
        <w:spacing w:after="120"/>
        <w:ind w:firstLine="425"/>
      </w:pPr>
      <w:r>
        <w:rPr>
          <w:rFonts w:ascii="Calibri" w:hAnsi="Calibri"/>
          <w:sz w:val="22"/>
        </w:rPr>
        <w:t>The core responsibility of the frontend JavaScript is to silently capture user interaction events and transmit them to the backend. Five event types are captured: keydown events record the key identifier and timestamp at the moment a key is pressed; keyup events record the release moment enabling dwell time computation; mousemove events record cursor coordinates at 100ms throttling; click events record screen coordinates and timestamps for interval and precision analysis; and scroll events record activity density. All captured events are stored as structured objects in a JavaScript array and POSTed as JSON to the C# gateway at the end of each session.</w:t>
      </w:r>
    </w:p>
    <w:p>
      <w:pPr>
        <w:pStyle w:val="Heading2"/>
      </w:pPr>
      <w:r>
        <w:rPr>
          <w:rFonts w:ascii="Calibri" w:hAnsi="Calibri"/>
          <w:color w:val="2E74B5"/>
        </w:rPr>
        <w:t>3.3  Tier 2 — C# ASP.NET Core Gateway API</w:t>
      </w:r>
    </w:p>
    <w:p>
      <w:pPr>
        <w:spacing w:after="120"/>
        <w:ind w:firstLine="425"/>
      </w:pPr>
      <w:r>
        <w:rPr>
          <w:rFonts w:ascii="Calibri" w:hAnsi="Calibri"/>
          <w:sz w:val="22"/>
        </w:rPr>
        <w:t>The gateway API is built with C# and ASP.NET Core 8 and serves as the authoritative entry point for all authenticated client requests. Its responsibilities are strictly bounded to user identity management, session management, request validation and routing, result aggregation, and real-time communication via SignalR WebSocket connections.</w:t>
      </w:r>
    </w:p>
    <w:p>
      <w:pPr>
        <w:spacing w:after="120"/>
        <w:ind w:firstLine="425"/>
      </w:pPr>
      <w:r>
        <w:rPr>
          <w:rFonts w:ascii="Calibri" w:hAnsi="Calibri"/>
          <w:sz w:val="22"/>
        </w:rPr>
        <w:t>The gateway exposes three controllers: AuthController handles user registration, JWT token issuance, and the login flow; BehavioralController receives events from the browser, validates and proxies them to the Python microservice, persists session results to SQLite, and broadcasts scores via SignalR; StatsController provides read-only aggregate analytics for the dashboard and analysis pages. All state is persisted in a SQLite database (behave_dev.db) managed via Entity Framework Core.</w:t>
      </w:r>
    </w:p>
    <w:p>
      <w:pPr>
        <w:pStyle w:val="Heading2"/>
      </w:pPr>
      <w:r>
        <w:rPr>
          <w:rFonts w:ascii="Calibri" w:hAnsi="Calibri"/>
          <w:color w:val="2E74B5"/>
        </w:rPr>
        <w:t>3.4  Tier 3 — Python FastAPI ML Microservice</w:t>
      </w:r>
    </w:p>
    <w:p>
      <w:pPr>
        <w:spacing w:after="120"/>
        <w:ind w:firstLine="425"/>
      </w:pPr>
      <w:r>
        <w:rPr>
          <w:rFonts w:ascii="Calibri" w:hAnsi="Calibri"/>
          <w:sz w:val="22"/>
        </w:rPr>
        <w:t>The Python microservice is the intelligence core of BEHAVE-SEC — a stateless HTTP service where each request is processed independently, but persistent state is maintained on the filesystem via serialized model files and NumPy arrays. FastAPI was chosen for its performance via asynchronous I/O, automatic Pydantic-based request validation, and auto-generated OpenAPI documentation at /docs.</w:t>
      </w:r>
    </w:p>
    <w:p>
      <w:pPr>
        <w:spacing w:after="120"/>
        <w:ind w:firstLine="425"/>
      </w:pPr>
      <w:r>
        <w:rPr>
          <w:rFonts w:ascii="Calibri" w:hAnsi="Calibri"/>
          <w:sz w:val="22"/>
        </w:rPr>
        <w:t>When a POST /collect-data request arrives, the full processing pipeline executes: Pydantic validation confirms schema correctness; extract_features() transforms the raw event list into a 28-dimensional NumPy array; the buffer management logic appends the vector and checks for auto-training; if the model is trained, the OneClassSVM scores the feature vector through a calibrated sigmoid; bot detection runs in parallel; and a structured JSON result is returned within 50 milliseconds.</w:t>
      </w:r>
    </w:p>
    <w:p>
      <w:pPr>
        <w:pStyle w:val="Heading2"/>
      </w:pPr>
      <w:r>
        <w:rPr>
          <w:rFonts w:ascii="Calibri" w:hAnsi="Calibri"/>
          <w:color w:val="2E74B5"/>
        </w:rPr>
        <w:t>3.5  Persistence Layer</w:t>
      </w:r>
    </w:p>
    <w:p>
      <w:pPr>
        <w:spacing w:after="120"/>
        <w:ind w:firstLine="425"/>
      </w:pPr>
      <w:r>
        <w:rPr>
          <w:rFonts w:ascii="Calibri" w:hAnsi="Calibri"/>
          <w:sz w:val="22"/>
        </w:rPr>
        <w:t>BEHAVE-SEC maintains four categories of persistent state on the filesystem, all stored in the directory defined by settings.MODEL_DIR. Per-user files include the trained model (anomaly_detector_{user_id}.pkl serialized via joblib), the training buffer (training_data_{user_id}.npy), and the master centroid (master_centroid_{user_id}.npy). A single global file (global_human_model.pkl) holds the population-level bot detection model shared across all users.</w:t>
      </w:r>
    </w:p>
    <w:p>
      <w:pPr>
        <w:spacing w:after="120"/>
        <w:ind w:firstLine="425"/>
      </w:pPr>
      <w:r>
        <w:rPr>
          <w:rFonts w:ascii="Calibri" w:hAnsi="Calibri"/>
          <w:sz w:val="22"/>
        </w:rPr>
        <w:t>All load operations are wrapped in try/except blocks: if a file is corrupted, missing, or incompatible, the system logs a warning and falls back gracefully to a fresh state rather than crashing. This graceful degradation is essential for operational resilience in a production environment where the service must restart cleanly after crashes without manual intervention.</w:t>
      </w:r>
    </w:p>
    <w:p>
      <w:pPr>
        <w:pStyle w:val="Heading2"/>
      </w:pPr>
      <w:r>
        <w:rPr>
          <w:rFonts w:ascii="Calibri" w:hAnsi="Calibri"/>
          <w:color w:val="2E74B5"/>
        </w:rPr>
        <w:t>3.6  Multi-User Isolation — ModelManager</w:t>
      </w:r>
    </w:p>
    <w:p>
      <w:pPr>
        <w:spacing w:after="120"/>
        <w:ind w:firstLine="425"/>
      </w:pPr>
      <w:r>
        <w:rPr>
          <w:rFonts w:ascii="Calibri" w:hAnsi="Calibri"/>
          <w:sz w:val="22"/>
        </w:rPr>
        <w:t>The ModelManager class orchestrates AnomalyDetector instances across all registered users. It maintains an in-memory dictionary mapping user_id strings to AnomalyDetector instances, created lazily on first request for each user. Thread safety is enforced at two levels: a ModelManager lock protects the dictionary during detector creation, and each AnomalyDetector's own lock protects all per-user state during training, scoring, and feedback operations. The model_manager singleton is instantiated once at module import time and shared across all FastAPI route handlers.</w:t>
      </w:r>
    </w:p>
    <w:p>
      <w:pPr>
        <w:pStyle w:val="Heading2"/>
      </w:pPr>
      <w:r>
        <w:rPr>
          <w:rFonts w:ascii="Calibri" w:hAnsi="Calibri"/>
          <w:color w:val="2E74B5"/>
        </w:rPr>
        <w:t>3.7  Data Flow</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69E"/>
          </w:tcPr>
          <w:p>
            <w:r/>
            <w:r>
              <w:rPr>
                <w:b/>
                <w:color w:val="FFFFFF"/>
                <w:sz w:val="20"/>
              </w:rPr>
              <w:t>Step</w:t>
            </w:r>
          </w:p>
        </w:tc>
        <w:tc>
          <w:tcPr>
            <w:tcW w:type="dxa" w:w="2280"/>
            <w:shd w:val="clear" w:color="auto" w:fill="1A569E"/>
          </w:tcPr>
          <w:p>
            <w:r/>
            <w:r>
              <w:rPr>
                <w:b/>
                <w:color w:val="FFFFFF"/>
                <w:sz w:val="20"/>
              </w:rPr>
              <w:t>From</w:t>
            </w:r>
          </w:p>
        </w:tc>
        <w:tc>
          <w:tcPr>
            <w:tcW w:type="dxa" w:w="2280"/>
            <w:shd w:val="clear" w:color="auto" w:fill="1A569E"/>
          </w:tcPr>
          <w:p>
            <w:r/>
            <w:r>
              <w:rPr>
                <w:b/>
                <w:color w:val="FFFFFF"/>
                <w:sz w:val="20"/>
              </w:rPr>
              <w:t>To</w:t>
            </w:r>
          </w:p>
        </w:tc>
        <w:tc>
          <w:tcPr>
            <w:tcW w:type="dxa" w:w="2280"/>
            <w:shd w:val="clear" w:color="auto" w:fill="1A569E"/>
          </w:tcPr>
          <w:p>
            <w:r/>
            <w:r>
              <w:rPr>
                <w:b/>
                <w:color w:val="FFFFFF"/>
                <w:sz w:val="20"/>
              </w:rPr>
              <w:t>Protocol</w:t>
            </w:r>
          </w:p>
        </w:tc>
      </w:tr>
      <w:tr>
        <w:tc>
          <w:tcPr>
            <w:tcW w:type="dxa" w:w="2280"/>
            <w:shd w:val="clear" w:color="auto" w:fill="DCE6F1"/>
          </w:tcPr>
          <w:p>
            <w:r/>
            <w:r>
              <w:rPr>
                <w:rFonts w:ascii="Courier New" w:hAnsi="Courier New"/>
                <w:sz w:val="20"/>
              </w:rPr>
              <w:t>1</w:t>
            </w:r>
          </w:p>
        </w:tc>
        <w:tc>
          <w:tcPr>
            <w:tcW w:type="dxa" w:w="2280"/>
            <w:shd w:val="clear" w:color="auto" w:fill="DCE6F1"/>
          </w:tcPr>
          <w:p>
            <w:r/>
            <w:r>
              <w:rPr>
                <w:sz w:val="20"/>
              </w:rPr>
              <w:t>Browser</w:t>
            </w:r>
          </w:p>
        </w:tc>
        <w:tc>
          <w:tcPr>
            <w:tcW w:type="dxa" w:w="2280"/>
            <w:shd w:val="clear" w:color="auto" w:fill="DCE6F1"/>
          </w:tcPr>
          <w:p>
            <w:r/>
            <w:r>
              <w:rPr>
                <w:sz w:val="20"/>
              </w:rPr>
              <w:t>C# Gateway</w:t>
            </w:r>
          </w:p>
        </w:tc>
        <w:tc>
          <w:tcPr>
            <w:tcW w:type="dxa" w:w="2280"/>
            <w:shd w:val="clear" w:color="auto" w:fill="DCE6F1"/>
          </w:tcPr>
          <w:p>
            <w:r/>
            <w:r>
              <w:rPr>
                <w:sz w:val="20"/>
              </w:rPr>
              <w:t>HTTPS REST POST (behavioral payload)</w:t>
            </w:r>
          </w:p>
        </w:tc>
      </w:tr>
      <w:tr>
        <w:tc>
          <w:tcPr>
            <w:tcW w:type="dxa" w:w="2280"/>
            <w:shd w:val="clear" w:color="auto" w:fill="FFFFFF"/>
          </w:tcPr>
          <w:p>
            <w:r/>
            <w:r>
              <w:rPr>
                <w:rFonts w:ascii="Courier New" w:hAnsi="Courier New"/>
                <w:sz w:val="20"/>
              </w:rPr>
              <w:t>2</w:t>
            </w:r>
          </w:p>
        </w:tc>
        <w:tc>
          <w:tcPr>
            <w:tcW w:type="dxa" w:w="2280"/>
            <w:shd w:val="clear" w:color="auto" w:fill="FFFFFF"/>
          </w:tcPr>
          <w:p>
            <w:r/>
            <w:r>
              <w:rPr>
                <w:sz w:val="20"/>
              </w:rPr>
              <w:t>C# Gateway</w:t>
            </w:r>
          </w:p>
        </w:tc>
        <w:tc>
          <w:tcPr>
            <w:tcW w:type="dxa" w:w="2280"/>
            <w:shd w:val="clear" w:color="auto" w:fill="FFFFFF"/>
          </w:tcPr>
          <w:p>
            <w:r/>
            <w:r>
              <w:rPr>
                <w:sz w:val="20"/>
              </w:rPr>
              <w:t>Python ML</w:t>
            </w:r>
          </w:p>
        </w:tc>
        <w:tc>
          <w:tcPr>
            <w:tcW w:type="dxa" w:w="2280"/>
            <w:shd w:val="clear" w:color="auto" w:fill="FFFFFF"/>
          </w:tcPr>
          <w:p>
            <w:r/>
            <w:r>
              <w:rPr>
                <w:sz w:val="20"/>
              </w:rPr>
              <w:t>Internal HTTP POST (/collect-data)</w:t>
            </w:r>
          </w:p>
        </w:tc>
      </w:tr>
      <w:tr>
        <w:tc>
          <w:tcPr>
            <w:tcW w:type="dxa" w:w="2280"/>
            <w:shd w:val="clear" w:color="auto" w:fill="DCE6F1"/>
          </w:tcPr>
          <w:p>
            <w:r/>
            <w:r>
              <w:rPr>
                <w:rFonts w:ascii="Courier New" w:hAnsi="Courier New"/>
                <w:sz w:val="20"/>
              </w:rPr>
              <w:t>3</w:t>
            </w:r>
          </w:p>
        </w:tc>
        <w:tc>
          <w:tcPr>
            <w:tcW w:type="dxa" w:w="2280"/>
            <w:shd w:val="clear" w:color="auto" w:fill="DCE6F1"/>
          </w:tcPr>
          <w:p>
            <w:r/>
            <w:r>
              <w:rPr>
                <w:sz w:val="20"/>
              </w:rPr>
              <w:t>Python ML</w:t>
            </w:r>
          </w:p>
        </w:tc>
        <w:tc>
          <w:tcPr>
            <w:tcW w:type="dxa" w:w="2280"/>
            <w:shd w:val="clear" w:color="auto" w:fill="DCE6F1"/>
          </w:tcPr>
          <w:p>
            <w:r/>
            <w:r>
              <w:rPr>
                <w:sz w:val="20"/>
              </w:rPr>
              <w:t>Feature Engine</w:t>
            </w:r>
          </w:p>
        </w:tc>
        <w:tc>
          <w:tcPr>
            <w:tcW w:type="dxa" w:w="2280"/>
            <w:shd w:val="clear" w:color="auto" w:fill="DCE6F1"/>
          </w:tcPr>
          <w:p>
            <w:r/>
            <w:r>
              <w:rPr>
                <w:sz w:val="20"/>
              </w:rPr>
              <w:t>In-process (extract_features())</w:t>
            </w:r>
          </w:p>
        </w:tc>
      </w:tr>
      <w:tr>
        <w:tc>
          <w:tcPr>
            <w:tcW w:type="dxa" w:w="2280"/>
            <w:shd w:val="clear" w:color="auto" w:fill="FFFFFF"/>
          </w:tcPr>
          <w:p>
            <w:r/>
            <w:r>
              <w:rPr>
                <w:rFonts w:ascii="Courier New" w:hAnsi="Courier New"/>
                <w:sz w:val="20"/>
              </w:rPr>
              <w:t>4</w:t>
            </w:r>
          </w:p>
        </w:tc>
        <w:tc>
          <w:tcPr>
            <w:tcW w:type="dxa" w:w="2280"/>
            <w:shd w:val="clear" w:color="auto" w:fill="FFFFFF"/>
          </w:tcPr>
          <w:p>
            <w:r/>
            <w:r>
              <w:rPr>
                <w:sz w:val="20"/>
              </w:rPr>
              <w:t>Feature Engine</w:t>
            </w:r>
          </w:p>
        </w:tc>
        <w:tc>
          <w:tcPr>
            <w:tcW w:type="dxa" w:w="2280"/>
            <w:shd w:val="clear" w:color="auto" w:fill="FFFFFF"/>
          </w:tcPr>
          <w:p>
            <w:r/>
            <w:r>
              <w:rPr>
                <w:sz w:val="20"/>
              </w:rPr>
              <w:t>OneClassSVM</w:t>
            </w:r>
          </w:p>
        </w:tc>
        <w:tc>
          <w:tcPr>
            <w:tcW w:type="dxa" w:w="2280"/>
            <w:shd w:val="clear" w:color="auto" w:fill="FFFFFF"/>
          </w:tcPr>
          <w:p>
            <w:r/>
            <w:r>
              <w:rPr>
                <w:sz w:val="20"/>
              </w:rPr>
              <w:t>In-process (transform + score)</w:t>
            </w:r>
          </w:p>
        </w:tc>
      </w:tr>
      <w:tr>
        <w:tc>
          <w:tcPr>
            <w:tcW w:type="dxa" w:w="2280"/>
            <w:shd w:val="clear" w:color="auto" w:fill="DCE6F1"/>
          </w:tcPr>
          <w:p>
            <w:r/>
            <w:r>
              <w:rPr>
                <w:rFonts w:ascii="Courier New" w:hAnsi="Courier New"/>
                <w:sz w:val="20"/>
              </w:rPr>
              <w:t>5</w:t>
            </w:r>
          </w:p>
        </w:tc>
        <w:tc>
          <w:tcPr>
            <w:tcW w:type="dxa" w:w="2280"/>
            <w:shd w:val="clear" w:color="auto" w:fill="DCE6F1"/>
          </w:tcPr>
          <w:p>
            <w:r/>
            <w:r>
              <w:rPr>
                <w:sz w:val="20"/>
              </w:rPr>
              <w:t>Python ML</w:t>
            </w:r>
          </w:p>
        </w:tc>
        <w:tc>
          <w:tcPr>
            <w:tcW w:type="dxa" w:w="2280"/>
            <w:shd w:val="clear" w:color="auto" w:fill="DCE6F1"/>
          </w:tcPr>
          <w:p>
            <w:r/>
            <w:r>
              <w:rPr>
                <w:sz w:val="20"/>
              </w:rPr>
              <w:t>C# Gateway</w:t>
            </w:r>
          </w:p>
        </w:tc>
        <w:tc>
          <w:tcPr>
            <w:tcW w:type="dxa" w:w="2280"/>
            <w:shd w:val="clear" w:color="auto" w:fill="DCE6F1"/>
          </w:tcPr>
          <w:p>
            <w:r/>
            <w:r>
              <w:rPr>
                <w:sz w:val="20"/>
              </w:rPr>
              <w:t>JSON anomaly result</w:t>
            </w:r>
          </w:p>
        </w:tc>
      </w:tr>
      <w:tr>
        <w:tc>
          <w:tcPr>
            <w:tcW w:type="dxa" w:w="2280"/>
            <w:shd w:val="clear" w:color="auto" w:fill="FFFFFF"/>
          </w:tcPr>
          <w:p>
            <w:r/>
            <w:r>
              <w:rPr>
                <w:rFonts w:ascii="Courier New" w:hAnsi="Courier New"/>
                <w:sz w:val="20"/>
              </w:rPr>
              <w:t>6</w:t>
            </w:r>
          </w:p>
        </w:tc>
        <w:tc>
          <w:tcPr>
            <w:tcW w:type="dxa" w:w="2280"/>
            <w:shd w:val="clear" w:color="auto" w:fill="FFFFFF"/>
          </w:tcPr>
          <w:p>
            <w:r/>
            <w:r>
              <w:rPr>
                <w:sz w:val="20"/>
              </w:rPr>
              <w:t>C# Gateway</w:t>
            </w:r>
          </w:p>
        </w:tc>
        <w:tc>
          <w:tcPr>
            <w:tcW w:type="dxa" w:w="2280"/>
            <w:shd w:val="clear" w:color="auto" w:fill="FFFFFF"/>
          </w:tcPr>
          <w:p>
            <w:r/>
            <w:r>
              <w:rPr>
                <w:sz w:val="20"/>
              </w:rPr>
              <w:t>SQLite DB</w:t>
            </w:r>
          </w:p>
        </w:tc>
        <w:tc>
          <w:tcPr>
            <w:tcW w:type="dxa" w:w="2280"/>
            <w:shd w:val="clear" w:color="auto" w:fill="FFFFFF"/>
          </w:tcPr>
          <w:p>
            <w:r/>
            <w:r>
              <w:rPr>
                <w:sz w:val="20"/>
              </w:rPr>
              <w:t>Session record persistence</w:t>
            </w:r>
          </w:p>
        </w:tc>
      </w:tr>
      <w:tr>
        <w:tc>
          <w:tcPr>
            <w:tcW w:type="dxa" w:w="2280"/>
            <w:shd w:val="clear" w:color="auto" w:fill="DCE6F1"/>
          </w:tcPr>
          <w:p>
            <w:r/>
            <w:r>
              <w:rPr>
                <w:rFonts w:ascii="Courier New" w:hAnsi="Courier New"/>
                <w:sz w:val="20"/>
              </w:rPr>
              <w:t>7</w:t>
            </w:r>
          </w:p>
        </w:tc>
        <w:tc>
          <w:tcPr>
            <w:tcW w:type="dxa" w:w="2280"/>
            <w:shd w:val="clear" w:color="auto" w:fill="DCE6F1"/>
          </w:tcPr>
          <w:p>
            <w:r/>
            <w:r>
              <w:rPr>
                <w:sz w:val="20"/>
              </w:rPr>
              <w:t>C# Gateway</w:t>
            </w:r>
          </w:p>
        </w:tc>
        <w:tc>
          <w:tcPr>
            <w:tcW w:type="dxa" w:w="2280"/>
            <w:shd w:val="clear" w:color="auto" w:fill="DCE6F1"/>
          </w:tcPr>
          <w:p>
            <w:r/>
            <w:r>
              <w:rPr>
                <w:sz w:val="20"/>
              </w:rPr>
              <w:t>Browser</w:t>
            </w:r>
          </w:p>
        </w:tc>
        <w:tc>
          <w:tcPr>
            <w:tcW w:type="dxa" w:w="2280"/>
            <w:shd w:val="clear" w:color="auto" w:fill="DCE6F1"/>
          </w:tcPr>
          <w:p>
            <w:r/>
            <w:r>
              <w:rPr>
                <w:sz w:val="20"/>
              </w:rPr>
              <w:t>JSON response + SignalR broadcast</w:t>
            </w:r>
          </w:p>
        </w:tc>
      </w:tr>
    </w:tbl>
    <w:p/>
    <w:p>
      <w:pPr>
        <w:pStyle w:val="Heading2"/>
      </w:pPr>
      <w:r>
        <w:rPr>
          <w:rFonts w:ascii="Calibri" w:hAnsi="Calibri"/>
          <w:color w:val="2E74B5"/>
        </w:rPr>
        <w:t>3.8  Launch Infrastructure</w:t>
      </w:r>
    </w:p>
    <w:p>
      <w:pPr>
        <w:spacing w:after="120"/>
        <w:ind w:firstLine="425"/>
      </w:pPr>
      <w:r>
        <w:rPr>
          <w:rFonts w:ascii="Calibri" w:hAnsi="Calibri"/>
          <w:sz w:val="22"/>
        </w:rPr>
        <w:t>A PowerShell script (launch.ps1) automates the startup of both services for local development: it activates the Python virtual environment, starts the FastAPI ML microservice on port 8000 via uvicorn, starts the C# ASP.NET Core gateway via dotnet run, and optionally opens the browser to the landing page. A render.yaml configuration file enables one-click cloud deployment of the Python microservice to Render.com, specifying the build command, start command, and environment variable bindings for MODEL_DIR, SECRET_KEY, and other settings drawn from the .env file.</w:t>
      </w:r>
    </w:p>
    <w:p>
      <w:r>
        <w:br w:type="page"/>
      </w:r>
    </w:p>
    <w:p>
      <w:pPr>
        <w:pStyle w:val="Heading1"/>
      </w:pPr>
      <w:r>
        <w:rPr>
          <w:rFonts w:ascii="Calibri" w:hAnsi="Calibri"/>
          <w:color w:val="1A569E"/>
        </w:rPr>
        <w:t>Chapter 4 — Feature Engineering</w:t>
      </w:r>
    </w:p>
    <w:p>
      <w:r>
        <w:rPr>
          <w:i/>
          <w:color w:val="888888"/>
          <w:sz w:val="20"/>
        </w:rPr>
        <w:t>Pages 16-22</w:t>
      </w:r>
    </w:p>
    <w:p/>
    <w:p>
      <w:pPr>
        <w:pStyle w:val="Heading2"/>
      </w:pPr>
      <w:r>
        <w:rPr>
          <w:rFonts w:ascii="Calibri" w:hAnsi="Calibri"/>
          <w:color w:val="2E74B5"/>
        </w:rPr>
        <w:t>4.1  The Role of Feature Engineering</w:t>
      </w:r>
    </w:p>
    <w:p>
      <w:pPr>
        <w:spacing w:after="120"/>
        <w:ind w:firstLine="425"/>
      </w:pPr>
      <w:r>
        <w:rPr>
          <w:rFonts w:ascii="Calibri" w:hAnsi="Calibri"/>
          <w:sz w:val="22"/>
        </w:rPr>
        <w:t>A machine learning model is only as good as the data it receives. Raw browser events are high-frequency, variable-length, unstructured time series. A single 30-second interaction session might produce several hundred individual event records. No classification algorithm can operate directly on a variable-length event stream; it requires a fixed-length numeric representation that captures the essential characteristics of the session in a compact, comparable form.</w:t>
      </w:r>
    </w:p>
    <w:p>
      <w:pPr>
        <w:spacing w:after="120"/>
        <w:ind w:firstLine="425"/>
      </w:pPr>
      <w:r>
        <w:rPr>
          <w:rFonts w:ascii="Calibri" w:hAnsi="Calibri"/>
          <w:sz w:val="22"/>
        </w:rPr>
        <w:t>BEHAVE-SEC's feature engineering pipeline is implemented in backend/ml/features.py. Its primary function, extract_features(), accepts a list of BehavioralEvent objects and returns a fixed-length 28-dimensional NumPy array of float64 values, regardless of session length or event mix. If a modality is absent from a session, the corresponding features are set to zero, and context-aware imputation at scoring time fills in the user's historical mean values.</w:t>
      </w:r>
    </w:p>
    <w:p>
      <w:pPr>
        <w:pStyle w:val="Heading2"/>
      </w:pPr>
      <w:r>
        <w:rPr>
          <w:rFonts w:ascii="Calibri" w:hAnsi="Calibri"/>
          <w:color w:val="2E74B5"/>
        </w:rPr>
        <w:t>4.2  Feature Vector Overview</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Index</w:t>
            </w:r>
          </w:p>
        </w:tc>
        <w:tc>
          <w:tcPr>
            <w:tcW w:type="dxa" w:w="3041"/>
            <w:shd w:val="clear" w:color="auto" w:fill="1A569E"/>
          </w:tcPr>
          <w:p>
            <w:r/>
            <w:r>
              <w:rPr>
                <w:b/>
                <w:color w:val="FFFFFF"/>
                <w:sz w:val="20"/>
              </w:rPr>
              <w:t>Feature Name</w:t>
            </w:r>
          </w:p>
        </w:tc>
        <w:tc>
          <w:tcPr>
            <w:tcW w:type="dxa" w:w="3041"/>
            <w:shd w:val="clear" w:color="auto" w:fill="1A569E"/>
          </w:tcPr>
          <w:p>
            <w:r/>
            <w:r>
              <w:rPr>
                <w:b/>
                <w:color w:val="FFFFFF"/>
                <w:sz w:val="20"/>
              </w:rPr>
              <w:t>Group</w:t>
            </w:r>
          </w:p>
        </w:tc>
      </w:tr>
      <w:tr>
        <w:tc>
          <w:tcPr>
            <w:tcW w:type="dxa" w:w="3041"/>
            <w:shd w:val="clear" w:color="auto" w:fill="DCE6F1"/>
          </w:tcPr>
          <w:p>
            <w:r/>
            <w:r>
              <w:rPr>
                <w:rFonts w:ascii="Courier New" w:hAnsi="Courier New"/>
                <w:sz w:val="20"/>
              </w:rPr>
              <w:t>0</w:t>
            </w:r>
          </w:p>
        </w:tc>
        <w:tc>
          <w:tcPr>
            <w:tcW w:type="dxa" w:w="3041"/>
            <w:shd w:val="clear" w:color="auto" w:fill="DCE6F1"/>
          </w:tcPr>
          <w:p>
            <w:r/>
            <w:r>
              <w:rPr>
                <w:sz w:val="20"/>
              </w:rPr>
              <w:t>total_events</w:t>
            </w:r>
          </w:p>
        </w:tc>
        <w:tc>
          <w:tcPr>
            <w:tcW w:type="dxa" w:w="3041"/>
            <w:shd w:val="clear" w:color="auto" w:fill="DCE6F1"/>
          </w:tcPr>
          <w:p>
            <w:r/>
            <w:r>
              <w:rPr>
                <w:sz w:val="20"/>
              </w:rPr>
              <w:t>Session Counts</w:t>
            </w:r>
          </w:p>
        </w:tc>
      </w:tr>
      <w:tr>
        <w:tc>
          <w:tcPr>
            <w:tcW w:type="dxa" w:w="3041"/>
            <w:shd w:val="clear" w:color="auto" w:fill="FFFFFF"/>
          </w:tcPr>
          <w:p>
            <w:r/>
            <w:r>
              <w:rPr>
                <w:rFonts w:ascii="Courier New" w:hAnsi="Courier New"/>
                <w:sz w:val="20"/>
              </w:rPr>
              <w:t>1</w:t>
            </w:r>
          </w:p>
        </w:tc>
        <w:tc>
          <w:tcPr>
            <w:tcW w:type="dxa" w:w="3041"/>
            <w:shd w:val="clear" w:color="auto" w:fill="FFFFFF"/>
          </w:tcPr>
          <w:p>
            <w:r/>
            <w:r>
              <w:rPr>
                <w:sz w:val="20"/>
              </w:rPr>
              <w:t>keydown_count</w:t>
            </w:r>
          </w:p>
        </w:tc>
        <w:tc>
          <w:tcPr>
            <w:tcW w:type="dxa" w:w="3041"/>
            <w:shd w:val="clear" w:color="auto" w:fill="FFFFFF"/>
          </w:tcPr>
          <w:p>
            <w:r/>
            <w:r>
              <w:rPr>
                <w:sz w:val="20"/>
              </w:rPr>
              <w:t>Session Counts</w:t>
            </w:r>
          </w:p>
        </w:tc>
      </w:tr>
      <w:tr>
        <w:tc>
          <w:tcPr>
            <w:tcW w:type="dxa" w:w="3041"/>
            <w:shd w:val="clear" w:color="auto" w:fill="DCE6F1"/>
          </w:tcPr>
          <w:p>
            <w:r/>
            <w:r>
              <w:rPr>
                <w:rFonts w:ascii="Courier New" w:hAnsi="Courier New"/>
                <w:sz w:val="20"/>
              </w:rPr>
              <w:t>2</w:t>
            </w:r>
          </w:p>
        </w:tc>
        <w:tc>
          <w:tcPr>
            <w:tcW w:type="dxa" w:w="3041"/>
            <w:shd w:val="clear" w:color="auto" w:fill="DCE6F1"/>
          </w:tcPr>
          <w:p>
            <w:r/>
            <w:r>
              <w:rPr>
                <w:sz w:val="20"/>
              </w:rPr>
              <w:t>keyup_count</w:t>
            </w:r>
          </w:p>
        </w:tc>
        <w:tc>
          <w:tcPr>
            <w:tcW w:type="dxa" w:w="3041"/>
            <w:shd w:val="clear" w:color="auto" w:fill="DCE6F1"/>
          </w:tcPr>
          <w:p>
            <w:r/>
            <w:r>
              <w:rPr>
                <w:sz w:val="20"/>
              </w:rPr>
              <w:t>Session Counts</w:t>
            </w:r>
          </w:p>
        </w:tc>
      </w:tr>
      <w:tr>
        <w:tc>
          <w:tcPr>
            <w:tcW w:type="dxa" w:w="3041"/>
            <w:shd w:val="clear" w:color="auto" w:fill="FFFFFF"/>
          </w:tcPr>
          <w:p>
            <w:r/>
            <w:r>
              <w:rPr>
                <w:rFonts w:ascii="Courier New" w:hAnsi="Courier New"/>
                <w:sz w:val="20"/>
              </w:rPr>
              <w:t>3</w:t>
            </w:r>
          </w:p>
        </w:tc>
        <w:tc>
          <w:tcPr>
            <w:tcW w:type="dxa" w:w="3041"/>
            <w:shd w:val="clear" w:color="auto" w:fill="FFFFFF"/>
          </w:tcPr>
          <w:p>
            <w:r/>
            <w:r>
              <w:rPr>
                <w:sz w:val="20"/>
              </w:rPr>
              <w:t>mousemove_count</w:t>
            </w:r>
          </w:p>
        </w:tc>
        <w:tc>
          <w:tcPr>
            <w:tcW w:type="dxa" w:w="3041"/>
            <w:shd w:val="clear" w:color="auto" w:fill="FFFFFF"/>
          </w:tcPr>
          <w:p>
            <w:r/>
            <w:r>
              <w:rPr>
                <w:sz w:val="20"/>
              </w:rPr>
              <w:t>Session Counts</w:t>
            </w:r>
          </w:p>
        </w:tc>
      </w:tr>
      <w:tr>
        <w:tc>
          <w:tcPr>
            <w:tcW w:type="dxa" w:w="3041"/>
            <w:shd w:val="clear" w:color="auto" w:fill="DCE6F1"/>
          </w:tcPr>
          <w:p>
            <w:r/>
            <w:r>
              <w:rPr>
                <w:rFonts w:ascii="Courier New" w:hAnsi="Courier New"/>
                <w:sz w:val="20"/>
              </w:rPr>
              <w:t>4</w:t>
            </w:r>
          </w:p>
        </w:tc>
        <w:tc>
          <w:tcPr>
            <w:tcW w:type="dxa" w:w="3041"/>
            <w:shd w:val="clear" w:color="auto" w:fill="DCE6F1"/>
          </w:tcPr>
          <w:p>
            <w:r/>
            <w:r>
              <w:rPr>
                <w:sz w:val="20"/>
              </w:rPr>
              <w:t>click_count</w:t>
            </w:r>
          </w:p>
        </w:tc>
        <w:tc>
          <w:tcPr>
            <w:tcW w:type="dxa" w:w="3041"/>
            <w:shd w:val="clear" w:color="auto" w:fill="DCE6F1"/>
          </w:tcPr>
          <w:p>
            <w:r/>
            <w:r>
              <w:rPr>
                <w:sz w:val="20"/>
              </w:rPr>
              <w:t>Session Counts</w:t>
            </w:r>
          </w:p>
        </w:tc>
      </w:tr>
      <w:tr>
        <w:tc>
          <w:tcPr>
            <w:tcW w:type="dxa" w:w="3041"/>
            <w:shd w:val="clear" w:color="auto" w:fill="FFFFFF"/>
          </w:tcPr>
          <w:p>
            <w:r/>
            <w:r>
              <w:rPr>
                <w:rFonts w:ascii="Courier New" w:hAnsi="Courier New"/>
                <w:sz w:val="20"/>
              </w:rPr>
              <w:t>5</w:t>
            </w:r>
          </w:p>
        </w:tc>
        <w:tc>
          <w:tcPr>
            <w:tcW w:type="dxa" w:w="3041"/>
            <w:shd w:val="clear" w:color="auto" w:fill="FFFFFF"/>
          </w:tcPr>
          <w:p>
            <w:r/>
            <w:r>
              <w:rPr>
                <w:sz w:val="20"/>
              </w:rPr>
              <w:t>scroll_count</w:t>
            </w:r>
          </w:p>
        </w:tc>
        <w:tc>
          <w:tcPr>
            <w:tcW w:type="dxa" w:w="3041"/>
            <w:shd w:val="clear" w:color="auto" w:fill="FFFFFF"/>
          </w:tcPr>
          <w:p>
            <w:r/>
            <w:r>
              <w:rPr>
                <w:sz w:val="20"/>
              </w:rPr>
              <w:t>Session Counts</w:t>
            </w:r>
          </w:p>
        </w:tc>
      </w:tr>
      <w:tr>
        <w:tc>
          <w:tcPr>
            <w:tcW w:type="dxa" w:w="3041"/>
            <w:shd w:val="clear" w:color="auto" w:fill="DCE6F1"/>
          </w:tcPr>
          <w:p>
            <w:r/>
            <w:r>
              <w:rPr>
                <w:rFonts w:ascii="Courier New" w:hAnsi="Courier New"/>
                <w:sz w:val="20"/>
              </w:rPr>
              <w:t>6</w:t>
            </w:r>
          </w:p>
        </w:tc>
        <w:tc>
          <w:tcPr>
            <w:tcW w:type="dxa" w:w="3041"/>
            <w:shd w:val="clear" w:color="auto" w:fill="DCE6F1"/>
          </w:tcPr>
          <w:p>
            <w:r/>
            <w:r>
              <w:rPr>
                <w:sz w:val="20"/>
              </w:rPr>
              <w:t>avg_key_hold_ms</w:t>
            </w:r>
          </w:p>
        </w:tc>
        <w:tc>
          <w:tcPr>
            <w:tcW w:type="dxa" w:w="3041"/>
            <w:shd w:val="clear" w:color="auto" w:fill="DCE6F1"/>
          </w:tcPr>
          <w:p>
            <w:r/>
            <w:r>
              <w:rPr>
                <w:sz w:val="20"/>
              </w:rPr>
              <w:t>Keyboard Biometrics</w:t>
            </w:r>
          </w:p>
        </w:tc>
      </w:tr>
      <w:tr>
        <w:tc>
          <w:tcPr>
            <w:tcW w:type="dxa" w:w="3041"/>
            <w:shd w:val="clear" w:color="auto" w:fill="FFFFFF"/>
          </w:tcPr>
          <w:p>
            <w:r/>
            <w:r>
              <w:rPr>
                <w:rFonts w:ascii="Courier New" w:hAnsi="Courier New"/>
                <w:sz w:val="20"/>
              </w:rPr>
              <w:t>7</w:t>
            </w:r>
          </w:p>
        </w:tc>
        <w:tc>
          <w:tcPr>
            <w:tcW w:type="dxa" w:w="3041"/>
            <w:shd w:val="clear" w:color="auto" w:fill="FFFFFF"/>
          </w:tcPr>
          <w:p>
            <w:r/>
            <w:r>
              <w:rPr>
                <w:sz w:val="20"/>
              </w:rPr>
              <w:t>std_key_hold_ms</w:t>
            </w:r>
          </w:p>
        </w:tc>
        <w:tc>
          <w:tcPr>
            <w:tcW w:type="dxa" w:w="3041"/>
            <w:shd w:val="clear" w:color="auto" w:fill="FFFFFF"/>
          </w:tcPr>
          <w:p>
            <w:r/>
            <w:r>
              <w:rPr>
                <w:sz w:val="20"/>
              </w:rPr>
              <w:t>Keyboard Biometrics</w:t>
            </w:r>
          </w:p>
        </w:tc>
      </w:tr>
      <w:tr>
        <w:tc>
          <w:tcPr>
            <w:tcW w:type="dxa" w:w="3041"/>
            <w:shd w:val="clear" w:color="auto" w:fill="DCE6F1"/>
          </w:tcPr>
          <w:p>
            <w:r/>
            <w:r>
              <w:rPr>
                <w:rFonts w:ascii="Courier New" w:hAnsi="Courier New"/>
                <w:sz w:val="20"/>
              </w:rPr>
              <w:t>8</w:t>
            </w:r>
          </w:p>
        </w:tc>
        <w:tc>
          <w:tcPr>
            <w:tcW w:type="dxa" w:w="3041"/>
            <w:shd w:val="clear" w:color="auto" w:fill="DCE6F1"/>
          </w:tcPr>
          <w:p>
            <w:r/>
            <w:r>
              <w:rPr>
                <w:sz w:val="20"/>
              </w:rPr>
              <w:t>avg_inter_key_ms</w:t>
            </w:r>
          </w:p>
        </w:tc>
        <w:tc>
          <w:tcPr>
            <w:tcW w:type="dxa" w:w="3041"/>
            <w:shd w:val="clear" w:color="auto" w:fill="DCE6F1"/>
          </w:tcPr>
          <w:p>
            <w:r/>
            <w:r>
              <w:rPr>
                <w:sz w:val="20"/>
              </w:rPr>
              <w:t>Keyboard Biometrics</w:t>
            </w:r>
          </w:p>
        </w:tc>
      </w:tr>
      <w:tr>
        <w:tc>
          <w:tcPr>
            <w:tcW w:type="dxa" w:w="3041"/>
            <w:shd w:val="clear" w:color="auto" w:fill="FFFFFF"/>
          </w:tcPr>
          <w:p>
            <w:r/>
            <w:r>
              <w:rPr>
                <w:rFonts w:ascii="Courier New" w:hAnsi="Courier New"/>
                <w:sz w:val="20"/>
              </w:rPr>
              <w:t>9</w:t>
            </w:r>
          </w:p>
        </w:tc>
        <w:tc>
          <w:tcPr>
            <w:tcW w:type="dxa" w:w="3041"/>
            <w:shd w:val="clear" w:color="auto" w:fill="FFFFFF"/>
          </w:tcPr>
          <w:p>
            <w:r/>
            <w:r>
              <w:rPr>
                <w:sz w:val="20"/>
              </w:rPr>
              <w:t>std_inter_key_ms</w:t>
            </w:r>
          </w:p>
        </w:tc>
        <w:tc>
          <w:tcPr>
            <w:tcW w:type="dxa" w:w="3041"/>
            <w:shd w:val="clear" w:color="auto" w:fill="FFFFFF"/>
          </w:tcPr>
          <w:p>
            <w:r/>
            <w:r>
              <w:rPr>
                <w:sz w:val="20"/>
              </w:rPr>
              <w:t>Keyboard Biometrics</w:t>
            </w:r>
          </w:p>
        </w:tc>
      </w:tr>
      <w:tr>
        <w:tc>
          <w:tcPr>
            <w:tcW w:type="dxa" w:w="3041"/>
            <w:shd w:val="clear" w:color="auto" w:fill="DCE6F1"/>
          </w:tcPr>
          <w:p>
            <w:r/>
            <w:r>
              <w:rPr>
                <w:rFonts w:ascii="Courier New" w:hAnsi="Courier New"/>
                <w:sz w:val="20"/>
              </w:rPr>
              <w:t>10</w:t>
            </w:r>
          </w:p>
        </w:tc>
        <w:tc>
          <w:tcPr>
            <w:tcW w:type="dxa" w:w="3041"/>
            <w:shd w:val="clear" w:color="auto" w:fill="DCE6F1"/>
          </w:tcPr>
          <w:p>
            <w:r/>
            <w:r>
              <w:rPr>
                <w:sz w:val="20"/>
              </w:rPr>
              <w:t>avg_mouse_speed</w:t>
            </w:r>
          </w:p>
        </w:tc>
        <w:tc>
          <w:tcPr>
            <w:tcW w:type="dxa" w:w="3041"/>
            <w:shd w:val="clear" w:color="auto" w:fill="DCE6F1"/>
          </w:tcPr>
          <w:p>
            <w:r/>
            <w:r>
              <w:rPr>
                <w:sz w:val="20"/>
              </w:rPr>
              <w:t>Mouse Biometrics</w:t>
            </w:r>
          </w:p>
        </w:tc>
      </w:tr>
      <w:tr>
        <w:tc>
          <w:tcPr>
            <w:tcW w:type="dxa" w:w="3041"/>
            <w:shd w:val="clear" w:color="auto" w:fill="FFFFFF"/>
          </w:tcPr>
          <w:p>
            <w:r/>
            <w:r>
              <w:rPr>
                <w:rFonts w:ascii="Courier New" w:hAnsi="Courier New"/>
                <w:sz w:val="20"/>
              </w:rPr>
              <w:t>11</w:t>
            </w:r>
          </w:p>
        </w:tc>
        <w:tc>
          <w:tcPr>
            <w:tcW w:type="dxa" w:w="3041"/>
            <w:shd w:val="clear" w:color="auto" w:fill="FFFFFF"/>
          </w:tcPr>
          <w:p>
            <w:r/>
            <w:r>
              <w:rPr>
                <w:sz w:val="20"/>
              </w:rPr>
              <w:t>std_mouse_speed</w:t>
            </w:r>
          </w:p>
        </w:tc>
        <w:tc>
          <w:tcPr>
            <w:tcW w:type="dxa" w:w="3041"/>
            <w:shd w:val="clear" w:color="auto" w:fill="FFFFFF"/>
          </w:tcPr>
          <w:p>
            <w:r/>
            <w:r>
              <w:rPr>
                <w:sz w:val="20"/>
              </w:rPr>
              <w:t>Mouse Biometrics</w:t>
            </w:r>
          </w:p>
        </w:tc>
      </w:tr>
      <w:tr>
        <w:tc>
          <w:tcPr>
            <w:tcW w:type="dxa" w:w="3041"/>
            <w:shd w:val="clear" w:color="auto" w:fill="DCE6F1"/>
          </w:tcPr>
          <w:p>
            <w:r/>
            <w:r>
              <w:rPr>
                <w:rFonts w:ascii="Courier New" w:hAnsi="Courier New"/>
                <w:sz w:val="20"/>
              </w:rPr>
              <w:t>12</w:t>
            </w:r>
          </w:p>
        </w:tc>
        <w:tc>
          <w:tcPr>
            <w:tcW w:type="dxa" w:w="3041"/>
            <w:shd w:val="clear" w:color="auto" w:fill="DCE6F1"/>
          </w:tcPr>
          <w:p>
            <w:r/>
            <w:r>
              <w:rPr>
                <w:sz w:val="20"/>
              </w:rPr>
              <w:t>session_duration_ms</w:t>
            </w:r>
          </w:p>
        </w:tc>
        <w:tc>
          <w:tcPr>
            <w:tcW w:type="dxa" w:w="3041"/>
            <w:shd w:val="clear" w:color="auto" w:fill="DCE6F1"/>
          </w:tcPr>
          <w:p>
            <w:r/>
            <w:r>
              <w:rPr>
                <w:sz w:val="20"/>
              </w:rPr>
              <w:t>Session Timing</w:t>
            </w:r>
          </w:p>
        </w:tc>
      </w:tr>
      <w:tr>
        <w:tc>
          <w:tcPr>
            <w:tcW w:type="dxa" w:w="3041"/>
            <w:shd w:val="clear" w:color="auto" w:fill="FFFFFF"/>
          </w:tcPr>
          <w:p>
            <w:r/>
            <w:r>
              <w:rPr>
                <w:rFonts w:ascii="Courier New" w:hAnsi="Courier New"/>
                <w:sz w:val="20"/>
              </w:rPr>
              <w:t>13</w:t>
            </w:r>
          </w:p>
        </w:tc>
        <w:tc>
          <w:tcPr>
            <w:tcW w:type="dxa" w:w="3041"/>
            <w:shd w:val="clear" w:color="auto" w:fill="FFFFFF"/>
          </w:tcPr>
          <w:p>
            <w:r/>
            <w:r>
              <w:rPr>
                <w:sz w:val="20"/>
              </w:rPr>
              <w:t>events_per_second</w:t>
            </w:r>
          </w:p>
        </w:tc>
        <w:tc>
          <w:tcPr>
            <w:tcW w:type="dxa" w:w="3041"/>
            <w:shd w:val="clear" w:color="auto" w:fill="FFFFFF"/>
          </w:tcPr>
          <w:p>
            <w:r/>
            <w:r>
              <w:rPr>
                <w:sz w:val="20"/>
              </w:rPr>
              <w:t>Session Timing</w:t>
            </w:r>
          </w:p>
        </w:tc>
      </w:tr>
      <w:tr>
        <w:tc>
          <w:tcPr>
            <w:tcW w:type="dxa" w:w="3041"/>
            <w:shd w:val="clear" w:color="auto" w:fill="DCE6F1"/>
          </w:tcPr>
          <w:p>
            <w:r/>
            <w:r>
              <w:rPr>
                <w:rFonts w:ascii="Courier New" w:hAnsi="Courier New"/>
                <w:sz w:val="20"/>
              </w:rPr>
              <w:t>14</w:t>
            </w:r>
          </w:p>
        </w:tc>
        <w:tc>
          <w:tcPr>
            <w:tcW w:type="dxa" w:w="3041"/>
            <w:shd w:val="clear" w:color="auto" w:fill="DCE6F1"/>
          </w:tcPr>
          <w:p>
            <w:r/>
            <w:r>
              <w:rPr>
                <w:sz w:val="20"/>
              </w:rPr>
              <w:t>key_event_ratio</w:t>
            </w:r>
          </w:p>
        </w:tc>
        <w:tc>
          <w:tcPr>
            <w:tcW w:type="dxa" w:w="3041"/>
            <w:shd w:val="clear" w:color="auto" w:fill="DCE6F1"/>
          </w:tcPr>
          <w:p>
            <w:r/>
            <w:r>
              <w:rPr>
                <w:sz w:val="20"/>
              </w:rPr>
              <w:t>Session Timing</w:t>
            </w:r>
          </w:p>
        </w:tc>
      </w:tr>
      <w:tr>
        <w:tc>
          <w:tcPr>
            <w:tcW w:type="dxa" w:w="3041"/>
            <w:shd w:val="clear" w:color="auto" w:fill="FFFFFF"/>
          </w:tcPr>
          <w:p>
            <w:r/>
            <w:r>
              <w:rPr>
                <w:rFonts w:ascii="Courier New" w:hAnsi="Courier New"/>
                <w:sz w:val="20"/>
              </w:rPr>
              <w:t>15</w:t>
            </w:r>
          </w:p>
        </w:tc>
        <w:tc>
          <w:tcPr>
            <w:tcW w:type="dxa" w:w="3041"/>
            <w:shd w:val="clear" w:color="auto" w:fill="FFFFFF"/>
          </w:tcPr>
          <w:p>
            <w:r/>
            <w:r>
              <w:rPr>
                <w:sz w:val="20"/>
              </w:rPr>
              <w:t>mouse_event_ratio</w:t>
            </w:r>
          </w:p>
        </w:tc>
        <w:tc>
          <w:tcPr>
            <w:tcW w:type="dxa" w:w="3041"/>
            <w:shd w:val="clear" w:color="auto" w:fill="FFFFFF"/>
          </w:tcPr>
          <w:p>
            <w:r/>
            <w:r>
              <w:rPr>
                <w:sz w:val="20"/>
              </w:rPr>
              <w:t>Session Timing</w:t>
            </w:r>
          </w:p>
        </w:tc>
      </w:tr>
      <w:tr>
        <w:tc>
          <w:tcPr>
            <w:tcW w:type="dxa" w:w="3041"/>
            <w:shd w:val="clear" w:color="auto" w:fill="DCE6F1"/>
          </w:tcPr>
          <w:p>
            <w:r/>
            <w:r>
              <w:rPr>
                <w:rFonts w:ascii="Courier New" w:hAnsi="Courier New"/>
                <w:sz w:val="20"/>
              </w:rPr>
              <w:t>16</w:t>
            </w:r>
          </w:p>
        </w:tc>
        <w:tc>
          <w:tcPr>
            <w:tcW w:type="dxa" w:w="3041"/>
            <w:shd w:val="clear" w:color="auto" w:fill="DCE6F1"/>
          </w:tcPr>
          <w:p>
            <w:r/>
            <w:r>
              <w:rPr>
                <w:sz w:val="20"/>
              </w:rPr>
              <w:t>avg_digraph_flight_ms</w:t>
            </w:r>
          </w:p>
        </w:tc>
        <w:tc>
          <w:tcPr>
            <w:tcW w:type="dxa" w:w="3041"/>
            <w:shd w:val="clear" w:color="auto" w:fill="DCE6F1"/>
          </w:tcPr>
          <w:p>
            <w:r/>
            <w:r>
              <w:rPr>
                <w:sz w:val="20"/>
              </w:rPr>
              <w:t>Keyboard Biometrics</w:t>
            </w:r>
          </w:p>
        </w:tc>
      </w:tr>
      <w:tr>
        <w:tc>
          <w:tcPr>
            <w:tcW w:type="dxa" w:w="3041"/>
            <w:shd w:val="clear" w:color="auto" w:fill="FFFFFF"/>
          </w:tcPr>
          <w:p>
            <w:r/>
            <w:r>
              <w:rPr>
                <w:rFonts w:ascii="Courier New" w:hAnsi="Courier New"/>
                <w:sz w:val="20"/>
              </w:rPr>
              <w:t>17</w:t>
            </w:r>
          </w:p>
        </w:tc>
        <w:tc>
          <w:tcPr>
            <w:tcW w:type="dxa" w:w="3041"/>
            <w:shd w:val="clear" w:color="auto" w:fill="FFFFFF"/>
          </w:tcPr>
          <w:p>
            <w:r/>
            <w:r>
              <w:rPr>
                <w:sz w:val="20"/>
              </w:rPr>
              <w:t>std_digraph_flight_ms</w:t>
            </w:r>
          </w:p>
        </w:tc>
        <w:tc>
          <w:tcPr>
            <w:tcW w:type="dxa" w:w="3041"/>
            <w:shd w:val="clear" w:color="auto" w:fill="FFFFFF"/>
          </w:tcPr>
          <w:p>
            <w:r/>
            <w:r>
              <w:rPr>
                <w:sz w:val="20"/>
              </w:rPr>
              <w:t>Keyboard Biometrics</w:t>
            </w:r>
          </w:p>
        </w:tc>
      </w:tr>
      <w:tr>
        <w:tc>
          <w:tcPr>
            <w:tcW w:type="dxa" w:w="3041"/>
            <w:shd w:val="clear" w:color="auto" w:fill="DCE6F1"/>
          </w:tcPr>
          <w:p>
            <w:r/>
            <w:r>
              <w:rPr>
                <w:rFonts w:ascii="Courier New" w:hAnsi="Courier New"/>
                <w:sz w:val="20"/>
              </w:rPr>
              <w:t>18</w:t>
            </w:r>
          </w:p>
        </w:tc>
        <w:tc>
          <w:tcPr>
            <w:tcW w:type="dxa" w:w="3041"/>
            <w:shd w:val="clear" w:color="auto" w:fill="DCE6F1"/>
          </w:tcPr>
          <w:p>
            <w:r/>
            <w:r>
              <w:rPr>
                <w:sz w:val="20"/>
              </w:rPr>
              <w:t>avg_digraph_duration_ms</w:t>
            </w:r>
          </w:p>
        </w:tc>
        <w:tc>
          <w:tcPr>
            <w:tcW w:type="dxa" w:w="3041"/>
            <w:shd w:val="clear" w:color="auto" w:fill="DCE6F1"/>
          </w:tcPr>
          <w:p>
            <w:r/>
            <w:r>
              <w:rPr>
                <w:sz w:val="20"/>
              </w:rPr>
              <w:t>Keyboard Biometrics</w:t>
            </w:r>
          </w:p>
        </w:tc>
      </w:tr>
      <w:tr>
        <w:tc>
          <w:tcPr>
            <w:tcW w:type="dxa" w:w="3041"/>
            <w:shd w:val="clear" w:color="auto" w:fill="FFFFFF"/>
          </w:tcPr>
          <w:p>
            <w:r/>
            <w:r>
              <w:rPr>
                <w:rFonts w:ascii="Courier New" w:hAnsi="Courier New"/>
                <w:sz w:val="20"/>
              </w:rPr>
              <w:t>19</w:t>
            </w:r>
          </w:p>
        </w:tc>
        <w:tc>
          <w:tcPr>
            <w:tcW w:type="dxa" w:w="3041"/>
            <w:shd w:val="clear" w:color="auto" w:fill="FFFFFF"/>
          </w:tcPr>
          <w:p>
            <w:r/>
            <w:r>
              <w:rPr>
                <w:sz w:val="20"/>
              </w:rPr>
              <w:t>std_digraph_duration_ms</w:t>
            </w:r>
          </w:p>
        </w:tc>
        <w:tc>
          <w:tcPr>
            <w:tcW w:type="dxa" w:w="3041"/>
            <w:shd w:val="clear" w:color="auto" w:fill="FFFFFF"/>
          </w:tcPr>
          <w:p>
            <w:r/>
            <w:r>
              <w:rPr>
                <w:sz w:val="20"/>
              </w:rPr>
              <w:t>Keyboard Biometrics</w:t>
            </w:r>
          </w:p>
        </w:tc>
      </w:tr>
      <w:tr>
        <w:tc>
          <w:tcPr>
            <w:tcW w:type="dxa" w:w="3041"/>
            <w:shd w:val="clear" w:color="auto" w:fill="DCE6F1"/>
          </w:tcPr>
          <w:p>
            <w:r/>
            <w:r>
              <w:rPr>
                <w:rFonts w:ascii="Courier New" w:hAnsi="Courier New"/>
                <w:sz w:val="20"/>
              </w:rPr>
              <w:t>20</w:t>
            </w:r>
          </w:p>
        </w:tc>
        <w:tc>
          <w:tcPr>
            <w:tcW w:type="dxa" w:w="3041"/>
            <w:shd w:val="clear" w:color="auto" w:fill="DCE6F1"/>
          </w:tcPr>
          <w:p>
            <w:r/>
            <w:r>
              <w:rPr>
                <w:sz w:val="20"/>
              </w:rPr>
              <w:t>avg_hold_flight_ratio</w:t>
            </w:r>
          </w:p>
        </w:tc>
        <w:tc>
          <w:tcPr>
            <w:tcW w:type="dxa" w:w="3041"/>
            <w:shd w:val="clear" w:color="auto" w:fill="DCE6F1"/>
          </w:tcPr>
          <w:p>
            <w:r/>
            <w:r>
              <w:rPr>
                <w:sz w:val="20"/>
              </w:rPr>
              <w:t>Keyboard Biometrics</w:t>
            </w:r>
          </w:p>
        </w:tc>
      </w:tr>
      <w:tr>
        <w:tc>
          <w:tcPr>
            <w:tcW w:type="dxa" w:w="3041"/>
            <w:shd w:val="clear" w:color="auto" w:fill="FFFFFF"/>
          </w:tcPr>
          <w:p>
            <w:r/>
            <w:r>
              <w:rPr>
                <w:rFonts w:ascii="Courier New" w:hAnsi="Courier New"/>
                <w:sz w:val="20"/>
              </w:rPr>
              <w:t>21</w:t>
            </w:r>
          </w:p>
        </w:tc>
        <w:tc>
          <w:tcPr>
            <w:tcW w:type="dxa" w:w="3041"/>
            <w:shd w:val="clear" w:color="auto" w:fill="FFFFFF"/>
          </w:tcPr>
          <w:p>
            <w:r/>
            <w:r>
              <w:rPr>
                <w:sz w:val="20"/>
              </w:rPr>
              <w:t>std_hold_flight_ratio</w:t>
            </w:r>
          </w:p>
        </w:tc>
        <w:tc>
          <w:tcPr>
            <w:tcW w:type="dxa" w:w="3041"/>
            <w:shd w:val="clear" w:color="auto" w:fill="FFFFFF"/>
          </w:tcPr>
          <w:p>
            <w:r/>
            <w:r>
              <w:rPr>
                <w:sz w:val="20"/>
              </w:rPr>
              <w:t>Keyboard Biometrics</w:t>
            </w:r>
          </w:p>
        </w:tc>
      </w:tr>
      <w:tr>
        <w:tc>
          <w:tcPr>
            <w:tcW w:type="dxa" w:w="3041"/>
            <w:shd w:val="clear" w:color="auto" w:fill="DCE6F1"/>
          </w:tcPr>
          <w:p>
            <w:r/>
            <w:r>
              <w:rPr>
                <w:rFonts w:ascii="Courier New" w:hAnsi="Courier New"/>
                <w:sz w:val="20"/>
              </w:rPr>
              <w:t>22</w:t>
            </w:r>
          </w:p>
        </w:tc>
        <w:tc>
          <w:tcPr>
            <w:tcW w:type="dxa" w:w="3041"/>
            <w:shd w:val="clear" w:color="auto" w:fill="DCE6F1"/>
          </w:tcPr>
          <w:p>
            <w:r/>
            <w:r>
              <w:rPr>
                <w:sz w:val="20"/>
              </w:rPr>
              <w:t>avg_mouse_accel</w:t>
            </w:r>
          </w:p>
        </w:tc>
        <w:tc>
          <w:tcPr>
            <w:tcW w:type="dxa" w:w="3041"/>
            <w:shd w:val="clear" w:color="auto" w:fill="DCE6F1"/>
          </w:tcPr>
          <w:p>
            <w:r/>
            <w:r>
              <w:rPr>
                <w:sz w:val="20"/>
              </w:rPr>
              <w:t>Mouse Biometrics</w:t>
            </w:r>
          </w:p>
        </w:tc>
      </w:tr>
      <w:tr>
        <w:tc>
          <w:tcPr>
            <w:tcW w:type="dxa" w:w="3041"/>
            <w:shd w:val="clear" w:color="auto" w:fill="FFFFFF"/>
          </w:tcPr>
          <w:p>
            <w:r/>
            <w:r>
              <w:rPr>
                <w:rFonts w:ascii="Courier New" w:hAnsi="Courier New"/>
                <w:sz w:val="20"/>
              </w:rPr>
              <w:t>23</w:t>
            </w:r>
          </w:p>
        </w:tc>
        <w:tc>
          <w:tcPr>
            <w:tcW w:type="dxa" w:w="3041"/>
            <w:shd w:val="clear" w:color="auto" w:fill="FFFFFF"/>
          </w:tcPr>
          <w:p>
            <w:r/>
            <w:r>
              <w:rPr>
                <w:sz w:val="20"/>
              </w:rPr>
              <w:t>std_mouse_accel</w:t>
            </w:r>
          </w:p>
        </w:tc>
        <w:tc>
          <w:tcPr>
            <w:tcW w:type="dxa" w:w="3041"/>
            <w:shd w:val="clear" w:color="auto" w:fill="FFFFFF"/>
          </w:tcPr>
          <w:p>
            <w:r/>
            <w:r>
              <w:rPr>
                <w:sz w:val="20"/>
              </w:rPr>
              <w:t>Mouse Biometrics</w:t>
            </w:r>
          </w:p>
        </w:tc>
      </w:tr>
      <w:tr>
        <w:tc>
          <w:tcPr>
            <w:tcW w:type="dxa" w:w="3041"/>
            <w:shd w:val="clear" w:color="auto" w:fill="DCE6F1"/>
          </w:tcPr>
          <w:p>
            <w:r/>
            <w:r>
              <w:rPr>
                <w:rFonts w:ascii="Courier New" w:hAnsi="Courier New"/>
                <w:sz w:val="20"/>
              </w:rPr>
              <w:t>24</w:t>
            </w:r>
          </w:p>
        </w:tc>
        <w:tc>
          <w:tcPr>
            <w:tcW w:type="dxa" w:w="3041"/>
            <w:shd w:val="clear" w:color="auto" w:fill="DCE6F1"/>
          </w:tcPr>
          <w:p>
            <w:r/>
            <w:r>
              <w:rPr>
                <w:sz w:val="20"/>
              </w:rPr>
              <w:t>path_directness_ratio</w:t>
            </w:r>
          </w:p>
        </w:tc>
        <w:tc>
          <w:tcPr>
            <w:tcW w:type="dxa" w:w="3041"/>
            <w:shd w:val="clear" w:color="auto" w:fill="DCE6F1"/>
          </w:tcPr>
          <w:p>
            <w:r/>
            <w:r>
              <w:rPr>
                <w:sz w:val="20"/>
              </w:rPr>
              <w:t>Mouse Biometrics</w:t>
            </w:r>
          </w:p>
        </w:tc>
      </w:tr>
      <w:tr>
        <w:tc>
          <w:tcPr>
            <w:tcW w:type="dxa" w:w="3041"/>
            <w:shd w:val="clear" w:color="auto" w:fill="FFFFFF"/>
          </w:tcPr>
          <w:p>
            <w:r/>
            <w:r>
              <w:rPr>
                <w:rFonts w:ascii="Courier New" w:hAnsi="Courier New"/>
                <w:sz w:val="20"/>
              </w:rPr>
              <w:t>25</w:t>
            </w:r>
          </w:p>
        </w:tc>
        <w:tc>
          <w:tcPr>
            <w:tcW w:type="dxa" w:w="3041"/>
            <w:shd w:val="clear" w:color="auto" w:fill="FFFFFF"/>
          </w:tcPr>
          <w:p>
            <w:r/>
            <w:r>
              <w:rPr>
                <w:sz w:val="20"/>
              </w:rPr>
              <w:t>avg_click_interval_ms</w:t>
            </w:r>
          </w:p>
        </w:tc>
        <w:tc>
          <w:tcPr>
            <w:tcW w:type="dxa" w:w="3041"/>
            <w:shd w:val="clear" w:color="auto" w:fill="FFFFFF"/>
          </w:tcPr>
          <w:p>
            <w:r/>
            <w:r>
              <w:rPr>
                <w:sz w:val="20"/>
              </w:rPr>
              <w:t>Mouse Biometrics</w:t>
            </w:r>
          </w:p>
        </w:tc>
      </w:tr>
      <w:tr>
        <w:tc>
          <w:tcPr>
            <w:tcW w:type="dxa" w:w="3041"/>
            <w:shd w:val="clear" w:color="auto" w:fill="DCE6F1"/>
          </w:tcPr>
          <w:p>
            <w:r/>
            <w:r>
              <w:rPr>
                <w:rFonts w:ascii="Courier New" w:hAnsi="Courier New"/>
                <w:sz w:val="20"/>
              </w:rPr>
              <w:t>26</w:t>
            </w:r>
          </w:p>
        </w:tc>
        <w:tc>
          <w:tcPr>
            <w:tcW w:type="dxa" w:w="3041"/>
            <w:shd w:val="clear" w:color="auto" w:fill="DCE6F1"/>
          </w:tcPr>
          <w:p>
            <w:r/>
            <w:r>
              <w:rPr>
                <w:sz w:val="20"/>
              </w:rPr>
              <w:t>std_click_interval_ms</w:t>
            </w:r>
          </w:p>
        </w:tc>
        <w:tc>
          <w:tcPr>
            <w:tcW w:type="dxa" w:w="3041"/>
            <w:shd w:val="clear" w:color="auto" w:fill="DCE6F1"/>
          </w:tcPr>
          <w:p>
            <w:r/>
            <w:r>
              <w:rPr>
                <w:sz w:val="20"/>
              </w:rPr>
              <w:t>Mouse Biometrics</w:t>
            </w:r>
          </w:p>
        </w:tc>
      </w:tr>
      <w:tr>
        <w:tc>
          <w:tcPr>
            <w:tcW w:type="dxa" w:w="3041"/>
            <w:shd w:val="clear" w:color="auto" w:fill="FFFFFF"/>
          </w:tcPr>
          <w:p>
            <w:r/>
            <w:r>
              <w:rPr>
                <w:rFonts w:ascii="Courier New" w:hAnsi="Courier New"/>
                <w:sz w:val="20"/>
              </w:rPr>
              <w:t>27</w:t>
            </w:r>
          </w:p>
        </w:tc>
        <w:tc>
          <w:tcPr>
            <w:tcW w:type="dxa" w:w="3041"/>
            <w:shd w:val="clear" w:color="auto" w:fill="FFFFFF"/>
          </w:tcPr>
          <w:p>
            <w:r/>
            <w:r>
              <w:rPr>
                <w:sz w:val="20"/>
              </w:rPr>
              <w:t>click_precision</w:t>
            </w:r>
          </w:p>
        </w:tc>
        <w:tc>
          <w:tcPr>
            <w:tcW w:type="dxa" w:w="3041"/>
            <w:shd w:val="clear" w:color="auto" w:fill="FFFFFF"/>
          </w:tcPr>
          <w:p>
            <w:r/>
            <w:r>
              <w:rPr>
                <w:sz w:val="20"/>
              </w:rPr>
              <w:t>Mouse Biometrics</w:t>
            </w:r>
          </w:p>
        </w:tc>
      </w:tr>
    </w:tbl>
    <w:p/>
    <w:p>
      <w:pPr>
        <w:pStyle w:val="Heading2"/>
      </w:pPr>
      <w:r>
        <w:rPr>
          <w:rFonts w:ascii="Calibri" w:hAnsi="Calibri"/>
          <w:color w:val="2E74B5"/>
        </w:rPr>
        <w:t>4.3  Session Count Features (Indices 0-5)</w:t>
      </w:r>
    </w:p>
    <w:p>
      <w:pPr>
        <w:spacing w:after="120"/>
        <w:ind w:firstLine="425"/>
      </w:pPr>
      <w:r>
        <w:rPr>
          <w:rFonts w:ascii="Calibri" w:hAnsi="Calibri"/>
          <w:sz w:val="22"/>
        </w:rPr>
        <w:t>The six count features provide a coarse characterization of session composition. total_events records the raw count of all captured events, reflecting overall interaction intensity. keydown_count and keyup_count enable gate-checking before keyboard feature computation. mousemove_count serves as the gate for kinematic bot detection — a minimum of 10 samples is required before the path directness check fires. click_count and scroll_count support click interval computation and event ratio analysis respectively. These count features also drive context-aware imputation during scoring: if keydown_count equals zero, keyboard feature slots in the scoring vector are filled with the user's historical means.</w:t>
      </w:r>
    </w:p>
    <w:p>
      <w:pPr>
        <w:pStyle w:val="Heading2"/>
      </w:pPr>
      <w:r>
        <w:rPr>
          <w:rFonts w:ascii="Calibri" w:hAnsi="Calibri"/>
          <w:color w:val="2E74B5"/>
        </w:rPr>
        <w:t>4.4  Keystroke Dwell Time (Indices 6-7)</w:t>
      </w:r>
    </w:p>
    <w:p>
      <w:pPr>
        <w:spacing w:after="120"/>
        <w:ind w:firstLine="425"/>
      </w:pPr>
      <w:r>
        <w:rPr>
          <w:rFonts w:ascii="Calibri" w:hAnsi="Calibri"/>
          <w:sz w:val="22"/>
        </w:rPr>
        <w:t>Dwell time, also called key hold time, is the duration in milliseconds between a keydown event and the corresponding keyup event for the same key. The extraction algorithm maintains a keydown_map dictionary. When a keyup event is encountered for a key in the map, the hold duration is computed as keyup.timestamp minus keydown.timestamp. Durations outside (0ms, 5000ms) are discarded as noise. The mean and standard deviation of all valid hold durations are computed as features 6 and 7 respectively.</w:t>
      </w:r>
    </w:p>
    <w:p>
      <w:pPr>
        <w:spacing w:after="120"/>
        <w:ind w:firstLine="425"/>
      </w:pPr>
      <w:r>
        <w:rPr>
          <w:rFonts w:ascii="Calibri" w:hAnsi="Calibri"/>
          <w:sz w:val="22"/>
        </w:rPr>
        <w:t>Dwell time reflects the duration of finger contact with the key surface — a product of typing speed, key actuation force habits, and finger-key geometry. Faster typists tend to have shorter, more consistent dwell times. The standard deviation is particularly informative: it captures the consistency of a person's typing rhythm, which is highly individual and stable across sessions.</w:t>
      </w:r>
    </w:p>
    <w:p>
      <w:pPr>
        <w:pStyle w:val="Heading2"/>
      </w:pPr>
      <w:r>
        <w:rPr>
          <w:rFonts w:ascii="Calibri" w:hAnsi="Calibri"/>
          <w:color w:val="2E74B5"/>
        </w:rPr>
        <w:t>4.5  Inter-Key Interval (Indices 8-9)</w:t>
      </w:r>
    </w:p>
    <w:p>
      <w:pPr>
        <w:spacing w:after="120"/>
        <w:ind w:firstLine="425"/>
      </w:pPr>
      <w:r>
        <w:rPr>
          <w:rFonts w:ascii="Calibri" w:hAnsi="Calibri"/>
          <w:sz w:val="22"/>
        </w:rPr>
        <w:t>The inter-key interval (IKI), also called flight time, is the time elapsed between consecutive keydown events, measured in milliseconds. The algorithm collects all keydown timestamps in order and computes gaps between consecutive pairs, discarding gaps outside (0ms, 10000ms) to filter pauses between typing bursts. IKI captures overall typing tempo — the rate at which a person strings keystrokes together. Fast typists have short, tight IKI distributions. Hunt-and-peck typists have long, variable IKIs. This feature pair provides a robust baseline characterization of keyboard behavior alongside dwell time.</w:t>
      </w:r>
    </w:p>
    <w:p>
      <w:pPr>
        <w:pStyle w:val="Heading2"/>
      </w:pPr>
      <w:r>
        <w:rPr>
          <w:rFonts w:ascii="Calibri" w:hAnsi="Calibri"/>
          <w:color w:val="2E74B5"/>
        </w:rPr>
        <w:t>4.6  Mouse Speed (Indices 10-11)</w:t>
      </w:r>
    </w:p>
    <w:p>
      <w:pPr>
        <w:spacing w:after="120"/>
        <w:ind w:firstLine="425"/>
      </w:pPr>
      <w:r>
        <w:rPr>
          <w:rFonts w:ascii="Calibri" w:hAnsi="Calibri"/>
          <w:sz w:val="22"/>
        </w:rPr>
        <w:t>Mouse speed measures how quickly the cursor moves across the screen, expressed in pixels per millisecond. For each consecutive pair of mousemove events, the Euclidean distance between coordinates is computed and divided by the elapsed time. Mouse speed encodes a user's habitual cursor movement pace — a combination of physical hand speed, mouse sensitivity settings, and motor habits. The standard deviation captures within-session variability — whether a user moves at a consistent speed or alternates between fast sweeps and slow adjustments.</w:t>
      </w:r>
    </w:p>
    <w:p>
      <w:pPr>
        <w:pStyle w:val="Heading2"/>
      </w:pPr>
      <w:r>
        <w:rPr>
          <w:rFonts w:ascii="Calibri" w:hAnsi="Calibri"/>
          <w:color w:val="2E74B5"/>
        </w:rPr>
        <w:t>4.7  Session Timing (Indices 12-15)</w:t>
      </w:r>
    </w:p>
    <w:p>
      <w:pPr>
        <w:spacing w:after="120"/>
        <w:ind w:firstLine="425"/>
      </w:pPr>
      <w:r>
        <w:rPr>
          <w:rFonts w:ascii="Calibri" w:hAnsi="Calibri"/>
          <w:sz w:val="22"/>
        </w:rPr>
        <w:t>Four features characterize the overall temporal structure of the session. session_duration_ms is computed as max(timestamps) minus min(timestamps) across all events. events_per_second is total_events divided by the session duration in seconds, capturing the density of interaction. key_event_ratio is (keydown_count + keyup_count) / total_events — the proportion of the session's events that were keyboard events. mouse_event_ratio is the complementary proportion of mouse-type activity. These ratios characterize the user's interaction style at a session level and are surprisingly stable for a given user performing a given task type.</w:t>
      </w:r>
    </w:p>
    <w:p>
      <w:pPr>
        <w:pStyle w:val="Heading2"/>
      </w:pPr>
      <w:r>
        <w:rPr>
          <w:rFonts w:ascii="Calibri" w:hAnsi="Calibri"/>
          <w:color w:val="2E74B5"/>
        </w:rPr>
        <w:t>4.8  Digraph Timing (Indices 16-21) — Primary Discriminators</w:t>
      </w:r>
    </w:p>
    <w:p>
      <w:pPr>
        <w:spacing w:after="120"/>
        <w:ind w:firstLine="425"/>
      </w:pPr>
      <w:r>
        <w:rPr>
          <w:rFonts w:ascii="Calibri" w:hAnsi="Calibri"/>
          <w:sz w:val="22"/>
        </w:rPr>
        <w:t>Digraph features are the most discriminative features in the BEHAVE-SEC feature set — and among the most powerful in the entire keystroke dynamics literature. A digraph refers to the transition between two consecutive keystrokes, and the timing of this transition encodes deep muscle-memory patterns that are exceptionally individual and stable.</w:t>
      </w:r>
    </w:p>
    <w:p>
      <w:pPr>
        <w:spacing w:after="120"/>
        <w:ind w:firstLine="425"/>
      </w:pPr>
      <w:r>
        <w:rPr>
          <w:rFonts w:ascii="Calibri" w:hAnsi="Calibri"/>
          <w:sz w:val="22"/>
        </w:rPr>
        <w:t>The digraph flight time (features 16-17) is measured as the interval from the keyup of key N to the keydown of key N+1. This is distinct from the IKI, which measures keydown-to-keydown timing. The digraph flight time is more precise — it measures the gap between keypresses rather than between press onsets, making it sensitive to the overlap between consecutive keystrokes, a common pattern in fast typists who release one key while already pressing the next.</w:t>
      </w:r>
    </w:p>
    <w:p>
      <w:pPr>
        <w:spacing w:after="120"/>
        <w:ind w:firstLine="425"/>
      </w:pPr>
      <w:r>
        <w:rPr>
          <w:rFonts w:ascii="Calibri" w:hAnsi="Calibri"/>
          <w:sz w:val="22"/>
        </w:rPr>
        <w:t>The digraph duration (features 18-19) measures the time span from the keydown of key N to the keyup of key N+1, capturing the co-articulation span — the total time window during which both keys are in play. In fast typing, this window includes overlapping press-and-hold periods; in slow typing, it is simply the sum of dwell time and flight time. The hold-to-flight ratio (features 20-21) is computed as dwell_time(N) divided by flight_time(N to N+1), capturing whether a user tends to linger on keys relative to how quickly they transition to the next — a ratio below 1 is characteristic of fast flowing typists, above 1 of deliberate careful typists.</w:t>
      </w:r>
    </w:p>
    <w:p>
      <w:pPr>
        <w:pStyle w:val="Heading2"/>
      </w:pPr>
      <w:r>
        <w:rPr>
          <w:rFonts w:ascii="Calibri" w:hAnsi="Calibri"/>
          <w:color w:val="2E74B5"/>
        </w:rPr>
        <w:t>4.9  Mouse Acceleration (Indices 22-23)</w:t>
      </w:r>
    </w:p>
    <w:p>
      <w:pPr>
        <w:spacing w:after="120"/>
        <w:ind w:firstLine="425"/>
      </w:pPr>
      <w:r>
        <w:rPr>
          <w:rFonts w:ascii="Calibri" w:hAnsi="Calibri"/>
          <w:sz w:val="22"/>
        </w:rPr>
        <w:t>Mouse acceleration is the rate of change of mouse speed between consecutive movement samples: acceleration[i] = speed[i] minus speed[i-1]. Acceleration captures the dynamism of mouse movement. A user who moves their mouse in smooth, continuous sweeps will have low, consistent acceleration values. A user who moves in jerky bursts will have high, variable acceleration values. Bots, which typically interpolate between target coordinates at a fixed speed, exhibit nearly zero acceleration variance — a useful discriminating signal between human and automated mouse behavior.</w:t>
      </w:r>
    </w:p>
    <w:p>
      <w:pPr>
        <w:pStyle w:val="Heading2"/>
      </w:pPr>
      <w:r>
        <w:rPr>
          <w:rFonts w:ascii="Calibri" w:hAnsi="Calibri"/>
          <w:color w:val="2E74B5"/>
        </w:rPr>
        <w:t>4.10  Path Directness Ratio (Index 24) — Zero-Day Bot Detector</w:t>
      </w:r>
    </w:p>
    <w:p>
      <w:pPr>
        <w:spacing w:after="120"/>
        <w:ind w:firstLine="425"/>
      </w:pPr>
      <w:r>
        <w:rPr>
          <w:rFonts w:ascii="Calibri" w:hAnsi="Calibri"/>
          <w:sz w:val="22"/>
        </w:rPr>
        <w:t>The path directness ratio is defined as straight_line_distance divided by actual_path_distance, where straight_line_distance is the Euclidean distance between the first and last mouse positions in the session, and actual_path_distance is the sum of all Euclidean distances between consecutive mouse positions. The ratio ranges from 0 (infinitely convoluted path) to 1.0 (perfectly straight line).</w:t>
      </w:r>
    </w:p>
    <w:p>
      <w:pPr>
        <w:spacing w:after="120"/>
        <w:ind w:firstLine="425"/>
      </w:pPr>
      <w:r>
        <w:rPr>
          <w:rFonts w:ascii="Calibri" w:hAnsi="Calibri"/>
          <w:sz w:val="22"/>
        </w:rPr>
        <w:t>Human mouse movements are naturally curved due to biomechanical constraints and the cognitive process of aiming at a target, producing ratios typically in the range 0.3 to 0.8. Automated agents interpolate linearly between waypoints, producing ratios at or approaching 1.0. BEHAVE-SEC's kinematic bot detection rule: if mousemove_count &gt; 10 AND path_directness_ratio &gt;= 0.999, the session is immediately classified as a bot. This check requires no training data, produces zero false positives on human users, and catches any bot generating linear mouse trajectories — including bots never seen before (zero-day bot detection).</w:t>
      </w:r>
    </w:p>
    <w:p>
      <w:pPr>
        <w:pStyle w:val="Heading2"/>
      </w:pPr>
      <w:r>
        <w:rPr>
          <w:rFonts w:ascii="Calibri" w:hAnsi="Calibri"/>
          <w:color w:val="2E74B5"/>
        </w:rPr>
        <w:t>4.11  Click Interval and Precision (Indices 25-27)</w:t>
      </w:r>
    </w:p>
    <w:p>
      <w:pPr>
        <w:spacing w:after="120"/>
        <w:ind w:firstLine="425"/>
      </w:pPr>
      <w:r>
        <w:rPr>
          <w:rFonts w:ascii="Calibri" w:hAnsi="Calibri"/>
          <w:sz w:val="22"/>
        </w:rPr>
        <w:t>Click intervals measure the time elapsed between consecutive mouse click events, capturing the rhythm of a person's clicking — how quickly or slowly they move their hand to perform successive clicks. The average and standard deviation are computed after filtering intervals within (0ms, 30000ms).</w:t>
      </w:r>
    </w:p>
    <w:p>
      <w:pPr>
        <w:spacing w:after="120"/>
        <w:ind w:firstLine="425"/>
      </w:pPr>
      <w:r>
        <w:rPr>
          <w:rFonts w:ascii="Calibri" w:hAnsi="Calibri"/>
          <w:sz w:val="22"/>
        </w:rPr>
        <w:t>Click precision measures the spatial consistency of a user's clicking pattern as the mean Euclidean distance from each click coordinate to the centroid of all click coordinates in the session. A user who clicks within a compact, consistent area has a low click precision value. This feature is particularly useful in the constrained Intruder Challenge target-clicking phase, where click precision captures fine-grained differences in aiming accuracy and spatial consistency between individuals.</w:t>
      </w:r>
    </w:p>
    <w:p>
      <w:pPr>
        <w:pStyle w:val="Heading2"/>
      </w:pPr>
      <w:r>
        <w:rPr>
          <w:rFonts w:ascii="Calibri" w:hAnsi="Calibri"/>
          <w:color w:val="2E74B5"/>
        </w:rPr>
        <w:t>4.12  Feature Groups for Context-Aware Imputation</w:t>
      </w:r>
    </w:p>
    <w:p>
      <w:pPr>
        <w:spacing w:after="120"/>
        <w:ind w:firstLine="425"/>
      </w:pPr>
      <w:r>
        <w:rPr>
          <w:rFonts w:ascii="Calibri" w:hAnsi="Calibri"/>
          <w:sz w:val="22"/>
        </w:rPr>
        <w:t>Within features.py, the 22 biometric features are organized into three named index groups: KB_INDICES = [6, 7, 8, 9, 16, 17, 18, 19, 20, 21] for keyboard features; MS_INDICES = [10, 11, 22, 23, 24, 25, 26, 27] for mouse features; and MIX_INDICES = [12, 13, 14, 15] for session timing features. These groups enable context-aware imputation at scoring time, replacing zero values in absent-modality slots with the user's historical means to prevent the absence of one modality from unfairly distorting the anomaly score. This design ensures BEHAVE-SEC functions correctly as a keyboard-only, mouse-only, or full multimodal model — adapting gracefully to the available data.</w:t>
      </w:r>
    </w:p>
    <w:p>
      <w:r>
        <w:br w:type="page"/>
      </w:r>
    </w:p>
    <w:p>
      <w:pPr>
        <w:pStyle w:val="Heading1"/>
      </w:pPr>
      <w:r>
        <w:rPr>
          <w:rFonts w:ascii="Calibri" w:hAnsi="Calibri"/>
          <w:color w:val="1A569E"/>
        </w:rPr>
        <w:t>Chapter 5 — Machine Learning Model</w:t>
      </w:r>
    </w:p>
    <w:p>
      <w:r>
        <w:rPr>
          <w:i/>
          <w:color w:val="888888"/>
          <w:sz w:val="20"/>
        </w:rPr>
        <w:t>Pages 23-29</w:t>
      </w:r>
    </w:p>
    <w:p/>
    <w:p>
      <w:pPr>
        <w:pStyle w:val="Heading2"/>
      </w:pPr>
      <w:r>
        <w:rPr>
          <w:rFonts w:ascii="Calibri" w:hAnsi="Calibri"/>
          <w:color w:val="2E74B5"/>
        </w:rPr>
        <w:t>5.1  Overview</w:t>
      </w:r>
    </w:p>
    <w:p>
      <w:pPr>
        <w:spacing w:after="120"/>
        <w:ind w:firstLine="425"/>
      </w:pPr>
      <w:r>
        <w:rPr>
          <w:rFonts w:ascii="Calibri" w:hAnsi="Calibri"/>
          <w:sz w:val="22"/>
        </w:rPr>
        <w:t>The machine learning core of BEHAVE-SEC is implemented in backend/ml/model.py. It is structured around two classes — AnomalyDetector and ModelManager — and a carefully tuned set of constants that encode the results of an empirical hyperparameter search. The central challenge the model must solve is a one-class classification problem: given only examples of the legitimate owner's behavior, build a model that reliably accepts the owner and rejects everyone else — including other humans and automated bots.</w:t>
      </w:r>
    </w:p>
    <w:p>
      <w:pPr>
        <w:pStyle w:val="Heading2"/>
      </w:pPr>
      <w:r>
        <w:rPr>
          <w:rFonts w:ascii="Calibri" w:hAnsi="Calibri"/>
          <w:color w:val="2E74B5"/>
        </w:rPr>
        <w:t>5.2  Algorithm Selection — Why One-Class SVM</w:t>
      </w:r>
    </w:p>
    <w:p>
      <w:pPr>
        <w:spacing w:after="120"/>
        <w:ind w:firstLine="425"/>
      </w:pPr>
      <w:r>
        <w:rPr>
          <w:rFonts w:ascii="Calibri" w:hAnsi="Calibri"/>
          <w:sz w:val="22"/>
        </w:rPr>
        <w:t>During development, three candidate algorithms were evaluated. Gaussian Mixture Models perform poorly when the distribution of behavioral features is non-Gaussian — a common situation, as dwell times and flight times are often right-skewed or multimodal. Isolation Forest, an ensemble anomaly detection method evaluated as a strong baseline, randomly partitions the feature space to isolate anomalies. One-Class SVM (Scholkopf et al., 2001) maps the owner's training data into a high-dimensional feature space via an RBF kernel and finds the minimum-volume hypersphere enclosing the majority of the data — allowing the decision boundary to be highly non-linear and tightly contoured around irregular behavioral clusters.</w:t>
      </w:r>
    </w:p>
    <w:p>
      <w:pPr>
        <w:spacing w:after="120"/>
        <w:ind w:firstLine="425"/>
      </w:pPr>
      <w:r>
        <w:rPr>
          <w:rFonts w:ascii="Calibri" w:hAnsi="Calibri"/>
          <w:sz w:val="22"/>
        </w:rPr>
        <w:t>Empirical grid-search validation confirmed that One-Class SVM with an RBF kernel outperforms Isolation Forest at the low-contamination settings appropriate for behavioral biometrics. The key advantage of OCSVM is its ability to create a tight, contoured boundary around the owner's behavioral cluster, with the nu parameter providing direct, interpretable control over the trade-off between false rejections and false acceptances.</w:t>
      </w:r>
    </w:p>
    <w:p>
      <w:pPr>
        <w:pStyle w:val="Heading2"/>
      </w:pPr>
      <w:r>
        <w:rPr>
          <w:rFonts w:ascii="Calibri" w:hAnsi="Calibri"/>
          <w:color w:val="2E74B5"/>
        </w:rPr>
        <w:t>5.3  Feature Scaling — StandardScaler</w:t>
      </w:r>
    </w:p>
    <w:p>
      <w:pPr>
        <w:spacing w:after="120"/>
        <w:ind w:firstLine="425"/>
      </w:pPr>
      <w:r>
        <w:rPr>
          <w:rFonts w:ascii="Calibri" w:hAnsi="Calibri"/>
          <w:sz w:val="22"/>
        </w:rPr>
        <w:t>Before any model training or scoring, the 22 biometric features (indices 6-27) are passed through a StandardScaler from scikit-learn. This transformation subtracts the mean and divides by the standard deviation of each feature, transforming the data to zero-mean, unit-variance. This step is critical for the RBF kernel: raw features span vastly different scales (milliseconds versus pixel ratios), and the high-magnitude features would dominate the Euclidean distance metric used by the kernel, effectively ignoring the low-magnitude features. Scaling equalizes each feature's contribution. The scaler is fit on the training data and applied identically at scoring time — the scaler object is serialized alongside the model, ensuring consistent scaling throughout the model's lifetime.</w:t>
      </w:r>
    </w:p>
    <w:p>
      <w:pPr>
        <w:pStyle w:val="Heading2"/>
      </w:pPr>
      <w:r>
        <w:rPr>
          <w:rFonts w:ascii="Calibri" w:hAnsi="Calibri"/>
          <w:color w:val="2E74B5"/>
        </w:rPr>
        <w:t>5.4  Hyperparameter Tuning</w:t>
      </w:r>
    </w:p>
    <w:p>
      <w:pPr>
        <w:spacing w:after="120"/>
        <w:ind w:firstLine="425"/>
      </w:pPr>
      <w:r>
        <w:rPr>
          <w:rFonts w:ascii="Calibri" w:hAnsi="Calibri"/>
          <w:sz w:val="22"/>
        </w:rPr>
        <w:t>The optimal hyperparameters for the OneClassSVM were determined through a systematic grid search implemented in tune_model.py. The search evaluated all combinations of nu in {0.001, 0.01, 0.05, 0.1} and gamma in {'scale', 'auto', 0.01, 0.001}, using balanced accuracy — the arithmetic mean of sensitivity (owner acceptance rate) and specificity (intruder rejection rate) — as the primary metric.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569E"/>
          </w:tcPr>
          <w:p>
            <w:r/>
            <w:r>
              <w:rPr>
                <w:b/>
                <w:color w:val="FFFFFF"/>
                <w:sz w:val="20"/>
              </w:rPr>
              <w:t>nu \ gamma</w:t>
            </w:r>
          </w:p>
        </w:tc>
        <w:tc>
          <w:tcPr>
            <w:tcW w:type="dxa" w:w="1824"/>
            <w:shd w:val="clear" w:color="auto" w:fill="1A569E"/>
          </w:tcPr>
          <w:p>
            <w:r/>
            <w:r>
              <w:rPr>
                <w:b/>
                <w:color w:val="FFFFFF"/>
                <w:sz w:val="20"/>
              </w:rPr>
              <w:t>'scale'</w:t>
            </w:r>
          </w:p>
        </w:tc>
        <w:tc>
          <w:tcPr>
            <w:tcW w:type="dxa" w:w="1824"/>
            <w:shd w:val="clear" w:color="auto" w:fill="1A569E"/>
          </w:tcPr>
          <w:p>
            <w:r/>
            <w:r>
              <w:rPr>
                <w:b/>
                <w:color w:val="FFFFFF"/>
                <w:sz w:val="20"/>
              </w:rPr>
              <w:t>'auto'</w:t>
            </w:r>
          </w:p>
        </w:tc>
        <w:tc>
          <w:tcPr>
            <w:tcW w:type="dxa" w:w="1824"/>
            <w:shd w:val="clear" w:color="auto" w:fill="1A569E"/>
          </w:tcPr>
          <w:p>
            <w:r/>
            <w:r>
              <w:rPr>
                <w:b/>
                <w:color w:val="FFFFFF"/>
                <w:sz w:val="20"/>
              </w:rPr>
              <w:t>0.01</w:t>
            </w:r>
          </w:p>
        </w:tc>
        <w:tc>
          <w:tcPr>
            <w:tcW w:type="dxa" w:w="1824"/>
            <w:shd w:val="clear" w:color="auto" w:fill="1A569E"/>
          </w:tcPr>
          <w:p>
            <w:r/>
            <w:r>
              <w:rPr>
                <w:b/>
                <w:color w:val="FFFFFF"/>
                <w:sz w:val="20"/>
              </w:rPr>
              <w:t>0.001</w:t>
            </w:r>
          </w:p>
        </w:tc>
      </w:tr>
      <w:tr>
        <w:tc>
          <w:tcPr>
            <w:tcW w:type="dxa" w:w="1824"/>
            <w:shd w:val="clear" w:color="auto" w:fill="DCE6F1"/>
          </w:tcPr>
          <w:p>
            <w:r/>
            <w:r>
              <w:rPr>
                <w:rFonts w:ascii="Courier New" w:hAnsi="Courier New"/>
                <w:sz w:val="20"/>
              </w:rPr>
              <w:t>0.001</w:t>
            </w:r>
          </w:p>
        </w:tc>
        <w:tc>
          <w:tcPr>
            <w:tcW w:type="dxa" w:w="1824"/>
            <w:shd w:val="clear" w:color="auto" w:fill="DCE6F1"/>
          </w:tcPr>
          <w:p>
            <w:r/>
            <w:r>
              <w:rPr>
                <w:sz w:val="20"/>
              </w:rPr>
              <w:t>89.2%</w:t>
            </w:r>
          </w:p>
        </w:tc>
        <w:tc>
          <w:tcPr>
            <w:tcW w:type="dxa" w:w="1824"/>
            <w:shd w:val="clear" w:color="auto" w:fill="DCE6F1"/>
          </w:tcPr>
          <w:p>
            <w:r/>
            <w:r>
              <w:rPr>
                <w:sz w:val="20"/>
              </w:rPr>
              <w:t>87.4%</w:t>
            </w:r>
          </w:p>
        </w:tc>
        <w:tc>
          <w:tcPr>
            <w:tcW w:type="dxa" w:w="1824"/>
            <w:shd w:val="clear" w:color="auto" w:fill="DCE6F1"/>
          </w:tcPr>
          <w:p>
            <w:r/>
            <w:r>
              <w:rPr>
                <w:sz w:val="20"/>
              </w:rPr>
              <w:t>84.1%</w:t>
            </w:r>
          </w:p>
        </w:tc>
        <w:tc>
          <w:tcPr>
            <w:tcW w:type="dxa" w:w="1824"/>
            <w:shd w:val="clear" w:color="auto" w:fill="DCE6F1"/>
          </w:tcPr>
          <w:p>
            <w:r/>
            <w:r>
              <w:rPr>
                <w:sz w:val="20"/>
              </w:rPr>
              <w:t>79.3%</w:t>
            </w:r>
          </w:p>
        </w:tc>
      </w:tr>
      <w:tr>
        <w:tc>
          <w:tcPr>
            <w:tcW w:type="dxa" w:w="1824"/>
            <w:shd w:val="clear" w:color="auto" w:fill="FFFFFF"/>
          </w:tcPr>
          <w:p>
            <w:r/>
            <w:r>
              <w:rPr>
                <w:rFonts w:ascii="Courier New" w:hAnsi="Courier New"/>
                <w:sz w:val="20"/>
              </w:rPr>
              <w:t>0.01</w:t>
            </w:r>
          </w:p>
        </w:tc>
        <w:tc>
          <w:tcPr>
            <w:tcW w:type="dxa" w:w="1824"/>
            <w:shd w:val="clear" w:color="auto" w:fill="FFFFFF"/>
          </w:tcPr>
          <w:p>
            <w:r/>
            <w:r>
              <w:rPr>
                <w:sz w:val="20"/>
              </w:rPr>
              <w:t>96.1% (BEST)</w:t>
            </w:r>
          </w:p>
        </w:tc>
        <w:tc>
          <w:tcPr>
            <w:tcW w:type="dxa" w:w="1824"/>
            <w:shd w:val="clear" w:color="auto" w:fill="FFFFFF"/>
          </w:tcPr>
          <w:p>
            <w:r/>
            <w:r>
              <w:rPr>
                <w:sz w:val="20"/>
              </w:rPr>
              <w:t>94.3%</w:t>
            </w:r>
          </w:p>
        </w:tc>
        <w:tc>
          <w:tcPr>
            <w:tcW w:type="dxa" w:w="1824"/>
            <w:shd w:val="clear" w:color="auto" w:fill="FFFFFF"/>
          </w:tcPr>
          <w:p>
            <w:r/>
            <w:r>
              <w:rPr>
                <w:sz w:val="20"/>
              </w:rPr>
              <w:t>91.7%</w:t>
            </w:r>
          </w:p>
        </w:tc>
        <w:tc>
          <w:tcPr>
            <w:tcW w:type="dxa" w:w="1824"/>
            <w:shd w:val="clear" w:color="auto" w:fill="FFFFFF"/>
          </w:tcPr>
          <w:p>
            <w:r/>
            <w:r>
              <w:rPr>
                <w:sz w:val="20"/>
              </w:rPr>
              <w:t>85.2%</w:t>
            </w:r>
          </w:p>
        </w:tc>
      </w:tr>
      <w:tr>
        <w:tc>
          <w:tcPr>
            <w:tcW w:type="dxa" w:w="1824"/>
            <w:shd w:val="clear" w:color="auto" w:fill="DCE6F1"/>
          </w:tcPr>
          <w:p>
            <w:r/>
            <w:r>
              <w:rPr>
                <w:rFonts w:ascii="Courier New" w:hAnsi="Courier New"/>
                <w:sz w:val="20"/>
              </w:rPr>
              <w:t>0.05</w:t>
            </w:r>
          </w:p>
        </w:tc>
        <w:tc>
          <w:tcPr>
            <w:tcW w:type="dxa" w:w="1824"/>
            <w:shd w:val="clear" w:color="auto" w:fill="DCE6F1"/>
          </w:tcPr>
          <w:p>
            <w:r/>
            <w:r>
              <w:rPr>
                <w:sz w:val="20"/>
              </w:rPr>
              <w:t>93.8%</w:t>
            </w:r>
          </w:p>
        </w:tc>
        <w:tc>
          <w:tcPr>
            <w:tcW w:type="dxa" w:w="1824"/>
            <w:shd w:val="clear" w:color="auto" w:fill="DCE6F1"/>
          </w:tcPr>
          <w:p>
            <w:r/>
            <w:r>
              <w:rPr>
                <w:sz w:val="20"/>
              </w:rPr>
              <w:t>92.1%</w:t>
            </w:r>
          </w:p>
        </w:tc>
        <w:tc>
          <w:tcPr>
            <w:tcW w:type="dxa" w:w="1824"/>
            <w:shd w:val="clear" w:color="auto" w:fill="DCE6F1"/>
          </w:tcPr>
          <w:p>
            <w:r/>
            <w:r>
              <w:rPr>
                <w:sz w:val="20"/>
              </w:rPr>
              <w:t>89.4%</w:t>
            </w:r>
          </w:p>
        </w:tc>
        <w:tc>
          <w:tcPr>
            <w:tcW w:type="dxa" w:w="1824"/>
            <w:shd w:val="clear" w:color="auto" w:fill="DCE6F1"/>
          </w:tcPr>
          <w:p>
            <w:r/>
            <w:r>
              <w:rPr>
                <w:sz w:val="20"/>
              </w:rPr>
              <w:t>83.7%</w:t>
            </w:r>
          </w:p>
        </w:tc>
      </w:tr>
      <w:tr>
        <w:tc>
          <w:tcPr>
            <w:tcW w:type="dxa" w:w="1824"/>
            <w:shd w:val="clear" w:color="auto" w:fill="FFFFFF"/>
          </w:tcPr>
          <w:p>
            <w:r/>
            <w:r>
              <w:rPr>
                <w:rFonts w:ascii="Courier New" w:hAnsi="Courier New"/>
                <w:sz w:val="20"/>
              </w:rPr>
              <w:t>0.1</w:t>
            </w:r>
          </w:p>
        </w:tc>
        <w:tc>
          <w:tcPr>
            <w:tcW w:type="dxa" w:w="1824"/>
            <w:shd w:val="clear" w:color="auto" w:fill="FFFFFF"/>
          </w:tcPr>
          <w:p>
            <w:r/>
            <w:r>
              <w:rPr>
                <w:sz w:val="20"/>
              </w:rPr>
              <w:t>88.5%</w:t>
            </w:r>
          </w:p>
        </w:tc>
        <w:tc>
          <w:tcPr>
            <w:tcW w:type="dxa" w:w="1824"/>
            <w:shd w:val="clear" w:color="auto" w:fill="FFFFFF"/>
          </w:tcPr>
          <w:p>
            <w:r/>
            <w:r>
              <w:rPr>
                <w:sz w:val="20"/>
              </w:rPr>
              <w:t>86.9%</w:t>
            </w:r>
          </w:p>
        </w:tc>
        <w:tc>
          <w:tcPr>
            <w:tcW w:type="dxa" w:w="1824"/>
            <w:shd w:val="clear" w:color="auto" w:fill="FFFFFF"/>
          </w:tcPr>
          <w:p>
            <w:r/>
            <w:r>
              <w:rPr>
                <w:sz w:val="20"/>
              </w:rPr>
              <w:t>84.2%</w:t>
            </w:r>
          </w:p>
        </w:tc>
        <w:tc>
          <w:tcPr>
            <w:tcW w:type="dxa" w:w="1824"/>
            <w:shd w:val="clear" w:color="auto" w:fill="FFFFFF"/>
          </w:tcPr>
          <w:p>
            <w:r/>
            <w:r>
              <w:rPr>
                <w:sz w:val="20"/>
              </w:rPr>
              <w:t>78.8%</w:t>
            </w:r>
          </w:p>
        </w:tc>
      </w:tr>
    </w:tbl>
    <w:p/>
    <w:p>
      <w:pPr>
        <w:spacing w:after="120"/>
        <w:ind w:firstLine="425"/>
      </w:pPr>
      <w:r>
        <w:rPr>
          <w:rFonts w:ascii="Calibri" w:hAnsi="Calibri"/>
          <w:sz w:val="22"/>
        </w:rPr>
        <w:t>The winning configuration — nu=0.01, gamma='scale' — achieved 96.1% balanced accuracy. nu=0.01 means the model allows at most 1% of training samples as outliers, creating an extremely tight fit. gamma='scale' sets gamma = 1/(n_features x X.var()), automatically scaling the kernel width to the data's variance and performing well across datasets with different feature distributions.</w:t>
      </w:r>
    </w:p>
    <w:p>
      <w:pPr>
        <w:pStyle w:val="Heading2"/>
      </w:pPr>
      <w:r>
        <w:rPr>
          <w:rFonts w:ascii="Calibri" w:hAnsi="Calibri"/>
          <w:color w:val="2E74B5"/>
        </w:rPr>
        <w:t>5.5  Anomaly Scoring Pipeline</w:t>
      </w:r>
    </w:p>
    <w:p>
      <w:pPr>
        <w:spacing w:after="120"/>
        <w:ind w:firstLine="425"/>
      </w:pPr>
      <w:r>
        <w:rPr>
          <w:rFonts w:ascii="Calibri" w:hAnsi="Calibri"/>
          <w:sz w:val="22"/>
        </w:rPr>
        <w:t>When a new session arrives and the model is trained, the _score() method executes context-aware imputation (replacing zero-valued modality slots with historical feature means), applies the StandardScaler transform, then calls the OneClassSVM's decision_function() which returns a raw score: positive inside the boundary (owner behavior), negative outside (intruder/anomalous).</w:t>
      </w:r>
    </w:p>
    <w:p>
      <w:pPr>
        <w:spacing w:after="120"/>
        <w:ind w:firstLine="425"/>
      </w:pPr>
      <w:r>
        <w:rPr>
          <w:rFonts w:ascii="Calibri" w:hAnsi="Calibri"/>
          <w:sz w:val="22"/>
        </w:rPr>
        <w:t>The raw score is mapped to [0, 1] using a tuned sigmoid: normalised = 1.0 / (1.0 + exp(8 * raw_score + 0)), with slope=8 and offset=0. This calibration produces: owner sessions (raw_score &gt; 0) mapping to approximately 0.00-0.49; boundary sessions (raw_score = 0) mapping to exactly 0.50; and intruder sessions (raw_score &lt; 0) mapping to 0.55-1.00. The anomaly threshold is set at ANOMALY_THRESHOLD = 0.55, validated at 100% owner acceptance and 92.2% intruder rejection. The offset is fixed at 0 — any non-zero offset shifts the decision boundary away from the SVM's natural boundary, invalidating the calibration.</w:t>
      </w:r>
    </w:p>
    <w:p>
      <w:pPr>
        <w:pStyle w:val="Heading2"/>
      </w:pPr>
      <w:r>
        <w:rPr>
          <w:rFonts w:ascii="Calibri" w:hAnsi="Calibri"/>
          <w:color w:val="2E74B5"/>
        </w:rPr>
        <w:t>5.6  Model Lifecycle</w:t>
      </w:r>
    </w:p>
    <w:p>
      <w:pPr>
        <w:pStyle w:val="ListNumber"/>
        <w:spacing w:after="60"/>
      </w:pPr>
      <w:r>
        <w:rPr>
          <w:b/>
          <w:sz w:val="22"/>
        </w:rPr>
        <w:t>Cold Start:</w:t>
      </w:r>
      <w:r>
        <w:rPr>
          <w:sz w:val="22"/>
        </w:rPr>
        <w:t xml:space="preserve"> Model is None; results labeled 'pending' with model_ready: False. Bot detection still active.</w:t>
      </w:r>
    </w:p>
    <w:p>
      <w:pPr>
        <w:pStyle w:val="ListNumber"/>
        <w:spacing w:after="60"/>
      </w:pPr>
      <w:r>
        <w:rPr>
          <w:b/>
          <w:sz w:val="22"/>
        </w:rPr>
        <w:t>Data Accumulation:</w:t>
      </w:r>
      <w:r>
        <w:rPr>
          <w:sz w:val="22"/>
        </w:rPr>
        <w:t xml:space="preserve"> Feature vectors collected in buffer, persisted to .npy file. Buffer survives restarts.</w:t>
      </w:r>
    </w:p>
    <w:p>
      <w:pPr>
        <w:pStyle w:val="ListNumber"/>
        <w:spacing w:after="60"/>
      </w:pPr>
      <w:r>
        <w:rPr>
          <w:b/>
          <w:sz w:val="22"/>
        </w:rPr>
        <w:t>Auto-Training:</w:t>
      </w:r>
      <w:r>
        <w:rPr>
          <w:sz w:val="22"/>
        </w:rPr>
        <w:t xml:space="preserve"> Triggered automatically when buffer reaches MIN_SAMPLES_TO_TRAIN = 10 sessions.</w:t>
      </w:r>
    </w:p>
    <w:p>
      <w:pPr>
        <w:pStyle w:val="ListNumber"/>
        <w:spacing w:after="60"/>
      </w:pPr>
      <w:r>
        <w:rPr>
          <w:b/>
          <w:sz w:val="22"/>
        </w:rPr>
        <w:t>Active Operation:</w:t>
      </w:r>
      <w:r>
        <w:rPr>
          <w:sz w:val="22"/>
        </w:rPr>
        <w:t xml:space="preserve"> Every new session scored in real time. Results include label, score, and bot verdict.</w:t>
      </w:r>
    </w:p>
    <w:p>
      <w:pPr>
        <w:pStyle w:val="ListNumber"/>
        <w:spacing w:after="60"/>
      </w:pPr>
      <w:r>
        <w:rPr>
          <w:b/>
          <w:sz w:val="22"/>
        </w:rPr>
        <w:t>Manual Retrain:</w:t>
      </w:r>
      <w:r>
        <w:rPr>
          <w:sz w:val="22"/>
        </w:rPr>
        <w:t xml:space="preserve"> POST /model/retrain forces an immediate retrain on all buffered data at any time.</w:t>
      </w:r>
    </w:p>
    <w:p>
      <w:pPr>
        <w:pStyle w:val="ListNumber"/>
        <w:spacing w:after="60"/>
      </w:pPr>
      <w:r>
        <w:rPr>
          <w:b/>
          <w:sz w:val="22"/>
        </w:rPr>
        <w:t>Continuous Improvement:</w:t>
      </w:r>
      <w:r>
        <w:rPr>
          <w:sz w:val="22"/>
        </w:rPr>
        <w:t xml:space="preserve"> Owner-confirmed feedback sessions retraing the model via the active learning loop.</w:t>
      </w:r>
    </w:p>
    <w:p>
      <w:pPr>
        <w:pStyle w:val="Heading2"/>
      </w:pPr>
      <w:r>
        <w:rPr>
          <w:rFonts w:ascii="Calibri" w:hAnsi="Calibri"/>
          <w:color w:val="2E74B5"/>
        </w:rPr>
        <w:t>5.7  Active Learning / Feedback Loop</w:t>
      </w:r>
    </w:p>
    <w:p>
      <w:pPr>
        <w:spacing w:after="120"/>
        <w:ind w:firstLine="425"/>
      </w:pPr>
      <w:r>
        <w:rPr>
          <w:rFonts w:ascii="Calibri" w:hAnsi="Calibri"/>
          <w:sz w:val="22"/>
        </w:rPr>
        <w:t>BEHAVE-SEC implements an active learning mechanism allowing the model to improve continuously based on labeled user feedback, implemented in handle_feedback(). When a user confirms 'This was me' (is_owner=True), the last scored session's feature vector (self._last_fv) is appended to the training buffer and the model is immediately retrained — correcting false rejections in real time. When a user confirms 'This was NOT me' (is_owner=False), no training occurs — incorporating an intruder's behavioral vector would constitute a model poisoning attack. The bypass_drift flag is used exclusively during the Intruder Challenge enrollment phase; outside of enrollment it is always False, ensuring the poisoning defense remains active.</w:t>
      </w:r>
    </w:p>
    <w:p>
      <w:pPr>
        <w:pStyle w:val="Heading2"/>
      </w:pPr>
      <w:r>
        <w:rPr>
          <w:rFonts w:ascii="Calibri" w:hAnsi="Calibri"/>
          <w:color w:val="2E74B5"/>
        </w:rPr>
        <w:t>5.8  Bot Detection — Two-Layer Defense</w:t>
      </w:r>
    </w:p>
    <w:p>
      <w:pPr>
        <w:spacing w:after="40"/>
      </w:pPr>
      <w:r>
        <w:rPr>
          <w:b/>
          <w:sz w:val="22"/>
          <w:u w:val="single"/>
        </w:rPr>
        <w:t>Layer 1 — Global Human Baseline Model (global_human_model.pkl)</w:t>
      </w:r>
    </w:p>
    <w:p>
      <w:pPr>
        <w:spacing w:after="120"/>
        <w:ind w:firstLine="425"/>
      </w:pPr>
      <w:r>
        <w:rPr>
          <w:rFonts w:ascii="Calibri" w:hAnsi="Calibri"/>
          <w:sz w:val="22"/>
        </w:rPr>
        <w:t>The global model is a OneClassSVM trained on population-level human keyboard interactions using six core CMU-mapped keystroke features: avg_hold, std_hold, avg_iki, std_iki, avg_digraph_flight, std_digraph_flight (feature indices [6, 7, 8, 9, 16, 17]). These six features constitute the most reliable discriminators between human and automated typing patterns. The model produces a prediction of +1 (inlier = human) or -1 (outlier = bot), and a normalized humanity score computed as 1.0 / (1.0 + exp(-2.0 * raw_score)). A score close to 1.0 indicates high confidence the session was produced by a human; close to 0.0 indicates bot-like behavior.</w:t>
      </w:r>
    </w:p>
    <w:p>
      <w:pPr>
        <w:spacing w:after="40"/>
      </w:pPr>
      <w:r>
        <w:rPr>
          <w:b/>
          <w:sz w:val="22"/>
          <w:u w:val="single"/>
        </w:rPr>
        <w:t>Layer 2 — Deterministic Kinematic Check (Zero-Day)</w:t>
      </w:r>
    </w:p>
    <w:p>
      <w:pPr>
        <w:spacing w:after="120"/>
        <w:ind w:firstLine="425"/>
      </w:pPr>
      <w:r>
        <w:rPr>
          <w:rFonts w:ascii="Calibri" w:hAnsi="Calibri"/>
          <w:sz w:val="22"/>
        </w:rPr>
        <w:t>The kinematic check requires no model, no training data, and no historical context: if mousemove_count &gt; 10 AND path_directness_ratio &gt;= 0.999, the session is immediately classified as 'bot (kinematic pattern)'. A ratio of 0.999 or above is physically impossible for a human user — natural hand tremor and motor imprecision produce path curvature even in the most deliberate mouse movements. The 10-event minimum ensures sufficient trajectory data for a reliable geometric determination. This layer catches zero-day bots — automated agents whose statistical keystroke profile might pass the ML-based Layer 1 but whose mouse movement is generated by linear interpolation.</w:t>
      </w:r>
    </w:p>
    <w:p>
      <w:pPr>
        <w:pStyle w:val="Heading2"/>
      </w:pPr>
      <w:r>
        <w:rPr>
          <w:rFonts w:ascii="Calibri" w:hAnsi="Calibri"/>
          <w:color w:val="2E74B5"/>
        </w:rPr>
        <w:t>5.9  Behavioral Drift Protection — Poisoning Defense</w:t>
      </w:r>
    </w:p>
    <w:p>
      <w:pPr>
        <w:spacing w:after="120"/>
        <w:ind w:firstLine="425"/>
      </w:pPr>
      <w:r>
        <w:rPr>
          <w:rFonts w:ascii="Calibri" w:hAnsi="Calibri"/>
          <w:sz w:val="22"/>
        </w:rPr>
        <w:t>A sophisticated adversary with temporary access may attempt a model poisoning attack: submitting their own behavioral sessions as 'owner' feedback, gradually shifting the model's decision boundary until it accepts their profile. BEHAVE-SEC defends against this through the _is_profile_consistent() method, which computes cosine similarity between the candidate session's biometric feature vector (indices 6:28) and the stored master centroid: similarity = dot(v1, v2) / (norm(v1) * norm(v2)). If similarity falls below DRIFT_SIMILARITY_THRESHOLD, the feedback is rejected and Step-Up MFA is triggered. The master centroid is the mean feature vector across all owner training sessions, updated after every feedback-driven retrain.</w:t>
      </w:r>
    </w:p>
    <w:p>
      <w:pPr>
        <w:pStyle w:val="Heading2"/>
      </w:pPr>
      <w:r>
        <w:rPr>
          <w:rFonts w:ascii="Calibri" w:hAnsi="Calibri"/>
          <w:color w:val="2E74B5"/>
        </w:rPr>
        <w:t>5.10  ModelManager — Multi-User Orchestration</w:t>
      </w:r>
    </w:p>
    <w:p>
      <w:pPr>
        <w:spacing w:after="120"/>
        <w:ind w:firstLine="425"/>
      </w:pPr>
      <w:r>
        <w:rPr>
          <w:rFonts w:ascii="Calibri" w:hAnsi="Calibri"/>
          <w:sz w:val="22"/>
        </w:rPr>
        <w:t>The ModelManager class holds a dictionary of AnomalyDetector instances — one per user_id — with lazy initialization: instances are created on demand the first time a request arrives for a given user. The model_manager singleton is instantiated once at module import time (module_manager = ModelManager()) and shared across all FastAPI route handlers via Python's module-level namespace. Thread safety is enforced at two levels: ModelManager._lock protects the dictionary during detector creation, and each AnomalyDetector._lock protects all per-user state during concurrent operations. This design allows simultaneous behavioral sessions from different users — or multiple concurrent requests for the same user — to be handled correctly without race conditions.</w:t>
      </w:r>
    </w:p>
    <w:p>
      <w:r>
        <w:br w:type="page"/>
      </w:r>
    </w:p>
    <w:p>
      <w:pPr>
        <w:pStyle w:val="Heading1"/>
      </w:pPr>
      <w:r>
        <w:rPr>
          <w:rFonts w:ascii="Calibri" w:hAnsi="Calibri"/>
          <w:color w:val="1A569E"/>
        </w:rPr>
        <w:t>Chapter 6 — Backend API Design</w:t>
      </w:r>
    </w:p>
    <w:p>
      <w:r>
        <w:rPr>
          <w:i/>
          <w:color w:val="888888"/>
          <w:sz w:val="20"/>
        </w:rPr>
        <w:t>Pages 30-34</w:t>
      </w:r>
    </w:p>
    <w:p/>
    <w:p>
      <w:pPr>
        <w:pStyle w:val="Heading2"/>
      </w:pPr>
      <w:r>
        <w:rPr>
          <w:rFonts w:ascii="Calibri" w:hAnsi="Calibri"/>
          <w:color w:val="2E74B5"/>
        </w:rPr>
        <w:t>6.1  Overview</w:t>
      </w:r>
    </w:p>
    <w:p>
      <w:pPr>
        <w:spacing w:after="120"/>
        <w:ind w:firstLine="425"/>
      </w:pPr>
      <w:r>
        <w:rPr>
          <w:rFonts w:ascii="Calibri" w:hAnsi="Calibri"/>
          <w:sz w:val="22"/>
        </w:rPr>
        <w:t>BEHAVE-SEC's backend is composed of two distinct but cooperating API services: a Python FastAPI ML Microservice and a C# ASP.NET Core 8 Gateway API. The C# gateway owns the user's identity, credentials, and session lifecycle. The Python microservice owns the behavioral model, feature computation, and anomaly scoring. Either component can be upgraded, replaced, or scaled independently without disturbing the other — a critical property in a long-lived security system.</w:t>
      </w:r>
    </w:p>
    <w:p>
      <w:pPr>
        <w:pStyle w:val="Heading2"/>
      </w:pPr>
      <w:r>
        <w:rPr>
          <w:rFonts w:ascii="Calibri" w:hAnsi="Calibri"/>
          <w:color w:val="2E74B5"/>
        </w:rPr>
        <w:t>6.2  Python FastAPI Microservice — Endpoint Reference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Endpoint</w:t>
            </w:r>
          </w:p>
        </w:tc>
        <w:tc>
          <w:tcPr>
            <w:tcW w:type="dxa" w:w="3041"/>
            <w:shd w:val="clear" w:color="auto" w:fill="1A569E"/>
          </w:tcPr>
          <w:p>
            <w:r/>
            <w:r>
              <w:rPr>
                <w:b/>
                <w:color w:val="FFFFFF"/>
                <w:sz w:val="20"/>
              </w:rPr>
              <w:t>Method</w:t>
            </w:r>
          </w:p>
        </w:tc>
        <w:tc>
          <w:tcPr>
            <w:tcW w:type="dxa" w:w="3041"/>
            <w:shd w:val="clear" w:color="auto" w:fill="1A569E"/>
          </w:tcPr>
          <w:p>
            <w:r/>
            <w:r>
              <w:rPr>
                <w:b/>
                <w:color w:val="FFFFFF"/>
                <w:sz w:val="20"/>
              </w:rPr>
              <w:t>Function</w:t>
            </w:r>
          </w:p>
        </w:tc>
      </w:tr>
      <w:tr>
        <w:tc>
          <w:tcPr>
            <w:tcW w:type="dxa" w:w="3041"/>
            <w:shd w:val="clear" w:color="auto" w:fill="DCE6F1"/>
          </w:tcPr>
          <w:p>
            <w:r/>
            <w:r>
              <w:rPr>
                <w:rFonts w:ascii="Courier New" w:hAnsi="Courier New"/>
                <w:sz w:val="20"/>
              </w:rPr>
              <w:t>/collect-data</w:t>
            </w:r>
          </w:p>
        </w:tc>
        <w:tc>
          <w:tcPr>
            <w:tcW w:type="dxa" w:w="3041"/>
            <w:shd w:val="clear" w:color="auto" w:fill="DCE6F1"/>
          </w:tcPr>
          <w:p>
            <w:r/>
            <w:r>
              <w:rPr>
                <w:sz w:val="20"/>
              </w:rPr>
              <w:t>POST</w:t>
            </w:r>
          </w:p>
        </w:tc>
        <w:tc>
          <w:tcPr>
            <w:tcW w:type="dxa" w:w="3041"/>
            <w:shd w:val="clear" w:color="auto" w:fill="DCE6F1"/>
          </w:tcPr>
          <w:p>
            <w:r/>
            <w:r>
              <w:rPr>
                <w:sz w:val="20"/>
              </w:rPr>
              <w:t>Ingest events, extract features, score against personal model, return anomaly result</w:t>
            </w:r>
          </w:p>
        </w:tc>
      </w:tr>
      <w:tr>
        <w:tc>
          <w:tcPr>
            <w:tcW w:type="dxa" w:w="3041"/>
            <w:shd w:val="clear" w:color="auto" w:fill="FFFFFF"/>
          </w:tcPr>
          <w:p>
            <w:r/>
            <w:r>
              <w:rPr>
                <w:rFonts w:ascii="Courier New" w:hAnsi="Courier New"/>
                <w:sz w:val="20"/>
              </w:rPr>
              <w:t>/model/status</w:t>
            </w:r>
          </w:p>
        </w:tc>
        <w:tc>
          <w:tcPr>
            <w:tcW w:type="dxa" w:w="3041"/>
            <w:shd w:val="clear" w:color="auto" w:fill="FFFFFF"/>
          </w:tcPr>
          <w:p>
            <w:r/>
            <w:r>
              <w:rPr>
                <w:sz w:val="20"/>
              </w:rPr>
              <w:t>GET</w:t>
            </w:r>
          </w:p>
        </w:tc>
        <w:tc>
          <w:tcPr>
            <w:tcW w:type="dxa" w:w="3041"/>
            <w:shd w:val="clear" w:color="auto" w:fill="FFFFFF"/>
          </w:tcPr>
          <w:p>
            <w:r/>
            <w:r>
              <w:rPr>
                <w:sz w:val="20"/>
              </w:rPr>
              <w:t>Return training state, buffer depth, model file existence, hyperparameter info</w:t>
            </w:r>
          </w:p>
        </w:tc>
      </w:tr>
      <w:tr>
        <w:tc>
          <w:tcPr>
            <w:tcW w:type="dxa" w:w="3041"/>
            <w:shd w:val="clear" w:color="auto" w:fill="DCE6F1"/>
          </w:tcPr>
          <w:p>
            <w:r/>
            <w:r>
              <w:rPr>
                <w:rFonts w:ascii="Courier New" w:hAnsi="Courier New"/>
                <w:sz w:val="20"/>
              </w:rPr>
              <w:t>/model/retrain</w:t>
            </w:r>
          </w:p>
        </w:tc>
        <w:tc>
          <w:tcPr>
            <w:tcW w:type="dxa" w:w="3041"/>
            <w:shd w:val="clear" w:color="auto" w:fill="DCE6F1"/>
          </w:tcPr>
          <w:p>
            <w:r/>
            <w:r>
              <w:rPr>
                <w:sz w:val="20"/>
              </w:rPr>
              <w:t>POST</w:t>
            </w:r>
          </w:p>
        </w:tc>
        <w:tc>
          <w:tcPr>
            <w:tcW w:type="dxa" w:w="3041"/>
            <w:shd w:val="clear" w:color="auto" w:fill="DCE6F1"/>
          </w:tcPr>
          <w:p>
            <w:r/>
            <w:r>
              <w:rPr>
                <w:sz w:val="20"/>
              </w:rPr>
              <w:t>Force immediate retrain on all buffered feature vectors</w:t>
            </w:r>
          </w:p>
        </w:tc>
      </w:tr>
      <w:tr>
        <w:tc>
          <w:tcPr>
            <w:tcW w:type="dxa" w:w="3041"/>
            <w:shd w:val="clear" w:color="auto" w:fill="FFFFFF"/>
          </w:tcPr>
          <w:p>
            <w:r/>
            <w:r>
              <w:rPr>
                <w:rFonts w:ascii="Courier New" w:hAnsi="Courier New"/>
                <w:sz w:val="20"/>
              </w:rPr>
              <w:t>/model/feedback</w:t>
            </w:r>
          </w:p>
        </w:tc>
        <w:tc>
          <w:tcPr>
            <w:tcW w:type="dxa" w:w="3041"/>
            <w:shd w:val="clear" w:color="auto" w:fill="FFFFFF"/>
          </w:tcPr>
          <w:p>
            <w:r/>
            <w:r>
              <w:rPr>
                <w:sz w:val="20"/>
              </w:rPr>
              <w:t>POST</w:t>
            </w:r>
          </w:p>
        </w:tc>
        <w:tc>
          <w:tcPr>
            <w:tcW w:type="dxa" w:w="3041"/>
            <w:shd w:val="clear" w:color="auto" w:fill="FFFFFF"/>
          </w:tcPr>
          <w:p>
            <w:r/>
            <w:r>
              <w:rPr>
                <w:sz w:val="20"/>
              </w:rPr>
              <w:t>Active learning: owner sessions retrain model; intruder sessions discarded</w:t>
            </w:r>
          </w:p>
        </w:tc>
      </w:tr>
      <w:tr>
        <w:tc>
          <w:tcPr>
            <w:tcW w:type="dxa" w:w="3041"/>
            <w:shd w:val="clear" w:color="auto" w:fill="DCE6F1"/>
          </w:tcPr>
          <w:p>
            <w:r/>
            <w:r>
              <w:rPr>
                <w:rFonts w:ascii="Courier New" w:hAnsi="Courier New"/>
                <w:sz w:val="20"/>
              </w:rPr>
              <w:t>/signup</w:t>
            </w:r>
          </w:p>
        </w:tc>
        <w:tc>
          <w:tcPr>
            <w:tcW w:type="dxa" w:w="3041"/>
            <w:shd w:val="clear" w:color="auto" w:fill="DCE6F1"/>
          </w:tcPr>
          <w:p>
            <w:r/>
            <w:r>
              <w:rPr>
                <w:sz w:val="20"/>
              </w:rPr>
              <w:t>POST</w:t>
            </w:r>
          </w:p>
        </w:tc>
        <w:tc>
          <w:tcPr>
            <w:tcW w:type="dxa" w:w="3041"/>
            <w:shd w:val="clear" w:color="auto" w:fill="DCE6F1"/>
          </w:tcPr>
          <w:p>
            <w:r/>
            <w:r>
              <w:rPr>
                <w:sz w:val="20"/>
              </w:rPr>
              <w:t>Register new user, initialize AnomalyDetector, create empty training buffer</w:t>
            </w:r>
          </w:p>
        </w:tc>
      </w:tr>
      <w:tr>
        <w:tc>
          <w:tcPr>
            <w:tcW w:type="dxa" w:w="3041"/>
            <w:shd w:val="clear" w:color="auto" w:fill="FFFFFF"/>
          </w:tcPr>
          <w:p>
            <w:r/>
            <w:r>
              <w:rPr>
                <w:rFonts w:ascii="Courier New" w:hAnsi="Courier New"/>
                <w:sz w:val="20"/>
              </w:rPr>
              <w:t>/login</w:t>
            </w:r>
          </w:p>
        </w:tc>
        <w:tc>
          <w:tcPr>
            <w:tcW w:type="dxa" w:w="3041"/>
            <w:shd w:val="clear" w:color="auto" w:fill="FFFFFF"/>
          </w:tcPr>
          <w:p>
            <w:r/>
            <w:r>
              <w:rPr>
                <w:sz w:val="20"/>
              </w:rPr>
              <w:t>POST</w:t>
            </w:r>
          </w:p>
        </w:tc>
        <w:tc>
          <w:tcPr>
            <w:tcW w:type="dxa" w:w="3041"/>
            <w:shd w:val="clear" w:color="auto" w:fill="FFFFFF"/>
          </w:tcPr>
          <w:p>
            <w:r/>
            <w:r>
              <w:rPr>
                <w:sz w:val="20"/>
              </w:rPr>
              <w:t>Validate credentials and verify behavioral signature of login session</w:t>
            </w:r>
          </w:p>
        </w:tc>
      </w:tr>
    </w:tbl>
    <w:p/>
    <w:p>
      <w:pPr>
        <w:spacing w:after="120"/>
        <w:ind w:firstLine="425"/>
      </w:pPr>
      <w:r>
        <w:rPr>
          <w:rFonts w:ascii="Calibri" w:hAnsi="Calibri"/>
          <w:sz w:val="22"/>
        </w:rPr>
        <w:t>The /collect-data endpoint is the operational workhorse. Its response includes the anomaly label ('normal', 'anomaly', or 'pending'), the normalized score, the raw decision value, the scoring mode ('multimodal' or 'keyboard-only'), the number of samples trained on, and the bot detection verdict including the humanity score. This comprehensive response enables the frontend to display rich feedback to the user and the dashboard to update in real time.</w:t>
      </w:r>
    </w:p>
    <w:p>
      <w:pPr>
        <w:spacing w:after="120"/>
        <w:ind w:firstLine="425"/>
      </w:pPr>
      <w:r>
        <w:rPr>
          <w:rFonts w:ascii="Calibri" w:hAnsi="Calibri"/>
          <w:sz w:val="22"/>
        </w:rPr>
        <w:t>The /login endpoint implements BEHAVE-SEC's verify_login_signature() method — running both identity verification against the personal model and humanity verification against the global model for the keystrokes typed during the login form interaction. This makes the login page itself a behavioral checkpoint, detecting anomaly or bot behavior at the earliest possible moment without any additional user friction.</w:t>
      </w:r>
    </w:p>
    <w:p>
      <w:pPr>
        <w:pStyle w:val="Heading2"/>
      </w:pPr>
      <w:r>
        <w:rPr>
          <w:rFonts w:ascii="Calibri" w:hAnsi="Calibri"/>
          <w:color w:val="2E74B5"/>
        </w:rPr>
        <w:t>6.3  Pydantic Data Schemas</w:t>
      </w:r>
    </w:p>
    <w:p>
      <w:pPr>
        <w:spacing w:after="120"/>
        <w:ind w:firstLine="425"/>
      </w:pPr>
      <w:r>
        <w:rPr>
          <w:rFonts w:ascii="Calibri" w:hAnsi="Calibri"/>
          <w:sz w:val="22"/>
        </w:rPr>
        <w:t>All request and response bodies are validated against Pydantic models defined in backend/models/schemas.py. The core BehavioralEvent schema captures: eventType (keydown, keyup, mousemove, click, or scroll), timestamp (Unix milliseconds), key (key identifier for keyboard events), clientX and clientY (cursor coordinates for mouse events), and targetId (DOM element ID). The BehavioralDataPayload wraps a list of BehavioralEvent objects with userId, sessionId, and a metadata dictionary containing userAgent, screenWidth, screenHeight, and sessionDuration. Pydantic validates every field type and rejects malformed requests with HTTP 422 before any application logic executes.</w:t>
      </w:r>
    </w:p>
    <w:p>
      <w:pPr>
        <w:pStyle w:val="Heading2"/>
      </w:pPr>
      <w:r>
        <w:rPr>
          <w:rFonts w:ascii="Calibri" w:hAnsi="Calibri"/>
          <w:color w:val="2E74B5"/>
        </w:rPr>
        <w:t>6.4  C# ASP.NET Core Gateway — Controller Design</w:t>
      </w:r>
    </w:p>
    <w:p>
      <w:pPr>
        <w:spacing w:after="120"/>
        <w:ind w:firstLine="425"/>
      </w:pPr>
      <w:r>
        <w:rPr>
          <w:rFonts w:ascii="Calibri" w:hAnsi="Calibri"/>
          <w:sz w:val="22"/>
        </w:rPr>
        <w:t>AuthController manages the complete user identity lifecycle. The POST /api/auth/signup endpoint hashes passwords using BCrypt with a cost factor of 12, persists the user record to SQLite via Entity Framework Core, calls the Python microservice's /signup to initialize the behavioral model, and returns a JWT token. The POST /api/auth/login endpoint validates credentials against the stored BCrypt hash, forwards the login session's behavioral events to Python for signature verification, and returns both a JWT token and the behavioral verification result.</w:t>
      </w:r>
    </w:p>
    <w:p>
      <w:pPr>
        <w:spacing w:after="120"/>
        <w:ind w:firstLine="425"/>
      </w:pPr>
      <w:r>
        <w:rPr>
          <w:rFonts w:ascii="Calibri" w:hAnsi="Calibri"/>
          <w:sz w:val="22"/>
        </w:rPr>
        <w:t>BehavioralController is the operational bridge between the browser and the Python ML microservice — decorated with [Authorize], requiring a valid JWT token for all endpoints. Its POST /api/behavioral/collect endpoint extracts the authenticated userId from JWT claims, forwards the payload to Python, persists the session result to SQLite, broadcasts the score via SignalR, and returns the complete anomaly result to the browser. Its POST /api/behavioral/feedback endpoint forwards the user's session label to Python and returns HTTP 428 Precondition Required when MFA is needed — triggering the frontend's navigation to mfa.html.</w:t>
      </w:r>
    </w:p>
    <w:p>
      <w:pPr>
        <w:spacing w:after="120"/>
        <w:ind w:firstLine="425"/>
      </w:pPr>
      <w:r>
        <w:rPr>
          <w:rFonts w:ascii="Calibri" w:hAnsi="Calibri"/>
          <w:sz w:val="22"/>
        </w:rPr>
        <w:t>StatsController provides read-only analytics for the dashboard and analysis pages: GET /api/stats/sessions returns a paginated list of past sessions with scores, and GET /api/stats/summary returns aggregate statistics including total sessions, average anomaly score, model training status, and the most recent session's result.</w:t>
      </w:r>
    </w:p>
    <w:p>
      <w:pPr>
        <w:pStyle w:val="Heading2"/>
      </w:pPr>
      <w:r>
        <w:rPr>
          <w:rFonts w:ascii="Calibri" w:hAnsi="Calibri"/>
          <w:color w:val="2E74B5"/>
        </w:rPr>
        <w:t>6.5  SignalR Real-Time Communication</w:t>
      </w:r>
    </w:p>
    <w:p>
      <w:pPr>
        <w:spacing w:after="120"/>
        <w:ind w:firstLine="425"/>
      </w:pPr>
      <w:r>
        <w:rPr>
          <w:rFonts w:ascii="Calibri" w:hAnsi="Calibri"/>
          <w:sz w:val="22"/>
        </w:rPr>
        <w:t>The BehavioralHub in the Hubs/ directory maintains persistent WebSocket connections with browser clients viewing the real-time dashboard. When BehavioralController receives a new anomaly score from the Python microservice, it calls await _hub.Clients.User(userId).SendAsync('NewScore', result), pushing the score to the specific user's connected browser instances. The browser's dashboard JavaScript listens for NewScore events and updates the gauge, score history chart, and status indicator in real time — typically within 100-200 milliseconds of the score being computed by the Python microservice — without polling.</w:t>
      </w:r>
    </w:p>
    <w:p>
      <w:pPr>
        <w:pStyle w:val="Heading2"/>
      </w:pPr>
      <w:r>
        <w:rPr>
          <w:rFonts w:ascii="Calibri" w:hAnsi="Calibri"/>
          <w:color w:val="2E74B5"/>
        </w:rPr>
        <w:t>6.6  JWT Authentication</w:t>
      </w:r>
    </w:p>
    <w:p>
      <w:pPr>
        <w:spacing w:after="120"/>
        <w:ind w:firstLine="425"/>
      </w:pPr>
      <w:r>
        <w:rPr>
          <w:rFonts w:ascii="Calibri" w:hAnsi="Calibri"/>
          <w:sz w:val="22"/>
        </w:rPr>
        <w:t>The gateway uses JSON Web Token (JWT) authentication for stateless session management. JWTs are signed with HMAC-SHA256 using a secret key from .env. Each token payload encodes the user's database ID (sub), username (name), issued-at time (iat), and expiration (exp) set to 24 hours. JWT validation is configured globally via AddJwtBearer() — any request to an [Authorize]-decorated endpoint without a valid, non-expired JWT returns HTTP 401 Unauthorized automatically before controller code executes.</w:t>
      </w:r>
    </w:p>
    <w:p>
      <w:pPr>
        <w:pStyle w:val="Heading2"/>
      </w:pPr>
      <w:r>
        <w:rPr>
          <w:rFonts w:ascii="Calibri" w:hAnsi="Calibri"/>
          <w:color w:val="2E74B5"/>
        </w:rPr>
        <w:t>6.7  Internal HTTP Communication</w:t>
      </w:r>
    </w:p>
    <w:p>
      <w:pPr>
        <w:spacing w:after="120"/>
        <w:ind w:firstLine="425"/>
      </w:pPr>
      <w:r>
        <w:rPr>
          <w:rFonts w:ascii="Calibri" w:hAnsi="Calibri"/>
          <w:sz w:val="22"/>
        </w:rPr>
        <w:t>The C# gateway communicates with the Python microservice via an HttpClient instance registered as a typed client in Program.cs, using the explicit IPv4 address 127.0.0.1 (rather than localhost) to avoid DNS resolution delays and IPv6 ambiguity. The Python URL is configurable via appsettings.json, enabling it to be updated for remote microservice deployments without code changes. A 30-second timeout is configured to handle cases where the Python microservice is under load during model retraining.</w:t>
      </w:r>
    </w:p>
    <w:p>
      <w:r>
        <w:br w:type="page"/>
      </w:r>
    </w:p>
    <w:p>
      <w:pPr>
        <w:pStyle w:val="Heading1"/>
      </w:pPr>
      <w:r>
        <w:rPr>
          <w:rFonts w:ascii="Calibri" w:hAnsi="Calibri"/>
          <w:color w:val="1A569E"/>
        </w:rPr>
        <w:t>Chapter 7 — Frontend Design</w:t>
      </w:r>
    </w:p>
    <w:p>
      <w:r>
        <w:rPr>
          <w:i/>
          <w:color w:val="888888"/>
          <w:sz w:val="20"/>
        </w:rPr>
        <w:t>Pages 35-39</w:t>
      </w:r>
    </w:p>
    <w:p/>
    <w:p>
      <w:pPr>
        <w:pStyle w:val="Heading2"/>
      </w:pPr>
      <w:r>
        <w:rPr>
          <w:rFonts w:ascii="Calibri" w:hAnsi="Calibri"/>
          <w:color w:val="2E74B5"/>
        </w:rPr>
        <w:t>7.1  Philosophy and Technology Choices</w:t>
      </w:r>
    </w:p>
    <w:p>
      <w:pPr>
        <w:spacing w:after="120"/>
        <w:ind w:firstLine="425"/>
      </w:pPr>
      <w:r>
        <w:rPr>
          <w:rFonts w:ascii="Calibri" w:hAnsi="Calibri"/>
          <w:sz w:val="22"/>
        </w:rPr>
        <w:t>The BEHAVE-SEC frontend was built with vanilla HTML5, CSS3, and JavaScript — a deliberate choice driven by the precision requirements of a behavioral biometrics system. In a system where the correctness and timing of event listener attachment is security-critical, working directly with browser APIs eliminates subtle bugs caused by framework lifecycle management. A plain HTML/JS file runs identically in every modern browser without a build step. Browser-native event.timeStamp and Date.now() provide reliable millisecond-accurate timing that framework abstractions could corrupt. The frontend loads no external JavaScript libraries, eliminating supply-chain attack risks from compromised CDN-hosted scripts.</w:t>
      </w:r>
    </w:p>
    <w:p>
      <w:pPr>
        <w:spacing w:after="120"/>
        <w:ind w:firstLine="425"/>
      </w:pPr>
      <w:r>
        <w:rPr>
          <w:rFonts w:ascii="Calibri" w:hAnsi="Calibri"/>
          <w:sz w:val="22"/>
        </w:rPr>
        <w:t>The visual design follows a cybersecurity-themed dark mode aesthetic — deep navy and black backgrounds, electric blue and cyan accent colors, neon glow effects on interactive elements, and a monospace font for technical readouts. This aesthetic aligns the product's visual identity with its domain and creates a compelling, professional first impression.</w:t>
      </w:r>
    </w:p>
    <w:p>
      <w:pPr>
        <w:pStyle w:val="Heading2"/>
      </w:pPr>
      <w:r>
        <w:rPr>
          <w:rFonts w:ascii="Calibri" w:hAnsi="Calibri"/>
          <w:color w:val="2E74B5"/>
        </w:rPr>
        <w:t>7.2  Page Architecture</w:t>
      </w:r>
    </w:p>
    <w:tbl>
      <w:tblPr>
        <w:tblStyle w:val="TableGrid"/>
        <w:tblW w:type="auto" w:w="0"/>
        <w:tblLook w:firstColumn="1" w:firstRow="1" w:lastColumn="0" w:lastRow="0" w:noHBand="0" w:noVBand="1" w:val="04A0"/>
      </w:tblPr>
      <w:tblGrid>
        <w:gridCol w:w="4561"/>
        <w:gridCol w:w="4561"/>
      </w:tblGrid>
      <w:tr>
        <w:tc>
          <w:tcPr>
            <w:tcW w:type="dxa" w:w="4561"/>
            <w:shd w:val="clear" w:color="auto" w:fill="1A569E"/>
          </w:tcPr>
          <w:p>
            <w:r/>
            <w:r>
              <w:rPr>
                <w:b/>
                <w:color w:val="FFFFFF"/>
                <w:sz w:val="20"/>
              </w:rPr>
              <w:t>File</w:t>
            </w:r>
          </w:p>
        </w:tc>
        <w:tc>
          <w:tcPr>
            <w:tcW w:type="dxa" w:w="4561"/>
            <w:shd w:val="clear" w:color="auto" w:fill="1A569E"/>
          </w:tcPr>
          <w:p>
            <w:r/>
            <w:r>
              <w:rPr>
                <w:b/>
                <w:color w:val="FFFFFF"/>
                <w:sz w:val="20"/>
              </w:rPr>
              <w:t>Purpose</w:t>
            </w:r>
          </w:p>
        </w:tc>
      </w:tr>
      <w:tr>
        <w:tc>
          <w:tcPr>
            <w:tcW w:type="dxa" w:w="4561"/>
            <w:shd w:val="clear" w:color="auto" w:fill="DCE6F1"/>
          </w:tcPr>
          <w:p>
            <w:r/>
            <w:r>
              <w:rPr>
                <w:rFonts w:ascii="Courier New" w:hAnsi="Courier New"/>
                <w:sz w:val="20"/>
              </w:rPr>
              <w:t>index.html</w:t>
            </w:r>
          </w:p>
        </w:tc>
        <w:tc>
          <w:tcPr>
            <w:tcW w:type="dxa" w:w="4561"/>
            <w:shd w:val="clear" w:color="auto" w:fill="DCE6F1"/>
          </w:tcPr>
          <w:p>
            <w:r/>
            <w:r>
              <w:rPr>
                <w:sz w:val="20"/>
              </w:rPr>
              <w:t>Landing page — project overview, behavioral fingerprint animation, navigation</w:t>
            </w:r>
          </w:p>
        </w:tc>
      </w:tr>
      <w:tr>
        <w:tc>
          <w:tcPr>
            <w:tcW w:type="dxa" w:w="4561"/>
            <w:shd w:val="clear" w:color="auto" w:fill="FFFFFF"/>
          </w:tcPr>
          <w:p>
            <w:r/>
            <w:r>
              <w:rPr>
                <w:rFonts w:ascii="Courier New" w:hAnsi="Courier New"/>
                <w:sz w:val="20"/>
              </w:rPr>
              <w:t>signup.html</w:t>
            </w:r>
          </w:p>
        </w:tc>
        <w:tc>
          <w:tcPr>
            <w:tcW w:type="dxa" w:w="4561"/>
            <w:shd w:val="clear" w:color="auto" w:fill="FFFFFF"/>
          </w:tcPr>
          <w:p>
            <w:r/>
            <w:r>
              <w:rPr>
                <w:sz w:val="20"/>
              </w:rPr>
              <w:t>User registration with behavioral capture during form filling</w:t>
            </w:r>
          </w:p>
        </w:tc>
      </w:tr>
      <w:tr>
        <w:tc>
          <w:tcPr>
            <w:tcW w:type="dxa" w:w="4561"/>
            <w:shd w:val="clear" w:color="auto" w:fill="DCE6F1"/>
          </w:tcPr>
          <w:p>
            <w:r/>
            <w:r>
              <w:rPr>
                <w:rFonts w:ascii="Courier New" w:hAnsi="Courier New"/>
                <w:sz w:val="20"/>
              </w:rPr>
              <w:t>login.html</w:t>
            </w:r>
          </w:p>
        </w:tc>
        <w:tc>
          <w:tcPr>
            <w:tcW w:type="dxa" w:w="4561"/>
            <w:shd w:val="clear" w:color="auto" w:fill="DCE6F1"/>
          </w:tcPr>
          <w:p>
            <w:r/>
            <w:r>
              <w:rPr>
                <w:sz w:val="20"/>
              </w:rPr>
              <w:t>Authenticated login with real-time behavioral event capture</w:t>
            </w:r>
          </w:p>
        </w:tc>
      </w:tr>
      <w:tr>
        <w:tc>
          <w:tcPr>
            <w:tcW w:type="dxa" w:w="4561"/>
            <w:shd w:val="clear" w:color="auto" w:fill="FFFFFF"/>
          </w:tcPr>
          <w:p>
            <w:r/>
            <w:r>
              <w:rPr>
                <w:rFonts w:ascii="Courier New" w:hAnsi="Courier New"/>
                <w:sz w:val="20"/>
              </w:rPr>
              <w:t>challenge.html</w:t>
            </w:r>
          </w:p>
        </w:tc>
        <w:tc>
          <w:tcPr>
            <w:tcW w:type="dxa" w:w="4561"/>
            <w:shd w:val="clear" w:color="auto" w:fill="FFFFFF"/>
          </w:tcPr>
          <w:p>
            <w:r/>
            <w:r>
              <w:rPr>
                <w:sz w:val="20"/>
              </w:rPr>
              <w:t>Phase 1 of Intruder Challenge — keyboard typing enrollment</w:t>
            </w:r>
          </w:p>
        </w:tc>
      </w:tr>
      <w:tr>
        <w:tc>
          <w:tcPr>
            <w:tcW w:type="dxa" w:w="4561"/>
            <w:shd w:val="clear" w:color="auto" w:fill="DCE6F1"/>
          </w:tcPr>
          <w:p>
            <w:r/>
            <w:r>
              <w:rPr>
                <w:rFonts w:ascii="Courier New" w:hAnsi="Courier New"/>
                <w:sz w:val="20"/>
              </w:rPr>
              <w:t>mouse-challenge.html</w:t>
            </w:r>
          </w:p>
        </w:tc>
        <w:tc>
          <w:tcPr>
            <w:tcW w:type="dxa" w:w="4561"/>
            <w:shd w:val="clear" w:color="auto" w:fill="DCE6F1"/>
          </w:tcPr>
          <w:p>
            <w:r/>
            <w:r>
              <w:rPr>
                <w:sz w:val="20"/>
              </w:rPr>
              <w:t>Phase 2 — mouse dynamics enrollment via target-clicking</w:t>
            </w:r>
          </w:p>
        </w:tc>
      </w:tr>
      <w:tr>
        <w:tc>
          <w:tcPr>
            <w:tcW w:type="dxa" w:w="4561"/>
            <w:shd w:val="clear" w:color="auto" w:fill="FFFFFF"/>
          </w:tcPr>
          <w:p>
            <w:r/>
            <w:r>
              <w:rPr>
                <w:rFonts w:ascii="Courier New" w:hAnsi="Courier New"/>
                <w:sz w:val="20"/>
              </w:rPr>
              <w:t>assessment-with-tracking.html</w:t>
            </w:r>
          </w:p>
        </w:tc>
        <w:tc>
          <w:tcPr>
            <w:tcW w:type="dxa" w:w="4561"/>
            <w:shd w:val="clear" w:color="auto" w:fill="FFFFFF"/>
          </w:tcPr>
          <w:p>
            <w:r/>
            <w:r>
              <w:rPr>
                <w:sz w:val="20"/>
              </w:rPr>
              <w:t>Full behavioral assessment form with extended event capture</w:t>
            </w:r>
          </w:p>
        </w:tc>
      </w:tr>
      <w:tr>
        <w:tc>
          <w:tcPr>
            <w:tcW w:type="dxa" w:w="4561"/>
            <w:shd w:val="clear" w:color="auto" w:fill="DCE6F1"/>
          </w:tcPr>
          <w:p>
            <w:r/>
            <w:r>
              <w:rPr>
                <w:rFonts w:ascii="Courier New" w:hAnsi="Courier New"/>
                <w:sz w:val="20"/>
              </w:rPr>
              <w:t>dashboard.html</w:t>
            </w:r>
          </w:p>
        </w:tc>
        <w:tc>
          <w:tcPr>
            <w:tcW w:type="dxa" w:w="4561"/>
            <w:shd w:val="clear" w:color="auto" w:fill="DCE6F1"/>
          </w:tcPr>
          <w:p>
            <w:r/>
            <w:r>
              <w:rPr>
                <w:sz w:val="20"/>
              </w:rPr>
              <w:t>Real-time anomaly score monitoring via SignalR WebSocket</w:t>
            </w:r>
          </w:p>
        </w:tc>
      </w:tr>
      <w:tr>
        <w:tc>
          <w:tcPr>
            <w:tcW w:type="dxa" w:w="4561"/>
            <w:shd w:val="clear" w:color="auto" w:fill="FFFFFF"/>
          </w:tcPr>
          <w:p>
            <w:r/>
            <w:r>
              <w:rPr>
                <w:rFonts w:ascii="Courier New" w:hAnsi="Courier New"/>
                <w:sz w:val="20"/>
              </w:rPr>
              <w:t>analysis.html</w:t>
            </w:r>
          </w:p>
        </w:tc>
        <w:tc>
          <w:tcPr>
            <w:tcW w:type="dxa" w:w="4561"/>
            <w:shd w:val="clear" w:color="auto" w:fill="FFFFFF"/>
          </w:tcPr>
          <w:p>
            <w:r/>
            <w:r>
              <w:rPr>
                <w:sz w:val="20"/>
              </w:rPr>
              <w:t>Per-session 28-feature breakdown with deviation visualization</w:t>
            </w:r>
          </w:p>
        </w:tc>
      </w:tr>
      <w:tr>
        <w:tc>
          <w:tcPr>
            <w:tcW w:type="dxa" w:w="4561"/>
            <w:shd w:val="clear" w:color="auto" w:fill="DCE6F1"/>
          </w:tcPr>
          <w:p>
            <w:r/>
            <w:r>
              <w:rPr>
                <w:rFonts w:ascii="Courier New" w:hAnsi="Courier New"/>
                <w:sz w:val="20"/>
              </w:rPr>
              <w:t>fingerprint.html</w:t>
            </w:r>
          </w:p>
        </w:tc>
        <w:tc>
          <w:tcPr>
            <w:tcW w:type="dxa" w:w="4561"/>
            <w:shd w:val="clear" w:color="auto" w:fill="DCE6F1"/>
          </w:tcPr>
          <w:p>
            <w:r/>
            <w:r>
              <w:rPr>
                <w:sz w:val="20"/>
              </w:rPr>
              <w:t>Behavioral fingerprint radar chart and temporal stability graph</w:t>
            </w:r>
          </w:p>
        </w:tc>
      </w:tr>
      <w:tr>
        <w:tc>
          <w:tcPr>
            <w:tcW w:type="dxa" w:w="4561"/>
            <w:shd w:val="clear" w:color="auto" w:fill="FFFFFF"/>
          </w:tcPr>
          <w:p>
            <w:r/>
            <w:r>
              <w:rPr>
                <w:rFonts w:ascii="Courier New" w:hAnsi="Courier New"/>
                <w:sz w:val="20"/>
              </w:rPr>
              <w:t>mfa.html</w:t>
            </w:r>
          </w:p>
        </w:tc>
        <w:tc>
          <w:tcPr>
            <w:tcW w:type="dxa" w:w="4561"/>
            <w:shd w:val="clear" w:color="auto" w:fill="FFFFFF"/>
          </w:tcPr>
          <w:p>
            <w:r/>
            <w:r>
              <w:rPr>
                <w:sz w:val="20"/>
              </w:rPr>
              <w:t>Step-Up MFA escalation page triggered by drift detection</w:t>
            </w:r>
          </w:p>
        </w:tc>
      </w:tr>
    </w:tbl>
    <w:p/>
    <w:p>
      <w:pPr>
        <w:pStyle w:val="Heading2"/>
      </w:pPr>
      <w:r>
        <w:rPr>
          <w:rFonts w:ascii="Calibri" w:hAnsi="Calibri"/>
          <w:color w:val="2E74B5"/>
        </w:rPr>
        <w:t>7.3  The Intruder Challenge — Three-Phase Enrollment</w:t>
      </w:r>
    </w:p>
    <w:p>
      <w:pPr>
        <w:spacing w:after="120"/>
        <w:ind w:firstLine="425"/>
      </w:pPr>
      <w:r>
        <w:rPr>
          <w:rFonts w:ascii="Calibri" w:hAnsi="Calibri"/>
          <w:sz w:val="22"/>
        </w:rPr>
        <w:t>The Intruder Challenge is the centerpiece of BEHAVE-SEC's user-facing experience. It is implemented as a finite state machine in JavaScript — a design decision that eliminates three categories of bugs found in naive sequential UI flows. Browser reload bugs caused state loss because data was held in JavaScript memory rather than persisted. Form submission race conditions fired page reloads before API calls completed, causing concurrent requests and session state corruption. Concurrent API call deadlocks occurred when rapid button clicks triggered multiple simultaneous requests to the ML service during model training.</w:t>
      </w:r>
    </w:p>
    <w:p>
      <w:pPr>
        <w:spacing w:after="120"/>
        <w:ind w:firstLine="425"/>
      </w:pPr>
      <w:r>
        <w:rPr>
          <w:rFonts w:ascii="Calibri" w:hAnsi="Calibri"/>
          <w:sz w:val="22"/>
        </w:rPr>
        <w:t>The state machine resolves all three issues by making state transitions explicit and guarded. The current state is always knowable. No transition can occur while a transition is in progress. Invalid events are silently ignored. The renderUI() function is called on every state transition, updating the DOM as a pure function of the current state — never through scattered imperative DOM manipulations.</w:t>
      </w:r>
    </w:p>
    <w:p>
      <w:pPr>
        <w:pStyle w:val="Heading3"/>
      </w:pPr>
      <w:r>
        <w:rPr>
          <w:rFonts w:ascii="Calibri" w:hAnsi="Calibri"/>
          <w:color w:val="4080C0"/>
        </w:rPr>
        <w:t>Phase 1 — Keyboard Enrollment (challenge.html)</w:t>
      </w:r>
    </w:p>
    <w:p>
      <w:pPr>
        <w:spacing w:after="120"/>
        <w:ind w:firstLine="425"/>
      </w:pPr>
      <w:r>
        <w:rPr>
          <w:rFonts w:ascii="Calibri" w:hAnsi="Calibri"/>
          <w:sz w:val="22"/>
        </w:rPr>
        <w:t>The user is shown a sample text passage containing a representative variety of common English letter pairs (bigrams) and invited to type it naturally at their usual pace, capturing all keydown and keyup events. The user types the same passage multiple times — typically 5-10 times per visit — to build up the training buffer. A session counter displays progress toward the 10-session training threshold. After each typed passage, the behavioralData[] array is submitted to POST /api/behavioral/collect via AJAX without a page reload. The state machine transitions to KB_SUBMITTING, disabling the UI, then to KB_COMPLETE upon API response. Once the API indicates model_ready: true, the state machine prompts the user to begin Phase 2.</w:t>
      </w:r>
    </w:p>
    <w:p>
      <w:pPr>
        <w:pStyle w:val="Heading3"/>
      </w:pPr>
      <w:r>
        <w:rPr>
          <w:rFonts w:ascii="Calibri" w:hAnsi="Calibri"/>
          <w:color w:val="4080C0"/>
        </w:rPr>
        <w:t>Phase 2 — Mouse Enrollment (mouse-challenge.html)</w:t>
      </w:r>
    </w:p>
    <w:p>
      <w:pPr>
        <w:spacing w:after="120"/>
        <w:ind w:firstLine="425"/>
      </w:pPr>
      <w:r>
        <w:rPr>
          <w:rFonts w:ascii="Calibri" w:hAnsi="Calibri"/>
          <w:sz w:val="22"/>
        </w:rPr>
        <w:t>A series of colored circular targets appear at random positions on screen. The user clicks each target as it appears, ensuring mouse movement data is captured across the full screen area. Click events are reliably generated with known target positions for precision analysis. The mouse challenge captures mousemove events (throttled to 100ms) for trajectory analysis, click events for interval, precision, and target-hit accuracy, and the path traced between each consecutive pair of targets — the primary source of path_directness_ratio measurements. Targets are rendered as animated SVG circles with a pulse effect that contracts as the target is approached, creating incidental behavioral variation as different users react differently to the contracting target.</w:t>
      </w:r>
    </w:p>
    <w:p>
      <w:pPr>
        <w:pStyle w:val="Heading3"/>
      </w:pPr>
      <w:r>
        <w:rPr>
          <w:rFonts w:ascii="Calibri" w:hAnsi="Calibri"/>
          <w:color w:val="4080C0"/>
        </w:rPr>
        <w:t>Phase 3 — Intruder Test and Feedback</w:t>
      </w:r>
    </w:p>
    <w:p>
      <w:pPr>
        <w:spacing w:after="120"/>
        <w:ind w:firstLine="425"/>
      </w:pPr>
      <w:r>
        <w:rPr>
          <w:rFonts w:ascii="Calibri" w:hAnsi="Calibri"/>
          <w:sz w:val="22"/>
        </w:rPr>
        <w:t>Once the personal model is trained, the challenge enters its most compelling phase. The system presents a scored session and asks the user to judge it. Owner-confirmed sessions (is_owner: true) cause the system to retrain the model with the confirmed session's feature vector, correcting false rejections in real time. Intruder-confirmed sessions (is_owner: false) cause no model update. The feedback page displays the anomaly score as a large animated gauge, the raw decision value, the bot detection verdict, and a confidence breakdown. If behavioral drift is detected, the response contains status: 'mfa_required', navigating the user to mfa.html before the model update is accepted.</w:t>
      </w:r>
    </w:p>
    <w:p>
      <w:pPr>
        <w:pStyle w:val="Heading2"/>
      </w:pPr>
      <w:r>
        <w:rPr>
          <w:rFonts w:ascii="Calibri" w:hAnsi="Calibri"/>
          <w:color w:val="2E74B5"/>
        </w:rPr>
        <w:t>7.4  Behavioral Event Capture — Technical Details</w:t>
      </w:r>
    </w:p>
    <w:p>
      <w:pPr>
        <w:spacing w:after="120"/>
        <w:ind w:firstLine="425"/>
      </w:pPr>
      <w:r>
        <w:rPr>
          <w:rFonts w:ascii="Calibri" w:hAnsi="Calibri"/>
          <w:sz w:val="22"/>
        </w:rPr>
        <w:t>All behavioral event listeners are attached to the document object using event delegation rather than to individual form elements. This ensures events are captured regardless of which element has focus, new DOM elements added dynamically are automatically tracked, and listener attachment is a single block executed once on DOMContentLoaded. The passive: true option signals to the browser that listeners will not call preventDefault(), enabling scroll and touch performance optimization.</w:t>
      </w:r>
    </w:p>
    <w:p>
      <w:pPr>
        <w:spacing w:after="120"/>
        <w:ind w:firstLine="425"/>
      </w:pPr>
      <w:r>
        <w:rPr>
          <w:rFonts w:ascii="Calibri" w:hAnsi="Calibri"/>
          <w:sz w:val="22"/>
        </w:rPr>
        <w:t>Mouse movement throttling is implemented using a timestamp gate: a new sample is added only if the current time minus the last capture time exceeds 100ms. At this rate, a 30-second session produces at most 300 mouse movement samples — sufficient for accurate speed, acceleration, and path directness computation while keeping payloads to 10-50 KB per session. After transmission, the behavioralData[] array is immediately cleared, ensuring each session is isolated and preventing memory accumulation across long interaction periods.</w:t>
      </w:r>
    </w:p>
    <w:p>
      <w:pPr>
        <w:pStyle w:val="Heading2"/>
      </w:pPr>
      <w:r>
        <w:rPr>
          <w:rFonts w:ascii="Calibri" w:hAnsi="Calibri"/>
          <w:color w:val="2E74B5"/>
        </w:rPr>
        <w:t>7.5  Dashboard and Visualization Pages</w:t>
      </w:r>
    </w:p>
    <w:p>
      <w:pPr>
        <w:spacing w:after="120"/>
        <w:ind w:firstLine="425"/>
      </w:pPr>
      <w:r>
        <w:rPr>
          <w:rFonts w:ascii="Calibri" w:hAnsi="Calibri"/>
          <w:sz w:val="22"/>
        </w:rPr>
        <w:t>The dashboard connects to the C# gateway's SignalR hub on page load using withAutomaticReconnect(), receiving NewScore events in real time. It displays an anomaly score gauge that transitions smoothly from green (score 0.0-0.4) through amber (0.4-0.55) to red (0.55-1.0); a score history chart of the last 50 sessions with a threshold line at 0.55; the model status panel; the bot detection verdict; and session statistics. All data updates via WebSocket without polling or page refreshes.</w:t>
      </w:r>
    </w:p>
    <w:p>
      <w:pPr>
        <w:spacing w:after="120"/>
        <w:ind w:firstLine="425"/>
      </w:pPr>
      <w:r>
        <w:rPr>
          <w:rFonts w:ascii="Calibri" w:hAnsi="Calibri"/>
          <w:sz w:val="22"/>
        </w:rPr>
        <w:t>The analysis page provides a detailed breakdown of any individual session's 28 feature values grouped by category, each shown alongside the user's historical mean from the master centroid, the percentage deviation, and a color-coded bar indicating standard deviation distance. The fingerprint page renders the user's behavioral profile as a radar chart across 8 key biometric axes, overlaid with a population-average reference polygon, alongside a temporal stability graph showing feature evolution across enrollment sessions.</w:t>
      </w:r>
    </w:p>
    <w:p>
      <w:pPr>
        <w:pStyle w:val="Heading2"/>
      </w:pPr>
      <w:r>
        <w:rPr>
          <w:rFonts w:ascii="Calibri" w:hAnsi="Calibri"/>
          <w:color w:val="2E74B5"/>
        </w:rPr>
        <w:t>7.6  UI Design System</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Design Token</w:t>
            </w:r>
          </w:p>
        </w:tc>
        <w:tc>
          <w:tcPr>
            <w:tcW w:type="dxa" w:w="3041"/>
            <w:shd w:val="clear" w:color="auto" w:fill="1A569E"/>
          </w:tcPr>
          <w:p>
            <w:r/>
            <w:r>
              <w:rPr>
                <w:b/>
                <w:color w:val="FFFFFF"/>
                <w:sz w:val="20"/>
              </w:rPr>
              <w:t>Value</w:t>
            </w:r>
          </w:p>
        </w:tc>
        <w:tc>
          <w:tcPr>
            <w:tcW w:type="dxa" w:w="3041"/>
            <w:shd w:val="clear" w:color="auto" w:fill="1A569E"/>
          </w:tcPr>
          <w:p>
            <w:r/>
            <w:r>
              <w:rPr>
                <w:b/>
                <w:color w:val="FFFFFF"/>
                <w:sz w:val="20"/>
              </w:rPr>
              <w:t>Usage</w:t>
            </w:r>
          </w:p>
        </w:tc>
      </w:tr>
      <w:tr>
        <w:tc>
          <w:tcPr>
            <w:tcW w:type="dxa" w:w="3041"/>
            <w:shd w:val="clear" w:color="auto" w:fill="DCE6F1"/>
          </w:tcPr>
          <w:p>
            <w:r/>
            <w:r>
              <w:rPr>
                <w:rFonts w:ascii="Courier New" w:hAnsi="Courier New"/>
                <w:sz w:val="20"/>
              </w:rPr>
              <w:t>Background</w:t>
            </w:r>
          </w:p>
        </w:tc>
        <w:tc>
          <w:tcPr>
            <w:tcW w:type="dxa" w:w="3041"/>
            <w:shd w:val="clear" w:color="auto" w:fill="DCE6F1"/>
          </w:tcPr>
          <w:p>
            <w:r/>
            <w:r>
              <w:rPr>
                <w:sz w:val="20"/>
              </w:rPr>
              <w:t>#0a0e1a</w:t>
            </w:r>
          </w:p>
        </w:tc>
        <w:tc>
          <w:tcPr>
            <w:tcW w:type="dxa" w:w="3041"/>
            <w:shd w:val="clear" w:color="auto" w:fill="DCE6F1"/>
          </w:tcPr>
          <w:p>
            <w:r/>
            <w:r>
              <w:rPr>
                <w:sz w:val="20"/>
              </w:rPr>
              <w:t>Page background — deep navy</w:t>
            </w:r>
          </w:p>
        </w:tc>
      </w:tr>
      <w:tr>
        <w:tc>
          <w:tcPr>
            <w:tcW w:type="dxa" w:w="3041"/>
            <w:shd w:val="clear" w:color="auto" w:fill="FFFFFF"/>
          </w:tcPr>
          <w:p>
            <w:r/>
            <w:r>
              <w:rPr>
                <w:rFonts w:ascii="Courier New" w:hAnsi="Courier New"/>
                <w:sz w:val="20"/>
              </w:rPr>
              <w:t>Surface</w:t>
            </w:r>
          </w:p>
        </w:tc>
        <w:tc>
          <w:tcPr>
            <w:tcW w:type="dxa" w:w="3041"/>
            <w:shd w:val="clear" w:color="auto" w:fill="FFFFFF"/>
          </w:tcPr>
          <w:p>
            <w:r/>
            <w:r>
              <w:rPr>
                <w:sz w:val="20"/>
              </w:rPr>
              <w:t>#141828</w:t>
            </w:r>
          </w:p>
        </w:tc>
        <w:tc>
          <w:tcPr>
            <w:tcW w:type="dxa" w:w="3041"/>
            <w:shd w:val="clear" w:color="auto" w:fill="FFFFFF"/>
          </w:tcPr>
          <w:p>
            <w:r/>
            <w:r>
              <w:rPr>
                <w:sz w:val="20"/>
              </w:rPr>
              <w:t>Card / panel backgrounds</w:t>
            </w:r>
          </w:p>
        </w:tc>
      </w:tr>
      <w:tr>
        <w:tc>
          <w:tcPr>
            <w:tcW w:type="dxa" w:w="3041"/>
            <w:shd w:val="clear" w:color="auto" w:fill="DCE6F1"/>
          </w:tcPr>
          <w:p>
            <w:r/>
            <w:r>
              <w:rPr>
                <w:rFonts w:ascii="Courier New" w:hAnsi="Courier New"/>
                <w:sz w:val="20"/>
              </w:rPr>
              <w:t>Accent Blue</w:t>
            </w:r>
          </w:p>
        </w:tc>
        <w:tc>
          <w:tcPr>
            <w:tcW w:type="dxa" w:w="3041"/>
            <w:shd w:val="clear" w:color="auto" w:fill="DCE6F1"/>
          </w:tcPr>
          <w:p>
            <w:r/>
            <w:r>
              <w:rPr>
                <w:sz w:val="20"/>
              </w:rPr>
              <w:t>#1a56de</w:t>
            </w:r>
          </w:p>
        </w:tc>
        <w:tc>
          <w:tcPr>
            <w:tcW w:type="dxa" w:w="3041"/>
            <w:shd w:val="clear" w:color="auto" w:fill="DCE6F1"/>
          </w:tcPr>
          <w:p>
            <w:r/>
            <w:r>
              <w:rPr>
                <w:sz w:val="20"/>
              </w:rPr>
              <w:t>Primary interactive elements</w:t>
            </w:r>
          </w:p>
        </w:tc>
      </w:tr>
      <w:tr>
        <w:tc>
          <w:tcPr>
            <w:tcW w:type="dxa" w:w="3041"/>
            <w:shd w:val="clear" w:color="auto" w:fill="FFFFFF"/>
          </w:tcPr>
          <w:p>
            <w:r/>
            <w:r>
              <w:rPr>
                <w:rFonts w:ascii="Courier New" w:hAnsi="Courier New"/>
                <w:sz w:val="20"/>
              </w:rPr>
              <w:t>Neon Cyan</w:t>
            </w:r>
          </w:p>
        </w:tc>
        <w:tc>
          <w:tcPr>
            <w:tcW w:type="dxa" w:w="3041"/>
            <w:shd w:val="clear" w:color="auto" w:fill="FFFFFF"/>
          </w:tcPr>
          <w:p>
            <w:r/>
            <w:r>
              <w:rPr>
                <w:sz w:val="20"/>
              </w:rPr>
              <w:t>#00d4ff</w:t>
            </w:r>
          </w:p>
        </w:tc>
        <w:tc>
          <w:tcPr>
            <w:tcW w:type="dxa" w:w="3041"/>
            <w:shd w:val="clear" w:color="auto" w:fill="FFFFFF"/>
          </w:tcPr>
          <w:p>
            <w:r/>
            <w:r>
              <w:rPr>
                <w:sz w:val="20"/>
              </w:rPr>
              <w:t>Glow effects, active indicators</w:t>
            </w:r>
          </w:p>
        </w:tc>
      </w:tr>
      <w:tr>
        <w:tc>
          <w:tcPr>
            <w:tcW w:type="dxa" w:w="3041"/>
            <w:shd w:val="clear" w:color="auto" w:fill="DCE6F1"/>
          </w:tcPr>
          <w:p>
            <w:r/>
            <w:r>
              <w:rPr>
                <w:rFonts w:ascii="Courier New" w:hAnsi="Courier New"/>
                <w:sz w:val="20"/>
              </w:rPr>
              <w:t>Alert Red</w:t>
            </w:r>
          </w:p>
        </w:tc>
        <w:tc>
          <w:tcPr>
            <w:tcW w:type="dxa" w:w="3041"/>
            <w:shd w:val="clear" w:color="auto" w:fill="DCE6F1"/>
          </w:tcPr>
          <w:p>
            <w:r/>
            <w:r>
              <w:rPr>
                <w:sz w:val="20"/>
              </w:rPr>
              <w:t>#ff3366</w:t>
            </w:r>
          </w:p>
        </w:tc>
        <w:tc>
          <w:tcPr>
            <w:tcW w:type="dxa" w:w="3041"/>
            <w:shd w:val="clear" w:color="auto" w:fill="DCE6F1"/>
          </w:tcPr>
          <w:p>
            <w:r/>
            <w:r>
              <w:rPr>
                <w:sz w:val="20"/>
              </w:rPr>
              <w:t>Anomaly alerts, error states</w:t>
            </w:r>
          </w:p>
        </w:tc>
      </w:tr>
      <w:tr>
        <w:tc>
          <w:tcPr>
            <w:tcW w:type="dxa" w:w="3041"/>
            <w:shd w:val="clear" w:color="auto" w:fill="FFFFFF"/>
          </w:tcPr>
          <w:p>
            <w:r/>
            <w:r>
              <w:rPr>
                <w:rFonts w:ascii="Courier New" w:hAnsi="Courier New"/>
                <w:sz w:val="20"/>
              </w:rPr>
              <w:t>Safe Green</w:t>
            </w:r>
          </w:p>
        </w:tc>
        <w:tc>
          <w:tcPr>
            <w:tcW w:type="dxa" w:w="3041"/>
            <w:shd w:val="clear" w:color="auto" w:fill="FFFFFF"/>
          </w:tcPr>
          <w:p>
            <w:r/>
            <w:r>
              <w:rPr>
                <w:sz w:val="20"/>
              </w:rPr>
              <w:t>#00ff88</w:t>
            </w:r>
          </w:p>
        </w:tc>
        <w:tc>
          <w:tcPr>
            <w:tcW w:type="dxa" w:w="3041"/>
            <w:shd w:val="clear" w:color="auto" w:fill="FFFFFF"/>
          </w:tcPr>
          <w:p>
            <w:r/>
            <w:r>
              <w:rPr>
                <w:sz w:val="20"/>
              </w:rPr>
              <w:t>Normal / safe indicators</w:t>
            </w:r>
          </w:p>
        </w:tc>
      </w:tr>
      <w:tr>
        <w:tc>
          <w:tcPr>
            <w:tcW w:type="dxa" w:w="3041"/>
            <w:shd w:val="clear" w:color="auto" w:fill="DCE6F1"/>
          </w:tcPr>
          <w:p>
            <w:r/>
            <w:r>
              <w:rPr>
                <w:rFonts w:ascii="Courier New" w:hAnsi="Courier New"/>
                <w:sz w:val="20"/>
              </w:rPr>
              <w:t>Mono Font</w:t>
            </w:r>
          </w:p>
        </w:tc>
        <w:tc>
          <w:tcPr>
            <w:tcW w:type="dxa" w:w="3041"/>
            <w:shd w:val="clear" w:color="auto" w:fill="DCE6F1"/>
          </w:tcPr>
          <w:p>
            <w:r/>
            <w:r>
              <w:rPr>
                <w:sz w:val="20"/>
              </w:rPr>
              <w:t>Courier New</w:t>
            </w:r>
          </w:p>
        </w:tc>
        <w:tc>
          <w:tcPr>
            <w:tcW w:type="dxa" w:w="3041"/>
            <w:shd w:val="clear" w:color="auto" w:fill="DCE6F1"/>
          </w:tcPr>
          <w:p>
            <w:r/>
            <w:r>
              <w:rPr>
                <w:sz w:val="20"/>
              </w:rPr>
              <w:t>Technical readouts and scores</w:t>
            </w:r>
          </w:p>
        </w:tc>
      </w:tr>
      <w:tr>
        <w:tc>
          <w:tcPr>
            <w:tcW w:type="dxa" w:w="3041"/>
            <w:shd w:val="clear" w:color="auto" w:fill="FFFFFF"/>
          </w:tcPr>
          <w:p>
            <w:r/>
            <w:r>
              <w:rPr>
                <w:rFonts w:ascii="Courier New" w:hAnsi="Courier New"/>
                <w:sz w:val="20"/>
              </w:rPr>
              <w:t>Body Font</w:t>
            </w:r>
          </w:p>
        </w:tc>
        <w:tc>
          <w:tcPr>
            <w:tcW w:type="dxa" w:w="3041"/>
            <w:shd w:val="clear" w:color="auto" w:fill="FFFFFF"/>
          </w:tcPr>
          <w:p>
            <w:r/>
            <w:r>
              <w:rPr>
                <w:sz w:val="20"/>
              </w:rPr>
              <w:t>Inter / Calibri</w:t>
            </w:r>
          </w:p>
        </w:tc>
        <w:tc>
          <w:tcPr>
            <w:tcW w:type="dxa" w:w="3041"/>
            <w:shd w:val="clear" w:color="auto" w:fill="FFFFFF"/>
          </w:tcPr>
          <w:p>
            <w:r/>
            <w:r>
              <w:rPr>
                <w:sz w:val="20"/>
              </w:rPr>
              <w:t>Body text and labels</w:t>
            </w:r>
          </w:p>
        </w:tc>
      </w:tr>
    </w:tbl>
    <w:p/>
    <w:p>
      <w:pPr>
        <w:spacing w:after="120"/>
        <w:ind w:firstLine="425"/>
      </w:pPr>
      <w:r>
        <w:rPr>
          <w:rFonts w:ascii="Calibri" w:hAnsi="Calibri"/>
          <w:sz w:val="22"/>
        </w:rPr>
        <w:t>All animations are implemented in CSS using @keyframes and are prefers-reduced-motion aware — they are disabled for users who have requested reduced motion in their operating system accessibility settings. This ensures the system is accessible to users with vestibular disorders or attention sensitivities without degrading the experience for users who prefer a richer interface.</w:t>
      </w:r>
    </w:p>
    <w:p>
      <w:r>
        <w:br w:type="page"/>
      </w:r>
    </w:p>
    <w:p>
      <w:pPr>
        <w:pStyle w:val="Heading1"/>
      </w:pPr>
      <w:r>
        <w:rPr>
          <w:rFonts w:ascii="Calibri" w:hAnsi="Calibri"/>
          <w:color w:val="1A569E"/>
        </w:rPr>
        <w:t>Chapter 8 — Security Analysis</w:t>
      </w:r>
    </w:p>
    <w:p>
      <w:r>
        <w:rPr>
          <w:i/>
          <w:color w:val="888888"/>
          <w:sz w:val="20"/>
        </w:rPr>
        <w:t>Pages 40-43</w:t>
      </w:r>
    </w:p>
    <w:p/>
    <w:p>
      <w:pPr>
        <w:pStyle w:val="Heading2"/>
      </w:pPr>
      <w:r>
        <w:rPr>
          <w:rFonts w:ascii="Calibri" w:hAnsi="Calibri"/>
          <w:color w:val="2E74B5"/>
        </w:rPr>
        <w:t>8.1  Overview</w:t>
      </w:r>
    </w:p>
    <w:p>
      <w:pPr>
        <w:spacing w:after="120"/>
        <w:ind w:firstLine="425"/>
      </w:pPr>
      <w:r>
        <w:rPr>
          <w:rFonts w:ascii="Calibri" w:hAnsi="Calibri"/>
          <w:sz w:val="22"/>
        </w:rPr>
        <w:t>A behavioral biometrics authentication system that is itself insecure would be worse than no additional security at all — it would create a false sense of protection while introducing new attack surfaces. This chapter provides a comprehensive security analysis of BEHAVE-SEC across six dimensions: its role as a second authentication factor, its defense against bot attacks, its resistance to model poisoning, its network-level policies, its identity management implementation, and its data privacy posture.</w:t>
      </w:r>
    </w:p>
    <w:p>
      <w:pPr>
        <w:pStyle w:val="Heading2"/>
      </w:pPr>
      <w:r>
        <w:rPr>
          <w:rFonts w:ascii="Calibri" w:hAnsi="Calibri"/>
          <w:color w:val="2E74B5"/>
        </w:rPr>
        <w:t>8.2  Behavioral Biometrics as a Second Authentication Factor</w:t>
      </w:r>
    </w:p>
    <w:p>
      <w:pPr>
        <w:spacing w:after="120"/>
        <w:ind w:firstLine="425"/>
      </w:pPr>
      <w:r>
        <w:rPr>
          <w:rFonts w:ascii="Calibri" w:hAnsi="Calibri"/>
          <w:sz w:val="22"/>
        </w:rPr>
        <w:t>BEHAVE-SEC's most fundamental security claim is this: even if an attacker possesses valid credentials, the behavioral mismatch between the attacker's interaction patterns and the legitimate owner's stored profile will cause the system to flag the session as anomalous. This claim is supported by the system's validated performance: 92% intruder rejection rate with 100% owner acceptance rate, positioning BEHAVE-SEC as an effective transparent second factor.</w:t>
      </w:r>
    </w:p>
    <w:p>
      <w:pPr>
        <w:spacing w:after="120"/>
        <w:ind w:firstLine="425"/>
      </w:pPr>
      <w:r>
        <w:rPr>
          <w:rFonts w:ascii="Calibri" w:hAnsi="Calibri"/>
          <w:sz w:val="22"/>
        </w:rPr>
        <w:t>Against credential theft and phishing, an attacker who obtains a password cannot replicate the owner's behavioral fingerprint — their own idiosyncratic typing and mouse patterns will produce an anomaly score above the threshold. Against credential stuffing, automated scripts are caught by the bot detection layer before they even reach the identity model. Against session hijacking, behavioral data collected during the hijacked session is scored against the owner's profile, enabling mid-session anomaly detection. Against shoulder surfing, watching someone type their password reveals the credential but not the behavioral fingerprint — the observer's own motor patterns are what they carry.</w:t>
      </w:r>
    </w:p>
    <w:p>
      <w:pPr>
        <w:spacing w:after="120"/>
        <w:ind w:firstLine="425"/>
      </w:pPr>
      <w:r>
        <w:rPr>
          <w:rFonts w:ascii="Calibri" w:hAnsi="Calibri"/>
          <w:sz w:val="22"/>
        </w:rPr>
        <w:t>The 7.8% False Acceptance Rate is mitigated by three factors: it is a per-session metric (compounding across multiple sessions exponentially reduces the probability of sustained unauthorized access); it applies only to human intruders, not bots; and the system can respond with graduated escalation rather than binary accept/reject — triggering Step-Up MFA on anomaly detection rather than outright session termination.</w:t>
      </w:r>
    </w:p>
    <w:p>
      <w:pPr>
        <w:pStyle w:val="Heading2"/>
      </w:pPr>
      <w:r>
        <w:rPr>
          <w:rFonts w:ascii="Calibri" w:hAnsi="Calibri"/>
          <w:color w:val="2E74B5"/>
        </w:rPr>
        <w:t>8.3  Bot Defense Architecture</w:t>
      </w:r>
    </w:p>
    <w:p>
      <w:pPr>
        <w:spacing w:after="120"/>
        <w:ind w:firstLine="425"/>
      </w:pPr>
      <w:r>
        <w:rPr>
          <w:rFonts w:ascii="Calibri" w:hAnsi="Calibri"/>
          <w:sz w:val="22"/>
        </w:rPr>
        <w:t>The threat of automated bot attacks is addressed through the two-layer detection system documented in Chapter 5. The global human baseline model detects bots with statistically non-human keyboard patterns — handling naive scripted bots with uniform timing, timing-randomized bots whose variance profile doesn't match human autocorrelation structure, and ML-based bots whose joint feature distribution diverges from the human population distribution even when marginal distributions appear plausible. The kinematic check catches any bot generating linear mouse trajectories with zero false positives on human users and zero training data requirements.</w:t>
      </w:r>
    </w:p>
    <w:p>
      <w:pPr>
        <w:spacing w:after="120"/>
        <w:ind w:firstLine="425"/>
      </w:pPr>
      <w:r>
        <w:rPr>
          <w:rFonts w:ascii="Calibri" w:hAnsi="Calibri"/>
          <w:sz w:val="22"/>
        </w:rPr>
        <w:t>A sophisticated bot that generates both plausible keyboard timing AND realistic mouse curvature would require a dedicated generative model trained specifically on human behavioral data — raising the evasion bar to a level that is economically prohibitive for most attack scenarios. For the rare adversary capable of building such a system, the personal identity model provides the final defense layer.</w:t>
      </w:r>
    </w:p>
    <w:p>
      <w:pPr>
        <w:pStyle w:val="Heading2"/>
      </w:pPr>
      <w:r>
        <w:rPr>
          <w:rFonts w:ascii="Calibri" w:hAnsi="Calibri"/>
          <w:color w:val="2E74B5"/>
        </w:rPr>
        <w:t>8.4  Model Poisoning Defense</w:t>
      </w:r>
    </w:p>
    <w:p>
      <w:pPr>
        <w:spacing w:after="120"/>
        <w:ind w:firstLine="425"/>
      </w:pPr>
      <w:r>
        <w:rPr>
          <w:rFonts w:ascii="Calibri" w:hAnsi="Calibri"/>
          <w:sz w:val="22"/>
        </w:rPr>
        <w:t>Model poisoning is one of the most insidious attack vectors in machine learning security. An adversary with temporary access can attempt to degrade the model's security by submitting their own behavioral sessions as 'owner' feedback, gradually shifting the decision boundary. BEHAVE-SEC's drift guard computes the cosine similarity between the candidate session and the master centroid on the biometric feature slice [6:28]. If similarity falls below DRIFT_SIMILARITY_THRESHOLD, the feedback is rejected and Step-Up MFA is triggered — requiring the adversary to also defeat the MFA factor.</w:t>
      </w:r>
    </w:p>
    <w:p>
      <w:pPr>
        <w:spacing w:after="120"/>
        <w:ind w:firstLine="425"/>
      </w:pPr>
      <w:r>
        <w:rPr>
          <w:rFonts w:ascii="Calibri" w:hAnsi="Calibri"/>
          <w:sz w:val="22"/>
        </w:rPr>
        <w:t>Validation experiments demonstrated 100% poisoning attempt detection against clearly distinct behavioral profiles (mean similarity 0.721 for intruders versus 0.961 for genuine owner sessions). The Step-Up MFA pathway simultaneously provides a safe, authenticated route for legitimate users whose behavior has genuinely changed — a balanced defense that neither silently accepts adversarial updates nor permanently locks out legitimate re-enrollment.</w:t>
      </w:r>
    </w:p>
    <w:p>
      <w:pPr>
        <w:pStyle w:val="Heading2"/>
      </w:pPr>
      <w:r>
        <w:rPr>
          <w:rFonts w:ascii="Calibri" w:hAnsi="Calibri"/>
          <w:color w:val="2E74B5"/>
        </w:rPr>
        <w:t>8.5  Network Security</w:t>
      </w:r>
    </w:p>
    <w:p>
      <w:pPr>
        <w:spacing w:after="120"/>
        <w:ind w:firstLine="425"/>
      </w:pPr>
      <w:r>
        <w:rPr>
          <w:rFonts w:ascii="Calibri" w:hAnsi="Calibri"/>
          <w:sz w:val="22"/>
        </w:rPr>
        <w:t>CORS policy is currently configured for local development origins. In production, it must be restricted to the specific production frontend URL to prevent Cross-Site Request Forgery attacks. HTTPS must enforce TLS on all communication — without TLS, JWT tokens transmitted in Authorization headers are visible to network eavesdroppers, enabling replay attacks that completely bypass behavioral verification. Rate limiting must be applied in production to POST /api/auth/login (5 failed attempts per 15-minute window to prevent brute-force), POST /api/behavioral/collect (to prevent data flooding), and POST /model/feedback (to prevent retraining exhaustion attacks). ASP.NET Core 8's built-in Microsoft.AspNetCore.RateLimiting middleware can enforce these policies declaratively.</w:t>
      </w:r>
    </w:p>
    <w:p>
      <w:pPr>
        <w:pStyle w:val="Heading2"/>
      </w:pPr>
      <w:r>
        <w:rPr>
          <w:rFonts w:ascii="Calibri" w:hAnsi="Calibri"/>
          <w:color w:val="2E74B5"/>
        </w:rPr>
        <w:t>8.6  JWT Token Security</w:t>
      </w:r>
    </w:p>
    <w:p>
      <w:pPr>
        <w:spacing w:after="120"/>
        <w:ind w:firstLine="425"/>
      </w:pPr>
      <w:r>
        <w:rPr>
          <w:rFonts w:ascii="Calibri" w:hAnsi="Calibri"/>
          <w:sz w:val="22"/>
        </w:rPr>
        <w:t>Current implementation uses HMAC-SHA256 with 24-hour expiration and .env-stored secret key. JWT payloads are base64-encoded but not encrypted — the signature ensures tamper-resistance but sensitive data must never be included in the payload. Production hardening recommendations: reduce access token lifetime to 15-60 minutes with long-lived refresh tokens (7-30 days) using token rotation on each use; implement a Redis-backed blocklist of revoked token JTIs for immediate revocation on logout; switch from HMAC-SHA256 (symmetric) to RSA-SHA256 (asymmetric) so the signing private key never leaves the gateway server.</w:t>
      </w:r>
    </w:p>
    <w:p>
      <w:pPr>
        <w:pStyle w:val="Heading2"/>
      </w:pPr>
      <w:r>
        <w:rPr>
          <w:rFonts w:ascii="Calibri" w:hAnsi="Calibri"/>
          <w:color w:val="2E74B5"/>
        </w:rPr>
        <w:t>8.7  Data Privacy</w:t>
      </w:r>
    </w:p>
    <w:p>
      <w:pPr>
        <w:spacing w:after="120"/>
        <w:ind w:firstLine="425"/>
      </w:pPr>
      <w:r>
        <w:rPr>
          <w:rFonts w:ascii="Calibri" w:hAnsi="Calibri"/>
          <w:sz w:val="22"/>
        </w:rPr>
        <w:t>BEHAVE-SEC's storage model minimizes PII exposure: the Python microservice stores 28-dimensional numeric arrays, not raw event streams. A stored feature vector reveals nothing about what the user typed — only statistical summaries of how they typed. Raw keystrokes, including any sensitive text, are never persisted. Model files are named by database integer user ID, not username or email.</w:t>
      </w:r>
    </w:p>
    <w:p>
      <w:pPr>
        <w:spacing w:after="120"/>
        <w:ind w:firstLine="425"/>
      </w:pPr>
      <w:r>
        <w:rPr>
          <w:rFonts w:ascii="Calibri" w:hAnsi="Calibri"/>
          <w:sz w:val="22"/>
        </w:rPr>
        <w:t>Despite these de-identification measures, behavioral biometric data carries inherent privacy risks. Behavioral fingerprints are, by definition, identifying — two model files from different systems for the same person could potentially be linked via behavioral similarity analysis. Inference attacks may allow secondary characteristics to be deduced from feature vectors (approximate age, motor impairments, emotional state). In jurisdictions covered by GDPR, CCPA, or India's PDPB, behavioral biometric data may qualify as sensitive personal data requiring explicit consent, data minimization, and the right to erasure. Production deployments must implement explicit consent flows, clear privacy notices, and data deletion pathways. Model files should be encrypted at rest using AES-256 with keys managed by a hardware security module or managed secrets service (AWS KMS, Azure Key Vault).</w:t>
      </w:r>
    </w:p>
    <w:p>
      <w:pPr>
        <w:pStyle w:val="Heading2"/>
      </w:pPr>
      <w:r>
        <w:rPr>
          <w:rFonts w:ascii="Calibri" w:hAnsi="Calibri"/>
          <w:color w:val="2E74B5"/>
        </w:rPr>
        <w:t>8.8  Security Summary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Security Dimension</w:t>
            </w:r>
          </w:p>
        </w:tc>
        <w:tc>
          <w:tcPr>
            <w:tcW w:type="dxa" w:w="3041"/>
            <w:shd w:val="clear" w:color="auto" w:fill="1A569E"/>
          </w:tcPr>
          <w:p>
            <w:r/>
            <w:r>
              <w:rPr>
                <w:b/>
                <w:color w:val="FFFFFF"/>
                <w:sz w:val="20"/>
              </w:rPr>
              <w:t>Current Status</w:t>
            </w:r>
          </w:p>
        </w:tc>
        <w:tc>
          <w:tcPr>
            <w:tcW w:type="dxa" w:w="3041"/>
            <w:shd w:val="clear" w:color="auto" w:fill="1A569E"/>
          </w:tcPr>
          <w:p>
            <w:r/>
            <w:r>
              <w:rPr>
                <w:b/>
                <w:color w:val="FFFFFF"/>
                <w:sz w:val="20"/>
              </w:rPr>
              <w:t>Production Requirement</w:t>
            </w:r>
          </w:p>
        </w:tc>
      </w:tr>
      <w:tr>
        <w:tc>
          <w:tcPr>
            <w:tcW w:type="dxa" w:w="3041"/>
            <w:shd w:val="clear" w:color="auto" w:fill="DCE6F1"/>
          </w:tcPr>
          <w:p>
            <w:r/>
            <w:r>
              <w:rPr>
                <w:rFonts w:ascii="Courier New" w:hAnsi="Courier New"/>
                <w:sz w:val="20"/>
              </w:rPr>
              <w:t>Credential attack protection</w:t>
            </w:r>
          </w:p>
        </w:tc>
        <w:tc>
          <w:tcPr>
            <w:tcW w:type="dxa" w:w="3041"/>
            <w:shd w:val="clear" w:color="auto" w:fill="DCE6F1"/>
          </w:tcPr>
          <w:p>
            <w:r/>
            <w:r>
              <w:rPr>
                <w:sz w:val="20"/>
              </w:rPr>
              <w:t>Behavioral layer adds silent 2FA</w:t>
            </w:r>
          </w:p>
        </w:tc>
        <w:tc>
          <w:tcPr>
            <w:tcW w:type="dxa" w:w="3041"/>
            <w:shd w:val="clear" w:color="auto" w:fill="DCE6F1"/>
          </w:tcPr>
          <w:p>
            <w:r/>
            <w:r>
              <w:rPr>
                <w:sz w:val="20"/>
              </w:rPr>
              <w:t>No change needed</w:t>
            </w:r>
          </w:p>
        </w:tc>
      </w:tr>
      <w:tr>
        <w:tc>
          <w:tcPr>
            <w:tcW w:type="dxa" w:w="3041"/>
            <w:shd w:val="clear" w:color="auto" w:fill="FFFFFF"/>
          </w:tcPr>
          <w:p>
            <w:r/>
            <w:r>
              <w:rPr>
                <w:rFonts w:ascii="Courier New" w:hAnsi="Courier New"/>
                <w:sz w:val="20"/>
              </w:rPr>
              <w:t>Bot detection</w:t>
            </w:r>
          </w:p>
        </w:tc>
        <w:tc>
          <w:tcPr>
            <w:tcW w:type="dxa" w:w="3041"/>
            <w:shd w:val="clear" w:color="auto" w:fill="FFFFFF"/>
          </w:tcPr>
          <w:p>
            <w:r/>
            <w:r>
              <w:rPr>
                <w:sz w:val="20"/>
              </w:rPr>
              <w:t>Two-layer ML + kinematic check</w:t>
            </w:r>
          </w:p>
        </w:tc>
        <w:tc>
          <w:tcPr>
            <w:tcW w:type="dxa" w:w="3041"/>
            <w:shd w:val="clear" w:color="auto" w:fill="FFFFFF"/>
          </w:tcPr>
          <w:p>
            <w:r/>
            <w:r>
              <w:rPr>
                <w:sz w:val="20"/>
              </w:rPr>
              <w:t>No change needed</w:t>
            </w:r>
          </w:p>
        </w:tc>
      </w:tr>
      <w:tr>
        <w:tc>
          <w:tcPr>
            <w:tcW w:type="dxa" w:w="3041"/>
            <w:shd w:val="clear" w:color="auto" w:fill="DCE6F1"/>
          </w:tcPr>
          <w:p>
            <w:r/>
            <w:r>
              <w:rPr>
                <w:rFonts w:ascii="Courier New" w:hAnsi="Courier New"/>
                <w:sz w:val="20"/>
              </w:rPr>
              <w:t>Model poisoning defense</w:t>
            </w:r>
          </w:p>
        </w:tc>
        <w:tc>
          <w:tcPr>
            <w:tcW w:type="dxa" w:w="3041"/>
            <w:shd w:val="clear" w:color="auto" w:fill="DCE6F1"/>
          </w:tcPr>
          <w:p>
            <w:r/>
            <w:r>
              <w:rPr>
                <w:sz w:val="20"/>
              </w:rPr>
              <w:t>Drift check + MFA escalation</w:t>
            </w:r>
          </w:p>
        </w:tc>
        <w:tc>
          <w:tcPr>
            <w:tcW w:type="dxa" w:w="3041"/>
            <w:shd w:val="clear" w:color="auto" w:fill="DCE6F1"/>
          </w:tcPr>
          <w:p>
            <w:r/>
            <w:r>
              <w:rPr>
                <w:sz w:val="20"/>
              </w:rPr>
              <w:t>Add differential privacy</w:t>
            </w:r>
          </w:p>
        </w:tc>
      </w:tr>
      <w:tr>
        <w:tc>
          <w:tcPr>
            <w:tcW w:type="dxa" w:w="3041"/>
            <w:shd w:val="clear" w:color="auto" w:fill="FFFFFF"/>
          </w:tcPr>
          <w:p>
            <w:r/>
            <w:r>
              <w:rPr>
                <w:rFonts w:ascii="Courier New" w:hAnsi="Courier New"/>
                <w:sz w:val="20"/>
              </w:rPr>
              <w:t>CORS policy</w:t>
            </w:r>
          </w:p>
        </w:tc>
        <w:tc>
          <w:tcPr>
            <w:tcW w:type="dxa" w:w="3041"/>
            <w:shd w:val="clear" w:color="auto" w:fill="FFFFFF"/>
          </w:tcPr>
          <w:p>
            <w:r/>
            <w:r>
              <w:rPr>
                <w:sz w:val="20"/>
              </w:rPr>
              <w:t>Dev origins only</w:t>
            </w:r>
          </w:p>
        </w:tc>
        <w:tc>
          <w:tcPr>
            <w:tcW w:type="dxa" w:w="3041"/>
            <w:shd w:val="clear" w:color="auto" w:fill="FFFFFF"/>
          </w:tcPr>
          <w:p>
            <w:r/>
            <w:r>
              <w:rPr>
                <w:sz w:val="20"/>
              </w:rPr>
              <w:t>Restrict to production domain</w:t>
            </w:r>
          </w:p>
        </w:tc>
      </w:tr>
      <w:tr>
        <w:tc>
          <w:tcPr>
            <w:tcW w:type="dxa" w:w="3041"/>
            <w:shd w:val="clear" w:color="auto" w:fill="DCE6F1"/>
          </w:tcPr>
          <w:p>
            <w:r/>
            <w:r>
              <w:rPr>
                <w:rFonts w:ascii="Courier New" w:hAnsi="Courier New"/>
                <w:sz w:val="20"/>
              </w:rPr>
              <w:t>HTTPS / TLS</w:t>
            </w:r>
          </w:p>
        </w:tc>
        <w:tc>
          <w:tcPr>
            <w:tcW w:type="dxa" w:w="3041"/>
            <w:shd w:val="clear" w:color="auto" w:fill="DCE6F1"/>
          </w:tcPr>
          <w:p>
            <w:r/>
            <w:r>
              <w:rPr>
                <w:sz w:val="20"/>
              </w:rPr>
              <w:t>HTTP in development</w:t>
            </w:r>
          </w:p>
        </w:tc>
        <w:tc>
          <w:tcPr>
            <w:tcW w:type="dxa" w:w="3041"/>
            <w:shd w:val="clear" w:color="auto" w:fill="DCE6F1"/>
          </w:tcPr>
          <w:p>
            <w:r/>
            <w:r>
              <w:rPr>
                <w:sz w:val="20"/>
              </w:rPr>
              <w:t>Enforce HTTPS + HSTS</w:t>
            </w:r>
          </w:p>
        </w:tc>
      </w:tr>
      <w:tr>
        <w:tc>
          <w:tcPr>
            <w:tcW w:type="dxa" w:w="3041"/>
            <w:shd w:val="clear" w:color="auto" w:fill="FFFFFF"/>
          </w:tcPr>
          <w:p>
            <w:r/>
            <w:r>
              <w:rPr>
                <w:rFonts w:ascii="Courier New" w:hAnsi="Courier New"/>
                <w:sz w:val="20"/>
              </w:rPr>
              <w:t>Rate limiting</w:t>
            </w:r>
          </w:p>
        </w:tc>
        <w:tc>
          <w:tcPr>
            <w:tcW w:type="dxa" w:w="3041"/>
            <w:shd w:val="clear" w:color="auto" w:fill="FFFFFF"/>
          </w:tcPr>
          <w:p>
            <w:r/>
            <w:r>
              <w:rPr>
                <w:sz w:val="20"/>
              </w:rPr>
              <w:t>Not implemented</w:t>
            </w:r>
          </w:p>
        </w:tc>
        <w:tc>
          <w:tcPr>
            <w:tcW w:type="dxa" w:w="3041"/>
            <w:shd w:val="clear" w:color="auto" w:fill="FFFFFF"/>
          </w:tcPr>
          <w:p>
            <w:r/>
            <w:r>
              <w:rPr>
                <w:sz w:val="20"/>
              </w:rPr>
              <w:t>Add via RateLimiting middleware</w:t>
            </w:r>
          </w:p>
        </w:tc>
      </w:tr>
      <w:tr>
        <w:tc>
          <w:tcPr>
            <w:tcW w:type="dxa" w:w="3041"/>
            <w:shd w:val="clear" w:color="auto" w:fill="DCE6F1"/>
          </w:tcPr>
          <w:p>
            <w:r/>
            <w:r>
              <w:rPr>
                <w:rFonts w:ascii="Courier New" w:hAnsi="Courier New"/>
                <w:sz w:val="20"/>
              </w:rPr>
              <w:t>JWT security</w:t>
            </w:r>
          </w:p>
        </w:tc>
        <w:tc>
          <w:tcPr>
            <w:tcW w:type="dxa" w:w="3041"/>
            <w:shd w:val="clear" w:color="auto" w:fill="DCE6F1"/>
          </w:tcPr>
          <w:p>
            <w:r/>
            <w:r>
              <w:rPr>
                <w:sz w:val="20"/>
              </w:rPr>
              <w:t>HMAC-SHA256, 24h expiry</w:t>
            </w:r>
          </w:p>
        </w:tc>
        <w:tc>
          <w:tcPr>
            <w:tcW w:type="dxa" w:w="3041"/>
            <w:shd w:val="clear" w:color="auto" w:fill="DCE6F1"/>
          </w:tcPr>
          <w:p>
            <w:r/>
            <w:r>
              <w:rPr>
                <w:sz w:val="20"/>
              </w:rPr>
              <w:t>RS256 + refresh token rotation</w:t>
            </w:r>
          </w:p>
        </w:tc>
      </w:tr>
      <w:tr>
        <w:tc>
          <w:tcPr>
            <w:tcW w:type="dxa" w:w="3041"/>
            <w:shd w:val="clear" w:color="auto" w:fill="FFFFFF"/>
          </w:tcPr>
          <w:p>
            <w:r/>
            <w:r>
              <w:rPr>
                <w:rFonts w:ascii="Courier New" w:hAnsi="Courier New"/>
                <w:sz w:val="20"/>
              </w:rPr>
              <w:t>Data privacy</w:t>
            </w:r>
          </w:p>
        </w:tc>
        <w:tc>
          <w:tcPr>
            <w:tcW w:type="dxa" w:w="3041"/>
            <w:shd w:val="clear" w:color="auto" w:fill="FFFFFF"/>
          </w:tcPr>
          <w:p>
            <w:r/>
            <w:r>
              <w:rPr>
                <w:sz w:val="20"/>
              </w:rPr>
              <w:t>Feature vectors, not raw events</w:t>
            </w:r>
          </w:p>
        </w:tc>
        <w:tc>
          <w:tcPr>
            <w:tcW w:type="dxa" w:w="3041"/>
            <w:shd w:val="clear" w:color="auto" w:fill="FFFFFF"/>
          </w:tcPr>
          <w:p>
            <w:r/>
            <w:r>
              <w:rPr>
                <w:sz w:val="20"/>
              </w:rPr>
              <w:t>Consent, deletion, encryption at rest</w:t>
            </w:r>
          </w:p>
        </w:tc>
      </w:tr>
      <w:tr>
        <w:tc>
          <w:tcPr>
            <w:tcW w:type="dxa" w:w="3041"/>
            <w:shd w:val="clear" w:color="auto" w:fill="DCE6F1"/>
          </w:tcPr>
          <w:p>
            <w:r/>
            <w:r>
              <w:rPr>
                <w:rFonts w:ascii="Courier New" w:hAnsi="Courier New"/>
                <w:sz w:val="20"/>
              </w:rPr>
              <w:t>Internal API security</w:t>
            </w:r>
          </w:p>
        </w:tc>
        <w:tc>
          <w:tcPr>
            <w:tcW w:type="dxa" w:w="3041"/>
            <w:shd w:val="clear" w:color="auto" w:fill="DCE6F1"/>
          </w:tcPr>
          <w:p>
            <w:r/>
            <w:r>
              <w:rPr>
                <w:sz w:val="20"/>
              </w:rPr>
              <w:t>Unauthenticated localhost</w:t>
            </w:r>
          </w:p>
        </w:tc>
        <w:tc>
          <w:tcPr>
            <w:tcW w:type="dxa" w:w="3041"/>
            <w:shd w:val="clear" w:color="auto" w:fill="DCE6F1"/>
          </w:tcPr>
          <w:p>
            <w:r/>
            <w:r>
              <w:rPr>
                <w:sz w:val="20"/>
              </w:rPr>
              <w:t>API key + network isolation</w:t>
            </w:r>
          </w:p>
        </w:tc>
      </w:tr>
      <w:tr>
        <w:tc>
          <w:tcPr>
            <w:tcW w:type="dxa" w:w="3041"/>
            <w:shd w:val="clear" w:color="auto" w:fill="FFFFFF"/>
          </w:tcPr>
          <w:p>
            <w:r/>
            <w:r>
              <w:rPr>
                <w:rFonts w:ascii="Courier New" w:hAnsi="Courier New"/>
                <w:sz w:val="20"/>
              </w:rPr>
              <w:t>Model file encryption</w:t>
            </w:r>
          </w:p>
        </w:tc>
        <w:tc>
          <w:tcPr>
            <w:tcW w:type="dxa" w:w="3041"/>
            <w:shd w:val="clear" w:color="auto" w:fill="FFFFFF"/>
          </w:tcPr>
          <w:p>
            <w:r/>
            <w:r>
              <w:rPr>
                <w:sz w:val="20"/>
              </w:rPr>
              <w:t>Plaintext on disk</w:t>
            </w:r>
          </w:p>
        </w:tc>
        <w:tc>
          <w:tcPr>
            <w:tcW w:type="dxa" w:w="3041"/>
            <w:shd w:val="clear" w:color="auto" w:fill="FFFFFF"/>
          </w:tcPr>
          <w:p>
            <w:r/>
            <w:r>
              <w:rPr>
                <w:sz w:val="20"/>
              </w:rPr>
              <w:t>AES-256 at rest, KMS-managed keys</w:t>
            </w:r>
          </w:p>
        </w:tc>
      </w:tr>
    </w:tbl>
    <w:p/>
    <w:p>
      <w:r>
        <w:br w:type="page"/>
      </w:r>
    </w:p>
    <w:p>
      <w:pPr>
        <w:pStyle w:val="Heading1"/>
      </w:pPr>
      <w:r>
        <w:rPr>
          <w:rFonts w:ascii="Calibri" w:hAnsi="Calibri"/>
          <w:color w:val="1A569E"/>
        </w:rPr>
        <w:t>Chapter 9 — Testing &amp; Validation</w:t>
      </w:r>
    </w:p>
    <w:p>
      <w:r>
        <w:rPr>
          <w:i/>
          <w:color w:val="888888"/>
          <w:sz w:val="20"/>
        </w:rPr>
        <w:t>Pages 44-46</w:t>
      </w:r>
    </w:p>
    <w:p/>
    <w:p>
      <w:pPr>
        <w:pStyle w:val="Heading2"/>
      </w:pPr>
      <w:r>
        <w:rPr>
          <w:rFonts w:ascii="Calibri" w:hAnsi="Calibri"/>
          <w:color w:val="2E74B5"/>
        </w:rPr>
        <w:t>9.1  Testing Philosophy</w:t>
      </w:r>
    </w:p>
    <w:p>
      <w:pPr>
        <w:spacing w:after="120"/>
        <w:ind w:firstLine="425"/>
      </w:pPr>
      <w:r>
        <w:rPr>
          <w:rFonts w:ascii="Calibri" w:hAnsi="Calibri"/>
          <w:sz w:val="22"/>
        </w:rPr>
        <w:t>Testing a behavioral biometrics system presents unique challenges compared to testing conventional software. Standard unit tests can verify that code executes correctly for given inputs, but they cannot validate that the behaviorally meaningful properties of the system hold. BEHAVE-SEC's testing strategy operates at four distinct levels: unit tests verifying the correctness of individual functions; integration tests verifying end-to-end pipeline correctness; ML validation tests verifying model accuracy using behavioral simulation data; and security tests designed to exercise bot detection, poisoning defense, and anomaly scoring under adversarial conditions.</w:t>
      </w:r>
    </w:p>
    <w:p>
      <w:pPr>
        <w:pStyle w:val="Heading2"/>
      </w:pPr>
      <w:r>
        <w:rPr>
          <w:rFonts w:ascii="Calibri" w:hAnsi="Calibri"/>
          <w:color w:val="2E74B5"/>
        </w:rPr>
        <w:t>9.2  Unit Tests — backend/tests/</w:t>
      </w:r>
    </w:p>
    <w:p>
      <w:pPr>
        <w:spacing w:after="120"/>
        <w:ind w:firstLine="425"/>
      </w:pPr>
      <w:r>
        <w:rPr>
          <w:rFonts w:ascii="Calibri" w:hAnsi="Calibri"/>
          <w:sz w:val="22"/>
        </w:rPr>
        <w:t>Feature extraction tests verify correct basic counts from known event sequences, correct dwell time computation for paired keydown/keyup events, correct digraph flight extraction through the state machine (a non-trivial implementation prone to off-by-one errors), zero-input robustness (must return a valid 28-element zero vector for an empty event list, not raise an exception), single-modality robustness (keyboard-only sessions must not produce division-by-zero or NaN), boundary condition filtering (hold times outside (0ms, 5000ms) must be excluded without corrupting valid measurements), and output shape invariance (always exactly (28,) float64, free of NaN and infinity values).</w:t>
      </w:r>
    </w:p>
    <w:p>
      <w:pPr>
        <w:spacing w:after="120"/>
        <w:ind w:firstLine="425"/>
      </w:pPr>
      <w:r>
        <w:rPr>
          <w:rFonts w:ascii="Calibri" w:hAnsi="Calibri"/>
          <w:sz w:val="22"/>
        </w:rPr>
        <w:t>AnomalyDetector unit tests verify pending state behavior for freshly initialized detectors, auto-training trigger at exactly MIN_SAMPLES_TO_TRAIN = 10 sessions, owner feedback path (buffer increases, retrain triggered, correct response schema), intruder feedback path (buffer unchanged, no retrain, correct response), thread safety under 10 concurrent ingest() calls (buffer size must equal exactly 10 with no corruption), and persistence round-trip (saved and loaded model produces identical scores for the same inputs).</w:t>
      </w:r>
    </w:p>
    <w:p>
      <w:pPr>
        <w:pStyle w:val="Heading2"/>
      </w:pPr>
      <w:r>
        <w:rPr>
          <w:rFonts w:ascii="Calibri" w:hAnsi="Calibri"/>
          <w:color w:val="2E74B5"/>
        </w:rPr>
        <w:t>9.3  System Integration Tests</w:t>
      </w:r>
    </w:p>
    <w:p>
      <w:pPr>
        <w:spacing w:after="120"/>
        <w:ind w:firstLine="425"/>
      </w:pPr>
      <w:r>
        <w:rPr>
          <w:rFonts w:ascii="Calibri" w:hAnsi="Calibri"/>
          <w:sz w:val="22"/>
        </w:rPr>
        <w:t>Test Scenario 1 verifies that user registration correctly initializes the behavioral model in the Python service and that the C# gateway and Python service are synchronized on new user creation. Test Scenario 2 verifies the complete data collection pipeline end-to-end — submitting 5 behavioral sessions, verifying increasing buffer size, and confirming that session records are correctly persisted in SQLite with accurate scores, labels, and timestamps.</w:t>
      </w:r>
    </w:p>
    <w:p>
      <w:pPr>
        <w:spacing w:after="120"/>
        <w:ind w:firstLine="425"/>
      </w:pPr>
      <w:r>
        <w:rPr>
          <w:rFonts w:ascii="Calibri" w:hAnsi="Calibri"/>
          <w:sz w:val="22"/>
        </w:rPr>
        <w:t>Test Scenario 3 verifies the auto-training threshold: after exactly 9 sessions all results remain 'pending'; after the 10th session the response has model_ready: true with a numeric score and the model file exists on disk. Test Scenario 4 verifies the active learning loop: submitting an intruder session, calling feedback with is_owner: true, confirming the buffer grows and retrain fires, then verifying the re-scored session produces a lower anomaly score. Test Scenario 5 verifies MFA escalation by constructing a feature vector mathematically guaranteed below the cosine similarity threshold, confirming the response contains status: 'mfa_required', then confirming the bypass_drift pathway succeeds.</w:t>
      </w:r>
    </w:p>
    <w:p>
      <w:pPr>
        <w:pStyle w:val="Heading2"/>
      </w:pPr>
      <w:r>
        <w:rPr>
          <w:rFonts w:ascii="Calibri" w:hAnsi="Calibri"/>
          <w:color w:val="2E74B5"/>
        </w:rPr>
        <w:t>9.4  ML Validation — Hyperparameter Grid Search</w:t>
      </w:r>
    </w:p>
    <w:p>
      <w:pPr>
        <w:spacing w:after="120"/>
        <w:ind w:firstLine="425"/>
      </w:pPr>
      <w:r>
        <w:rPr>
          <w:rFonts w:ascii="Calibri" w:hAnsi="Calibri"/>
          <w:sz w:val="22"/>
        </w:rPr>
        <w:t>The ML validation was conducted using tune_model.py, which simulates the full model lifecycle with synthetically generated behavioral sessions. Owner sessions were generated with means drawn from realistic human behavioral ranges with Gaussian noise calibrated against published CMU keystroke dynamics data. Intruder sessions were generated using different means (representing a person who types differently) from the same general population distribution — plausible human behavioral profiles, just not the owner's. A 5-fold cross-validation was used with balanced accuracy as the primary metric.</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69E"/>
          </w:tcPr>
          <w:p>
            <w:r/>
            <w:r>
              <w:rPr>
                <w:b/>
                <w:color w:val="FFFFFF"/>
                <w:sz w:val="20"/>
              </w:rPr>
              <w:t>Threshold</w:t>
            </w:r>
          </w:p>
        </w:tc>
        <w:tc>
          <w:tcPr>
            <w:tcW w:type="dxa" w:w="2280"/>
            <w:shd w:val="clear" w:color="auto" w:fill="1A569E"/>
          </w:tcPr>
          <w:p>
            <w:r/>
            <w:r>
              <w:rPr>
                <w:b/>
                <w:color w:val="FFFFFF"/>
                <w:sz w:val="20"/>
              </w:rPr>
              <w:t>Owner Acceptance</w:t>
            </w:r>
          </w:p>
        </w:tc>
        <w:tc>
          <w:tcPr>
            <w:tcW w:type="dxa" w:w="2280"/>
            <w:shd w:val="clear" w:color="auto" w:fill="1A569E"/>
          </w:tcPr>
          <w:p>
            <w:r/>
            <w:r>
              <w:rPr>
                <w:b/>
                <w:color w:val="FFFFFF"/>
                <w:sz w:val="20"/>
              </w:rPr>
              <w:t>Intruder Rejection</w:t>
            </w:r>
          </w:p>
        </w:tc>
        <w:tc>
          <w:tcPr>
            <w:tcW w:type="dxa" w:w="2280"/>
            <w:shd w:val="clear" w:color="auto" w:fill="1A569E"/>
          </w:tcPr>
          <w:p>
            <w:r/>
            <w:r>
              <w:rPr>
                <w:b/>
                <w:color w:val="FFFFFF"/>
                <w:sz w:val="20"/>
              </w:rPr>
              <w:t>Balanced Accuracy</w:t>
            </w:r>
          </w:p>
        </w:tc>
      </w:tr>
      <w:tr>
        <w:tc>
          <w:tcPr>
            <w:tcW w:type="dxa" w:w="2280"/>
            <w:shd w:val="clear" w:color="auto" w:fill="DCE6F1"/>
          </w:tcPr>
          <w:p>
            <w:r/>
            <w:r>
              <w:rPr>
                <w:rFonts w:ascii="Courier New" w:hAnsi="Courier New"/>
                <w:sz w:val="20"/>
              </w:rPr>
              <w:t>0.40</w:t>
            </w:r>
          </w:p>
        </w:tc>
        <w:tc>
          <w:tcPr>
            <w:tcW w:type="dxa" w:w="2280"/>
            <w:shd w:val="clear" w:color="auto" w:fill="DCE6F1"/>
          </w:tcPr>
          <w:p>
            <w:r/>
            <w:r>
              <w:rPr>
                <w:sz w:val="20"/>
              </w:rPr>
              <w:t>100%</w:t>
            </w:r>
          </w:p>
        </w:tc>
        <w:tc>
          <w:tcPr>
            <w:tcW w:type="dxa" w:w="2280"/>
            <w:shd w:val="clear" w:color="auto" w:fill="DCE6F1"/>
          </w:tcPr>
          <w:p>
            <w:r/>
            <w:r>
              <w:rPr>
                <w:sz w:val="20"/>
              </w:rPr>
              <w:t>71.3%</w:t>
            </w:r>
          </w:p>
        </w:tc>
        <w:tc>
          <w:tcPr>
            <w:tcW w:type="dxa" w:w="2280"/>
            <w:shd w:val="clear" w:color="auto" w:fill="DCE6F1"/>
          </w:tcPr>
          <w:p>
            <w:r/>
            <w:r>
              <w:rPr>
                <w:sz w:val="20"/>
              </w:rPr>
              <w:t>85.7%</w:t>
            </w:r>
          </w:p>
        </w:tc>
      </w:tr>
      <w:tr>
        <w:tc>
          <w:tcPr>
            <w:tcW w:type="dxa" w:w="2280"/>
            <w:shd w:val="clear" w:color="auto" w:fill="FFFFFF"/>
          </w:tcPr>
          <w:p>
            <w:r/>
            <w:r>
              <w:rPr>
                <w:rFonts w:ascii="Courier New" w:hAnsi="Courier New"/>
                <w:sz w:val="20"/>
              </w:rPr>
              <w:t>0.45</w:t>
            </w:r>
          </w:p>
        </w:tc>
        <w:tc>
          <w:tcPr>
            <w:tcW w:type="dxa" w:w="2280"/>
            <w:shd w:val="clear" w:color="auto" w:fill="FFFFFF"/>
          </w:tcPr>
          <w:p>
            <w:r/>
            <w:r>
              <w:rPr>
                <w:sz w:val="20"/>
              </w:rPr>
              <w:t>100%</w:t>
            </w:r>
          </w:p>
        </w:tc>
        <w:tc>
          <w:tcPr>
            <w:tcW w:type="dxa" w:w="2280"/>
            <w:shd w:val="clear" w:color="auto" w:fill="FFFFFF"/>
          </w:tcPr>
          <w:p>
            <w:r/>
            <w:r>
              <w:rPr>
                <w:sz w:val="20"/>
              </w:rPr>
              <w:t>78.9%</w:t>
            </w:r>
          </w:p>
        </w:tc>
        <w:tc>
          <w:tcPr>
            <w:tcW w:type="dxa" w:w="2280"/>
            <w:shd w:val="clear" w:color="auto" w:fill="FFFFFF"/>
          </w:tcPr>
          <w:p>
            <w:r/>
            <w:r>
              <w:rPr>
                <w:sz w:val="20"/>
              </w:rPr>
              <w:t>89.5%</w:t>
            </w:r>
          </w:p>
        </w:tc>
      </w:tr>
      <w:tr>
        <w:tc>
          <w:tcPr>
            <w:tcW w:type="dxa" w:w="2280"/>
            <w:shd w:val="clear" w:color="auto" w:fill="DCE6F1"/>
          </w:tcPr>
          <w:p>
            <w:r/>
            <w:r>
              <w:rPr>
                <w:rFonts w:ascii="Courier New" w:hAnsi="Courier New"/>
                <w:sz w:val="20"/>
              </w:rPr>
              <w:t>0.50</w:t>
            </w:r>
          </w:p>
        </w:tc>
        <w:tc>
          <w:tcPr>
            <w:tcW w:type="dxa" w:w="2280"/>
            <w:shd w:val="clear" w:color="auto" w:fill="DCE6F1"/>
          </w:tcPr>
          <w:p>
            <w:r/>
            <w:r>
              <w:rPr>
                <w:sz w:val="20"/>
              </w:rPr>
              <w:t>100%</w:t>
            </w:r>
          </w:p>
        </w:tc>
        <w:tc>
          <w:tcPr>
            <w:tcW w:type="dxa" w:w="2280"/>
            <w:shd w:val="clear" w:color="auto" w:fill="DCE6F1"/>
          </w:tcPr>
          <w:p>
            <w:r/>
            <w:r>
              <w:rPr>
                <w:sz w:val="20"/>
              </w:rPr>
              <w:t>85.4%</w:t>
            </w:r>
          </w:p>
        </w:tc>
        <w:tc>
          <w:tcPr>
            <w:tcW w:type="dxa" w:w="2280"/>
            <w:shd w:val="clear" w:color="auto" w:fill="DCE6F1"/>
          </w:tcPr>
          <w:p>
            <w:r/>
            <w:r>
              <w:rPr>
                <w:sz w:val="20"/>
              </w:rPr>
              <w:t>92.7%</w:t>
            </w:r>
          </w:p>
        </w:tc>
      </w:tr>
      <w:tr>
        <w:tc>
          <w:tcPr>
            <w:tcW w:type="dxa" w:w="2280"/>
            <w:shd w:val="clear" w:color="auto" w:fill="FFFFFF"/>
          </w:tcPr>
          <w:p>
            <w:r/>
            <w:r>
              <w:rPr>
                <w:rFonts w:ascii="Courier New" w:hAnsi="Courier New"/>
                <w:sz w:val="20"/>
              </w:rPr>
              <w:t>0.55</w:t>
            </w:r>
          </w:p>
        </w:tc>
        <w:tc>
          <w:tcPr>
            <w:tcW w:type="dxa" w:w="2280"/>
            <w:shd w:val="clear" w:color="auto" w:fill="FFFFFF"/>
          </w:tcPr>
          <w:p>
            <w:r/>
            <w:r>
              <w:rPr>
                <w:sz w:val="20"/>
              </w:rPr>
              <w:t>100%</w:t>
            </w:r>
          </w:p>
        </w:tc>
        <w:tc>
          <w:tcPr>
            <w:tcW w:type="dxa" w:w="2280"/>
            <w:shd w:val="clear" w:color="auto" w:fill="FFFFFF"/>
          </w:tcPr>
          <w:p>
            <w:r/>
            <w:r>
              <w:rPr>
                <w:sz w:val="20"/>
              </w:rPr>
              <w:t>92.2%</w:t>
            </w:r>
          </w:p>
        </w:tc>
        <w:tc>
          <w:tcPr>
            <w:tcW w:type="dxa" w:w="2280"/>
            <w:shd w:val="clear" w:color="auto" w:fill="FFFFFF"/>
          </w:tcPr>
          <w:p>
            <w:r/>
            <w:r>
              <w:rPr>
                <w:sz w:val="20"/>
              </w:rPr>
              <w:t>96.1% (SELECTED)</w:t>
            </w:r>
          </w:p>
        </w:tc>
      </w:tr>
      <w:tr>
        <w:tc>
          <w:tcPr>
            <w:tcW w:type="dxa" w:w="2280"/>
            <w:shd w:val="clear" w:color="auto" w:fill="DCE6F1"/>
          </w:tcPr>
          <w:p>
            <w:r/>
            <w:r>
              <w:rPr>
                <w:rFonts w:ascii="Courier New" w:hAnsi="Courier New"/>
                <w:sz w:val="20"/>
              </w:rPr>
              <w:t>0.60</w:t>
            </w:r>
          </w:p>
        </w:tc>
        <w:tc>
          <w:tcPr>
            <w:tcW w:type="dxa" w:w="2280"/>
            <w:shd w:val="clear" w:color="auto" w:fill="DCE6F1"/>
          </w:tcPr>
          <w:p>
            <w:r/>
            <w:r>
              <w:rPr>
                <w:sz w:val="20"/>
              </w:rPr>
              <w:t>96.7%</w:t>
            </w:r>
          </w:p>
        </w:tc>
        <w:tc>
          <w:tcPr>
            <w:tcW w:type="dxa" w:w="2280"/>
            <w:shd w:val="clear" w:color="auto" w:fill="DCE6F1"/>
          </w:tcPr>
          <w:p>
            <w:r/>
            <w:r>
              <w:rPr>
                <w:sz w:val="20"/>
              </w:rPr>
              <w:t>97.5%</w:t>
            </w:r>
          </w:p>
        </w:tc>
        <w:tc>
          <w:tcPr>
            <w:tcW w:type="dxa" w:w="2280"/>
            <w:shd w:val="clear" w:color="auto" w:fill="DCE6F1"/>
          </w:tcPr>
          <w:p>
            <w:r/>
            <w:r>
              <w:rPr>
                <w:sz w:val="20"/>
              </w:rPr>
              <w:t>97.1%</w:t>
            </w:r>
          </w:p>
        </w:tc>
      </w:tr>
      <w:tr>
        <w:tc>
          <w:tcPr>
            <w:tcW w:type="dxa" w:w="2280"/>
            <w:shd w:val="clear" w:color="auto" w:fill="FFFFFF"/>
          </w:tcPr>
          <w:p>
            <w:r/>
            <w:r>
              <w:rPr>
                <w:rFonts w:ascii="Courier New" w:hAnsi="Courier New"/>
                <w:sz w:val="20"/>
              </w:rPr>
              <w:t>0.65</w:t>
            </w:r>
          </w:p>
        </w:tc>
        <w:tc>
          <w:tcPr>
            <w:tcW w:type="dxa" w:w="2280"/>
            <w:shd w:val="clear" w:color="auto" w:fill="FFFFFF"/>
          </w:tcPr>
          <w:p>
            <w:r/>
            <w:r>
              <w:rPr>
                <w:sz w:val="20"/>
              </w:rPr>
              <w:t>90.0%</w:t>
            </w:r>
          </w:p>
        </w:tc>
        <w:tc>
          <w:tcPr>
            <w:tcW w:type="dxa" w:w="2280"/>
            <w:shd w:val="clear" w:color="auto" w:fill="FFFFFF"/>
          </w:tcPr>
          <w:p>
            <w:r/>
            <w:r>
              <w:rPr>
                <w:sz w:val="20"/>
              </w:rPr>
              <w:t>99.1%</w:t>
            </w:r>
          </w:p>
        </w:tc>
        <w:tc>
          <w:tcPr>
            <w:tcW w:type="dxa" w:w="2280"/>
            <w:shd w:val="clear" w:color="auto" w:fill="FFFFFF"/>
          </w:tcPr>
          <w:p>
            <w:r/>
            <w:r>
              <w:rPr>
                <w:sz w:val="20"/>
              </w:rPr>
              <w:t>94.6%</w:t>
            </w:r>
          </w:p>
        </w:tc>
      </w:tr>
      <w:tr>
        <w:tc>
          <w:tcPr>
            <w:tcW w:type="dxa" w:w="2280"/>
            <w:shd w:val="clear" w:color="auto" w:fill="DCE6F1"/>
          </w:tcPr>
          <w:p>
            <w:r/>
            <w:r>
              <w:rPr>
                <w:rFonts w:ascii="Courier New" w:hAnsi="Courier New"/>
                <w:sz w:val="20"/>
              </w:rPr>
              <w:t>0.70</w:t>
            </w:r>
          </w:p>
        </w:tc>
        <w:tc>
          <w:tcPr>
            <w:tcW w:type="dxa" w:w="2280"/>
            <w:shd w:val="clear" w:color="auto" w:fill="DCE6F1"/>
          </w:tcPr>
          <w:p>
            <w:r/>
            <w:r>
              <w:rPr>
                <w:sz w:val="20"/>
              </w:rPr>
              <w:t>83.3%</w:t>
            </w:r>
          </w:p>
        </w:tc>
        <w:tc>
          <w:tcPr>
            <w:tcW w:type="dxa" w:w="2280"/>
            <w:shd w:val="clear" w:color="auto" w:fill="DCE6F1"/>
          </w:tcPr>
          <w:p>
            <w:r/>
            <w:r>
              <w:rPr>
                <w:sz w:val="20"/>
              </w:rPr>
              <w:t>100.0%</w:t>
            </w:r>
          </w:p>
        </w:tc>
        <w:tc>
          <w:tcPr>
            <w:tcW w:type="dxa" w:w="2280"/>
            <w:shd w:val="clear" w:color="auto" w:fill="DCE6F1"/>
          </w:tcPr>
          <w:p>
            <w:r/>
            <w:r>
              <w:rPr>
                <w:sz w:val="20"/>
              </w:rPr>
              <w:t>91.7%</w:t>
            </w:r>
          </w:p>
        </w:tc>
      </w:tr>
    </w:tbl>
    <w:p/>
    <w:p>
      <w:pPr>
        <w:spacing w:after="120"/>
        <w:ind w:firstLine="425"/>
      </w:pPr>
      <w:r>
        <w:rPr>
          <w:rFonts w:ascii="Calibri" w:hAnsi="Calibri"/>
          <w:sz w:val="22"/>
        </w:rPr>
        <w:t>The threshold of 0.55 was selected as the operating point because it achieves zero false rejections — the paramount requirement for a transparent authentication layer. A false rejection frustrates the legitimate user and defeats the purpose of a passive system. The corresponding 7.8% false acceptance rate is acceptable because it applies only to human intruders (not bots), it is a per-session statistic (compounding dramatically reduces sustained unauthorized access probability), and Step-Up MFA provides a secondary barrier.</w:t>
      </w:r>
    </w:p>
    <w:p>
      <w:pPr>
        <w:pStyle w:val="Heading2"/>
      </w:pPr>
      <w:r>
        <w:rPr>
          <w:rFonts w:ascii="Calibri" w:hAnsi="Calibri"/>
          <w:color w:val="2E74B5"/>
        </w:rPr>
        <w:t>9.5  Bot Detection Validation</w:t>
      </w:r>
    </w:p>
    <w:p>
      <w:pPr>
        <w:spacing w:after="120"/>
        <w:ind w:firstLine="425"/>
      </w:pPr>
      <w:r>
        <w:rPr>
          <w:rFonts w:ascii="Calibri" w:hAnsi="Calibri"/>
          <w:sz w:val="22"/>
        </w:rPr>
        <w:t>The kinematic check was validated with synthetic sessions at controlled path_directness_ratio values. Perfect straight-line sessions (ratio = 1.000) were correctly classified as bot across 100 test cases. Near-linear sessions (ratio = 0.998) were correctly classified as human across 100 test cases — boundary verified. Real user sessions from the target-clicking challenge (ratio approximately 0.65) were all classified as human across 50 sessions — zero false positives. Straight-line sessions with fewer than 10 mouse events correctly withheld judgment, confirming the minimum-count gate.</w:t>
      </w:r>
    </w:p>
    <w:p>
      <w:pPr>
        <w:spacing w:after="120"/>
        <w:ind w:firstLine="425"/>
      </w:pPr>
      <w:r>
        <w:rPr>
          <w:rFonts w:ascii="Calibri" w:hAnsi="Calibri"/>
          <w:sz w:val="22"/>
        </w:rPr>
        <w:t>The global human baseline model achieved 96% accuracy on human sessions (48/50), 100% accuracy on bot sessions (50/50), 4% false positive rate (2 users with unusually consistent typing overlapping the bot distribution boundary), and 0% false negative rate — no bot session was classified as human. The zero false negative rate on bot sessions is the critical result: in a security context, a missed bot is more damaging than a false alarm.</w:t>
      </w:r>
    </w:p>
    <w:p>
      <w:pPr>
        <w:pStyle w:val="Heading2"/>
      </w:pPr>
      <w:r>
        <w:rPr>
          <w:rFonts w:ascii="Calibri" w:hAnsi="Calibri"/>
          <w:color w:val="2E74B5"/>
        </w:rPr>
        <w:t>9.6  Drift Detection Validation</w:t>
      </w:r>
    </w:p>
    <w:p>
      <w:pPr>
        <w:spacing w:after="120"/>
        <w:ind w:firstLine="425"/>
      </w:pPr>
      <w:r>
        <w:rPr>
          <w:rFonts w:ascii="Calibri" w:hAnsi="Calibri"/>
          <w:sz w:val="22"/>
        </w:rPr>
        <w:t>Owner sessions showed cosine similarities ranging from 0.91 to 0.99 (mean 0.964) — all 50 test sessions passed the drift check. Sessions from a similar human with the same mean but 50% higher variance produced 38/50 passes and 12/50 MFA escalations — appropriate ambiguous-zone behavior. Adversarial poisoning sessions from a distinctly different behavioral profile produced 50/50 MFA escalations — 100% poisoning attempt detection rate on clearly distinct behavioral profiles.</w:t>
      </w:r>
    </w:p>
    <w:p>
      <w:pPr>
        <w:pStyle w:val="Heading2"/>
      </w:pPr>
      <w:r>
        <w:rPr>
          <w:rFonts w:ascii="Calibri" w:hAnsi="Calibri"/>
          <w:color w:val="2E74B5"/>
        </w:rPr>
        <w:t>9.7  End-to-End Latency Profiling</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Stage</w:t>
            </w:r>
          </w:p>
        </w:tc>
        <w:tc>
          <w:tcPr>
            <w:tcW w:type="dxa" w:w="3041"/>
            <w:shd w:val="clear" w:color="auto" w:fill="1A569E"/>
          </w:tcPr>
          <w:p>
            <w:r/>
            <w:r>
              <w:rPr>
                <w:b/>
                <w:color w:val="FFFFFF"/>
                <w:sz w:val="20"/>
              </w:rPr>
              <w:t>Median Latency</w:t>
            </w:r>
          </w:p>
        </w:tc>
        <w:tc>
          <w:tcPr>
            <w:tcW w:type="dxa" w:w="3041"/>
            <w:shd w:val="clear" w:color="auto" w:fill="1A569E"/>
          </w:tcPr>
          <w:p>
            <w:r/>
            <w:r>
              <w:rPr>
                <w:b/>
                <w:color w:val="FFFFFF"/>
                <w:sz w:val="20"/>
              </w:rPr>
              <w:t>95th Percentile</w:t>
            </w:r>
          </w:p>
        </w:tc>
      </w:tr>
      <w:tr>
        <w:tc>
          <w:tcPr>
            <w:tcW w:type="dxa" w:w="3041"/>
            <w:shd w:val="clear" w:color="auto" w:fill="DCE6F1"/>
          </w:tcPr>
          <w:p>
            <w:r/>
            <w:r>
              <w:rPr>
                <w:rFonts w:ascii="Courier New" w:hAnsi="Courier New"/>
                <w:sz w:val="20"/>
              </w:rPr>
              <w:t>JavaScript event capture (per event)</w:t>
            </w:r>
          </w:p>
        </w:tc>
        <w:tc>
          <w:tcPr>
            <w:tcW w:type="dxa" w:w="3041"/>
            <w:shd w:val="clear" w:color="auto" w:fill="DCE6F1"/>
          </w:tcPr>
          <w:p>
            <w:r/>
            <w:r>
              <w:rPr>
                <w:sz w:val="20"/>
              </w:rPr>
              <w:t>&lt; 0.1 ms</w:t>
            </w:r>
          </w:p>
        </w:tc>
        <w:tc>
          <w:tcPr>
            <w:tcW w:type="dxa" w:w="3041"/>
            <w:shd w:val="clear" w:color="auto" w:fill="DCE6F1"/>
          </w:tcPr>
          <w:p>
            <w:r/>
            <w:r>
              <w:rPr>
                <w:sz w:val="20"/>
              </w:rPr>
              <w:t>&lt; 0.5 ms</w:t>
            </w:r>
          </w:p>
        </w:tc>
      </w:tr>
      <w:tr>
        <w:tc>
          <w:tcPr>
            <w:tcW w:type="dxa" w:w="3041"/>
            <w:shd w:val="clear" w:color="auto" w:fill="FFFFFF"/>
          </w:tcPr>
          <w:p>
            <w:r/>
            <w:r>
              <w:rPr>
                <w:rFonts w:ascii="Courier New" w:hAnsi="Courier New"/>
                <w:sz w:val="20"/>
              </w:rPr>
              <w:t>JSON serialization (200 events)</w:t>
            </w:r>
          </w:p>
        </w:tc>
        <w:tc>
          <w:tcPr>
            <w:tcW w:type="dxa" w:w="3041"/>
            <w:shd w:val="clear" w:color="auto" w:fill="FFFFFF"/>
          </w:tcPr>
          <w:p>
            <w:r/>
            <w:r>
              <w:rPr>
                <w:sz w:val="20"/>
              </w:rPr>
              <w:t>1.2 ms</w:t>
            </w:r>
          </w:p>
        </w:tc>
        <w:tc>
          <w:tcPr>
            <w:tcW w:type="dxa" w:w="3041"/>
            <w:shd w:val="clear" w:color="auto" w:fill="FFFFFF"/>
          </w:tcPr>
          <w:p>
            <w:r/>
            <w:r>
              <w:rPr>
                <w:sz w:val="20"/>
              </w:rPr>
              <w:t>3.1 ms</w:t>
            </w:r>
          </w:p>
        </w:tc>
      </w:tr>
      <w:tr>
        <w:tc>
          <w:tcPr>
            <w:tcW w:type="dxa" w:w="3041"/>
            <w:shd w:val="clear" w:color="auto" w:fill="DCE6F1"/>
          </w:tcPr>
          <w:p>
            <w:r/>
            <w:r>
              <w:rPr>
                <w:rFonts w:ascii="Courier New" w:hAnsi="Courier New"/>
                <w:sz w:val="20"/>
              </w:rPr>
              <w:t>Browser to C# API (localhost)</w:t>
            </w:r>
          </w:p>
        </w:tc>
        <w:tc>
          <w:tcPr>
            <w:tcW w:type="dxa" w:w="3041"/>
            <w:shd w:val="clear" w:color="auto" w:fill="DCE6F1"/>
          </w:tcPr>
          <w:p>
            <w:r/>
            <w:r>
              <w:rPr>
                <w:sz w:val="20"/>
              </w:rPr>
              <w:t>2.3 ms</w:t>
            </w:r>
          </w:p>
        </w:tc>
        <w:tc>
          <w:tcPr>
            <w:tcW w:type="dxa" w:w="3041"/>
            <w:shd w:val="clear" w:color="auto" w:fill="DCE6F1"/>
          </w:tcPr>
          <w:p>
            <w:r/>
            <w:r>
              <w:rPr>
                <w:sz w:val="20"/>
              </w:rPr>
              <w:t>5.7 ms</w:t>
            </w:r>
          </w:p>
        </w:tc>
      </w:tr>
      <w:tr>
        <w:tc>
          <w:tcPr>
            <w:tcW w:type="dxa" w:w="3041"/>
            <w:shd w:val="clear" w:color="auto" w:fill="FFFFFF"/>
          </w:tcPr>
          <w:p>
            <w:r/>
            <w:r>
              <w:rPr>
                <w:rFonts w:ascii="Courier New" w:hAnsi="Courier New"/>
                <w:sz w:val="20"/>
              </w:rPr>
              <w:t>C# validation and routing</w:t>
            </w:r>
          </w:p>
        </w:tc>
        <w:tc>
          <w:tcPr>
            <w:tcW w:type="dxa" w:w="3041"/>
            <w:shd w:val="clear" w:color="auto" w:fill="FFFFFF"/>
          </w:tcPr>
          <w:p>
            <w:r/>
            <w:r>
              <w:rPr>
                <w:sz w:val="20"/>
              </w:rPr>
              <w:t>0.8 ms</w:t>
            </w:r>
          </w:p>
        </w:tc>
        <w:tc>
          <w:tcPr>
            <w:tcW w:type="dxa" w:w="3041"/>
            <w:shd w:val="clear" w:color="auto" w:fill="FFFFFF"/>
          </w:tcPr>
          <w:p>
            <w:r/>
            <w:r>
              <w:rPr>
                <w:sz w:val="20"/>
              </w:rPr>
              <w:t>2.1 ms</w:t>
            </w:r>
          </w:p>
        </w:tc>
      </w:tr>
      <w:tr>
        <w:tc>
          <w:tcPr>
            <w:tcW w:type="dxa" w:w="3041"/>
            <w:shd w:val="clear" w:color="auto" w:fill="DCE6F1"/>
          </w:tcPr>
          <w:p>
            <w:r/>
            <w:r>
              <w:rPr>
                <w:rFonts w:ascii="Courier New" w:hAnsi="Courier New"/>
                <w:sz w:val="20"/>
              </w:rPr>
              <w:t>C# to Python API (localhost)</w:t>
            </w:r>
          </w:p>
        </w:tc>
        <w:tc>
          <w:tcPr>
            <w:tcW w:type="dxa" w:w="3041"/>
            <w:shd w:val="clear" w:color="auto" w:fill="DCE6F1"/>
          </w:tcPr>
          <w:p>
            <w:r/>
            <w:r>
              <w:rPr>
                <w:sz w:val="20"/>
              </w:rPr>
              <w:t>1.9 ms</w:t>
            </w:r>
          </w:p>
        </w:tc>
        <w:tc>
          <w:tcPr>
            <w:tcW w:type="dxa" w:w="3041"/>
            <w:shd w:val="clear" w:color="auto" w:fill="DCE6F1"/>
          </w:tcPr>
          <w:p>
            <w:r/>
            <w:r>
              <w:rPr>
                <w:sz w:val="20"/>
              </w:rPr>
              <w:t>4.2 ms</w:t>
            </w:r>
          </w:p>
        </w:tc>
      </w:tr>
      <w:tr>
        <w:tc>
          <w:tcPr>
            <w:tcW w:type="dxa" w:w="3041"/>
            <w:shd w:val="clear" w:color="auto" w:fill="FFFFFF"/>
          </w:tcPr>
          <w:p>
            <w:r/>
            <w:r>
              <w:rPr>
                <w:rFonts w:ascii="Courier New" w:hAnsi="Courier New"/>
                <w:sz w:val="20"/>
              </w:rPr>
              <w:t>Feature extraction (200 events)</w:t>
            </w:r>
          </w:p>
        </w:tc>
        <w:tc>
          <w:tcPr>
            <w:tcW w:type="dxa" w:w="3041"/>
            <w:shd w:val="clear" w:color="auto" w:fill="FFFFFF"/>
          </w:tcPr>
          <w:p>
            <w:r/>
            <w:r>
              <w:rPr>
                <w:sz w:val="20"/>
              </w:rPr>
              <w:t>0.6 ms</w:t>
            </w:r>
          </w:p>
        </w:tc>
        <w:tc>
          <w:tcPr>
            <w:tcW w:type="dxa" w:w="3041"/>
            <w:shd w:val="clear" w:color="auto" w:fill="FFFFFF"/>
          </w:tcPr>
          <w:p>
            <w:r/>
            <w:r>
              <w:rPr>
                <w:sz w:val="20"/>
              </w:rPr>
              <w:t>1.4 ms</w:t>
            </w:r>
          </w:p>
        </w:tc>
      </w:tr>
      <w:tr>
        <w:tc>
          <w:tcPr>
            <w:tcW w:type="dxa" w:w="3041"/>
            <w:shd w:val="clear" w:color="auto" w:fill="DCE6F1"/>
          </w:tcPr>
          <w:p>
            <w:r/>
            <w:r>
              <w:rPr>
                <w:rFonts w:ascii="Courier New" w:hAnsi="Courier New"/>
                <w:sz w:val="20"/>
              </w:rPr>
              <w:t>OneClassSVM scoring</w:t>
            </w:r>
          </w:p>
        </w:tc>
        <w:tc>
          <w:tcPr>
            <w:tcW w:type="dxa" w:w="3041"/>
            <w:shd w:val="clear" w:color="auto" w:fill="DCE6F1"/>
          </w:tcPr>
          <w:p>
            <w:r/>
            <w:r>
              <w:rPr>
                <w:sz w:val="20"/>
              </w:rPr>
              <w:t>0.4 ms</w:t>
            </w:r>
          </w:p>
        </w:tc>
        <w:tc>
          <w:tcPr>
            <w:tcW w:type="dxa" w:w="3041"/>
            <w:shd w:val="clear" w:color="auto" w:fill="DCE6F1"/>
          </w:tcPr>
          <w:p>
            <w:r/>
            <w:r>
              <w:rPr>
                <w:sz w:val="20"/>
              </w:rPr>
              <w:t>0.9 ms</w:t>
            </w:r>
          </w:p>
        </w:tc>
      </w:tr>
      <w:tr>
        <w:tc>
          <w:tcPr>
            <w:tcW w:type="dxa" w:w="3041"/>
            <w:shd w:val="clear" w:color="auto" w:fill="FFFFFF"/>
          </w:tcPr>
          <w:p>
            <w:r/>
            <w:r>
              <w:rPr>
                <w:rFonts w:ascii="Courier New" w:hAnsi="Courier New"/>
                <w:sz w:val="20"/>
              </w:rPr>
              <w:t>Python to C# response</w:t>
            </w:r>
          </w:p>
        </w:tc>
        <w:tc>
          <w:tcPr>
            <w:tcW w:type="dxa" w:w="3041"/>
            <w:shd w:val="clear" w:color="auto" w:fill="FFFFFF"/>
          </w:tcPr>
          <w:p>
            <w:r/>
            <w:r>
              <w:rPr>
                <w:sz w:val="20"/>
              </w:rPr>
              <w:t>1.7 ms</w:t>
            </w:r>
          </w:p>
        </w:tc>
        <w:tc>
          <w:tcPr>
            <w:tcW w:type="dxa" w:w="3041"/>
            <w:shd w:val="clear" w:color="auto" w:fill="FFFFFF"/>
          </w:tcPr>
          <w:p>
            <w:r/>
            <w:r>
              <w:rPr>
                <w:sz w:val="20"/>
              </w:rPr>
              <w:t>3.9 ms</w:t>
            </w:r>
          </w:p>
        </w:tc>
      </w:tr>
      <w:tr>
        <w:tc>
          <w:tcPr>
            <w:tcW w:type="dxa" w:w="3041"/>
            <w:shd w:val="clear" w:color="auto" w:fill="DCE6F1"/>
          </w:tcPr>
          <w:p>
            <w:r/>
            <w:r>
              <w:rPr>
                <w:rFonts w:ascii="Courier New" w:hAnsi="Courier New"/>
                <w:sz w:val="20"/>
              </w:rPr>
              <w:t>C# to browser response</w:t>
            </w:r>
          </w:p>
        </w:tc>
        <w:tc>
          <w:tcPr>
            <w:tcW w:type="dxa" w:w="3041"/>
            <w:shd w:val="clear" w:color="auto" w:fill="DCE6F1"/>
          </w:tcPr>
          <w:p>
            <w:r/>
            <w:r>
              <w:rPr>
                <w:sz w:val="20"/>
              </w:rPr>
              <w:t>1.1 ms</w:t>
            </w:r>
          </w:p>
        </w:tc>
        <w:tc>
          <w:tcPr>
            <w:tcW w:type="dxa" w:w="3041"/>
            <w:shd w:val="clear" w:color="auto" w:fill="DCE6F1"/>
          </w:tcPr>
          <w:p>
            <w:r/>
            <w:r>
              <w:rPr>
                <w:sz w:val="20"/>
              </w:rPr>
              <w:t>2.8 ms</w:t>
            </w:r>
          </w:p>
        </w:tc>
      </w:tr>
      <w:tr>
        <w:tc>
          <w:tcPr>
            <w:tcW w:type="dxa" w:w="3041"/>
            <w:shd w:val="clear" w:color="auto" w:fill="FFFFFF"/>
          </w:tcPr>
          <w:p>
            <w:r/>
            <w:r>
              <w:rPr>
                <w:rFonts w:ascii="Courier New" w:hAnsi="Courier New"/>
                <w:sz w:val="20"/>
              </w:rPr>
              <w:t>TOTAL end-to-end</w:t>
            </w:r>
          </w:p>
        </w:tc>
        <w:tc>
          <w:tcPr>
            <w:tcW w:type="dxa" w:w="3041"/>
            <w:shd w:val="clear" w:color="auto" w:fill="FFFFFF"/>
          </w:tcPr>
          <w:p>
            <w:r/>
            <w:r>
              <w:rPr>
                <w:sz w:val="20"/>
              </w:rPr>
              <w:t>10.0 ms</w:t>
            </w:r>
          </w:p>
        </w:tc>
        <w:tc>
          <w:tcPr>
            <w:tcW w:type="dxa" w:w="3041"/>
            <w:shd w:val="clear" w:color="auto" w:fill="FFFFFF"/>
          </w:tcPr>
          <w:p>
            <w:r/>
            <w:r>
              <w:rPr>
                <w:sz w:val="20"/>
              </w:rPr>
              <w:t>24.6 ms</w:t>
            </w:r>
          </w:p>
        </w:tc>
      </w:tr>
    </w:tbl>
    <w:p/>
    <w:p>
      <w:pPr>
        <w:spacing w:after="120"/>
        <w:ind w:firstLine="425"/>
      </w:pPr>
      <w:r>
        <w:rPr>
          <w:rFonts w:ascii="Calibri" w:hAnsi="Calibri"/>
          <w:sz w:val="22"/>
        </w:rPr>
        <w:t>The median round-trip time of 10 milliseconds is imperceptible to users. Even the 95th percentile of 24.6 milliseconds is well below the 100ms threshold of human perceptible UI latency. Model retraining (150-400 milliseconds depending on buffer size) occurs asynchronously, communicated to the frontend via SignalR after completion without blocking the response to the triggering request.</w:t>
      </w:r>
    </w:p>
    <w:p>
      <w:r>
        <w:br w:type="page"/>
      </w:r>
    </w:p>
    <w:p>
      <w:pPr>
        <w:pStyle w:val="Heading1"/>
      </w:pPr>
      <w:r>
        <w:rPr>
          <w:rFonts w:ascii="Calibri" w:hAnsi="Calibri"/>
          <w:color w:val="1A569E"/>
        </w:rPr>
        <w:t>Chapter 10 — Results &amp; Discussion</w:t>
      </w:r>
    </w:p>
    <w:p>
      <w:r>
        <w:rPr>
          <w:i/>
          <w:color w:val="888888"/>
          <w:sz w:val="20"/>
        </w:rPr>
        <w:t>Pages 47-49</w:t>
      </w:r>
    </w:p>
    <w:p/>
    <w:p>
      <w:pPr>
        <w:pStyle w:val="Heading2"/>
      </w:pPr>
      <w:r>
        <w:rPr>
          <w:rFonts w:ascii="Calibri" w:hAnsi="Calibri"/>
          <w:color w:val="2E74B5"/>
        </w:rPr>
        <w:t>10.1  Overview</w:t>
      </w:r>
    </w:p>
    <w:p>
      <w:pPr>
        <w:spacing w:after="120"/>
        <w:ind w:firstLine="425"/>
      </w:pPr>
      <w:r>
        <w:rPr>
          <w:rFonts w:ascii="Calibri" w:hAnsi="Calibri"/>
          <w:sz w:val="22"/>
        </w:rPr>
        <w:t>This chapter consolidates the quantitative results obtained from BEHAVE-SEC's validation experiments, interprets their significance in the context of the system's security objectives, and provides an honest discussion of observed limitations. The results are organized around four primary performance dimensions: identity verification accuracy, bot detection effectiveness, active learning convergence, and operational scalability.</w:t>
      </w:r>
    </w:p>
    <w:p>
      <w:pPr>
        <w:pStyle w:val="Heading2"/>
      </w:pPr>
      <w:r>
        <w:rPr>
          <w:rFonts w:ascii="Calibri" w:hAnsi="Calibri"/>
          <w:color w:val="2E74B5"/>
        </w:rPr>
        <w:t>10.2  Identity Verification Results</w:t>
      </w:r>
    </w:p>
    <w:tbl>
      <w:tblPr>
        <w:tblStyle w:val="TableGrid"/>
        <w:tblW w:type="auto" w:w="0"/>
        <w:tblLook w:firstColumn="1" w:firstRow="1" w:lastColumn="0" w:lastRow="0" w:noHBand="0" w:noVBand="1" w:val="04A0"/>
      </w:tblPr>
      <w:tblGrid>
        <w:gridCol w:w="4561"/>
        <w:gridCol w:w="4561"/>
      </w:tblGrid>
      <w:tr>
        <w:tc>
          <w:tcPr>
            <w:tcW w:type="dxa" w:w="4561"/>
            <w:shd w:val="clear" w:color="auto" w:fill="1A569E"/>
          </w:tcPr>
          <w:p>
            <w:r/>
            <w:r>
              <w:rPr>
                <w:b/>
                <w:color w:val="FFFFFF"/>
                <w:sz w:val="20"/>
              </w:rPr>
              <w:t>Metric</w:t>
            </w:r>
          </w:p>
        </w:tc>
        <w:tc>
          <w:tcPr>
            <w:tcW w:type="dxa" w:w="4561"/>
            <w:shd w:val="clear" w:color="auto" w:fill="1A569E"/>
          </w:tcPr>
          <w:p>
            <w:r/>
            <w:r>
              <w:rPr>
                <w:b/>
                <w:color w:val="FFFFFF"/>
                <w:sz w:val="20"/>
              </w:rPr>
              <w:t>Value</w:t>
            </w:r>
          </w:p>
        </w:tc>
      </w:tr>
      <w:tr>
        <w:tc>
          <w:tcPr>
            <w:tcW w:type="dxa" w:w="4561"/>
            <w:shd w:val="clear" w:color="auto" w:fill="DCE6F1"/>
          </w:tcPr>
          <w:p>
            <w:r/>
            <w:r>
              <w:rPr>
                <w:rFonts w:ascii="Courier New" w:hAnsi="Courier New"/>
                <w:sz w:val="20"/>
              </w:rPr>
              <w:t>Balanced Accuracy</w:t>
            </w:r>
          </w:p>
        </w:tc>
        <w:tc>
          <w:tcPr>
            <w:tcW w:type="dxa" w:w="4561"/>
            <w:shd w:val="clear" w:color="auto" w:fill="DCE6F1"/>
          </w:tcPr>
          <w:p>
            <w:r/>
            <w:r>
              <w:rPr>
                <w:sz w:val="20"/>
              </w:rPr>
              <w:t>96.1%</w:t>
            </w:r>
          </w:p>
        </w:tc>
      </w:tr>
      <w:tr>
        <w:tc>
          <w:tcPr>
            <w:tcW w:type="dxa" w:w="4561"/>
            <w:shd w:val="clear" w:color="auto" w:fill="FFFFFF"/>
          </w:tcPr>
          <w:p>
            <w:r/>
            <w:r>
              <w:rPr>
                <w:rFonts w:ascii="Courier New" w:hAnsi="Courier New"/>
                <w:sz w:val="20"/>
              </w:rPr>
              <w:t>Owner Acceptance Rate (True Accept Rate)</w:t>
            </w:r>
          </w:p>
        </w:tc>
        <w:tc>
          <w:tcPr>
            <w:tcW w:type="dxa" w:w="4561"/>
            <w:shd w:val="clear" w:color="auto" w:fill="FFFFFF"/>
          </w:tcPr>
          <w:p>
            <w:r/>
            <w:r>
              <w:rPr>
                <w:sz w:val="20"/>
              </w:rPr>
              <w:t>100.0%</w:t>
            </w:r>
          </w:p>
        </w:tc>
      </w:tr>
      <w:tr>
        <w:tc>
          <w:tcPr>
            <w:tcW w:type="dxa" w:w="4561"/>
            <w:shd w:val="clear" w:color="auto" w:fill="DCE6F1"/>
          </w:tcPr>
          <w:p>
            <w:r/>
            <w:r>
              <w:rPr>
                <w:rFonts w:ascii="Courier New" w:hAnsi="Courier New"/>
                <w:sz w:val="20"/>
              </w:rPr>
              <w:t>False Rejection Rate (FRR)</w:t>
            </w:r>
          </w:p>
        </w:tc>
        <w:tc>
          <w:tcPr>
            <w:tcW w:type="dxa" w:w="4561"/>
            <w:shd w:val="clear" w:color="auto" w:fill="DCE6F1"/>
          </w:tcPr>
          <w:p>
            <w:r/>
            <w:r>
              <w:rPr>
                <w:sz w:val="20"/>
              </w:rPr>
              <w:t>0.0%</w:t>
            </w:r>
          </w:p>
        </w:tc>
      </w:tr>
      <w:tr>
        <w:tc>
          <w:tcPr>
            <w:tcW w:type="dxa" w:w="4561"/>
            <w:shd w:val="clear" w:color="auto" w:fill="FFFFFF"/>
          </w:tcPr>
          <w:p>
            <w:r/>
            <w:r>
              <w:rPr>
                <w:rFonts w:ascii="Courier New" w:hAnsi="Courier New"/>
                <w:sz w:val="20"/>
              </w:rPr>
              <w:t>Intruder Rejection Rate (True Reject Rate)</w:t>
            </w:r>
          </w:p>
        </w:tc>
        <w:tc>
          <w:tcPr>
            <w:tcW w:type="dxa" w:w="4561"/>
            <w:shd w:val="clear" w:color="auto" w:fill="FFFFFF"/>
          </w:tcPr>
          <w:p>
            <w:r/>
            <w:r>
              <w:rPr>
                <w:sz w:val="20"/>
              </w:rPr>
              <w:t>92.2%</w:t>
            </w:r>
          </w:p>
        </w:tc>
      </w:tr>
      <w:tr>
        <w:tc>
          <w:tcPr>
            <w:tcW w:type="dxa" w:w="4561"/>
            <w:shd w:val="clear" w:color="auto" w:fill="DCE6F1"/>
          </w:tcPr>
          <w:p>
            <w:r/>
            <w:r>
              <w:rPr>
                <w:rFonts w:ascii="Courier New" w:hAnsi="Courier New"/>
                <w:sz w:val="20"/>
              </w:rPr>
              <w:t>False Acceptance Rate (FAR)</w:t>
            </w:r>
          </w:p>
        </w:tc>
        <w:tc>
          <w:tcPr>
            <w:tcW w:type="dxa" w:w="4561"/>
            <w:shd w:val="clear" w:color="auto" w:fill="DCE6F1"/>
          </w:tcPr>
          <w:p>
            <w:r/>
            <w:r>
              <w:rPr>
                <w:sz w:val="20"/>
              </w:rPr>
              <w:t>7.8%</w:t>
            </w:r>
          </w:p>
        </w:tc>
      </w:tr>
      <w:tr>
        <w:tc>
          <w:tcPr>
            <w:tcW w:type="dxa" w:w="4561"/>
            <w:shd w:val="clear" w:color="auto" w:fill="FFFFFF"/>
          </w:tcPr>
          <w:p>
            <w:r/>
            <w:r>
              <w:rPr>
                <w:rFonts w:ascii="Courier New" w:hAnsi="Courier New"/>
                <w:sz w:val="20"/>
              </w:rPr>
              <w:t>Area Under ROC Curve (AUC)</w:t>
            </w:r>
          </w:p>
        </w:tc>
        <w:tc>
          <w:tcPr>
            <w:tcW w:type="dxa" w:w="4561"/>
            <w:shd w:val="clear" w:color="auto" w:fill="FFFFFF"/>
          </w:tcPr>
          <w:p>
            <w:r/>
            <w:r>
              <w:rPr>
                <w:sz w:val="20"/>
              </w:rPr>
              <w:t>0.983</w:t>
            </w:r>
          </w:p>
        </w:tc>
      </w:tr>
    </w:tbl>
    <w:p/>
    <w:p>
      <w:pPr>
        <w:spacing w:after="120"/>
        <w:ind w:firstLine="425"/>
      </w:pPr>
      <w:r>
        <w:rPr>
          <w:rFonts w:ascii="Calibri" w:hAnsi="Calibri"/>
          <w:sz w:val="22"/>
        </w:rPr>
        <w:t>The deliberate selection of the 0.55 threshold to achieve zero false rejections reflects the fundamental design philosophy: a transparent authentication layer that blocks legitimate users has failed its primary purpose. Unlike a visible second factor, BEHAVE-SEC is supposed to be invisible during normal operation. An invisible system that silently blocks legitimate users creates a confusing, damaging user experience — the user has no idea why their account is inaccessible, because the system never told them it was even checking.</w:t>
      </w:r>
    </w:p>
    <w:p>
      <w:pPr>
        <w:spacing w:after="120"/>
        <w:ind w:firstLine="425"/>
      </w:pPr>
      <w:r>
        <w:rPr>
          <w:rFonts w:ascii="Calibri" w:hAnsi="Calibri"/>
          <w:sz w:val="22"/>
        </w:rPr>
        <w:t>The AUC of 0.983 indicates near-ideal discrimination between owner and intruder behavioral profiles across the full range of possible thresholds. Even falsely accepted intruder sessions show measurably lower cosine similarity to the owner's centroid (mean 0.847) compared to genuine owner sessions (mean 0.961), suggesting a composite decision metric combining SVM score with cosine similarity could reduce the FAR to approximately 4-5% without increasing FRR — a direction for future work.</w:t>
      </w:r>
    </w:p>
    <w:p>
      <w:pPr>
        <w:pStyle w:val="Heading2"/>
      </w:pPr>
      <w:r>
        <w:rPr>
          <w:rFonts w:ascii="Calibri" w:hAnsi="Calibri"/>
          <w:color w:val="2E74B5"/>
        </w:rPr>
        <w:t>10.3  Bot Detection Results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Metric</w:t>
            </w:r>
          </w:p>
        </w:tc>
        <w:tc>
          <w:tcPr>
            <w:tcW w:type="dxa" w:w="3041"/>
            <w:shd w:val="clear" w:color="auto" w:fill="1A569E"/>
          </w:tcPr>
          <w:p>
            <w:r/>
            <w:r>
              <w:rPr>
                <w:b/>
                <w:color w:val="FFFFFF"/>
                <w:sz w:val="20"/>
              </w:rPr>
              <w:t>Kinematic Check</w:t>
            </w:r>
          </w:p>
        </w:tc>
        <w:tc>
          <w:tcPr>
            <w:tcW w:type="dxa" w:w="3041"/>
            <w:shd w:val="clear" w:color="auto" w:fill="1A569E"/>
          </w:tcPr>
          <w:p>
            <w:r/>
            <w:r>
              <w:rPr>
                <w:b/>
                <w:color w:val="FFFFFF"/>
                <w:sz w:val="20"/>
              </w:rPr>
              <w:t>Global ML Model</w:t>
            </w:r>
          </w:p>
        </w:tc>
      </w:tr>
      <w:tr>
        <w:tc>
          <w:tcPr>
            <w:tcW w:type="dxa" w:w="3041"/>
            <w:shd w:val="clear" w:color="auto" w:fill="DCE6F1"/>
          </w:tcPr>
          <w:p>
            <w:r/>
            <w:r>
              <w:rPr>
                <w:rFonts w:ascii="Courier New" w:hAnsi="Courier New"/>
                <w:sz w:val="20"/>
              </w:rPr>
              <w:t>Detection Rate (True Positive)</w:t>
            </w:r>
          </w:p>
        </w:tc>
        <w:tc>
          <w:tcPr>
            <w:tcW w:type="dxa" w:w="3041"/>
            <w:shd w:val="clear" w:color="auto" w:fill="DCE6F1"/>
          </w:tcPr>
          <w:p>
            <w:r/>
            <w:r>
              <w:rPr>
                <w:sz w:val="20"/>
              </w:rPr>
              <w:t>100% (0 misses)</w:t>
            </w:r>
          </w:p>
        </w:tc>
        <w:tc>
          <w:tcPr>
            <w:tcW w:type="dxa" w:w="3041"/>
            <w:shd w:val="clear" w:color="auto" w:fill="DCE6F1"/>
          </w:tcPr>
          <w:p>
            <w:r/>
            <w:r>
              <w:rPr>
                <w:sz w:val="20"/>
              </w:rPr>
              <w:t>100% (0 misses)</w:t>
            </w:r>
          </w:p>
        </w:tc>
      </w:tr>
      <w:tr>
        <w:tc>
          <w:tcPr>
            <w:tcW w:type="dxa" w:w="3041"/>
            <w:shd w:val="clear" w:color="auto" w:fill="FFFFFF"/>
          </w:tcPr>
          <w:p>
            <w:r/>
            <w:r>
              <w:rPr>
                <w:rFonts w:ascii="Courier New" w:hAnsi="Courier New"/>
                <w:sz w:val="20"/>
              </w:rPr>
              <w:t>False Positive Rate (Human as Bot)</w:t>
            </w:r>
          </w:p>
        </w:tc>
        <w:tc>
          <w:tcPr>
            <w:tcW w:type="dxa" w:w="3041"/>
            <w:shd w:val="clear" w:color="auto" w:fill="FFFFFF"/>
          </w:tcPr>
          <w:p>
            <w:r/>
            <w:r>
              <w:rPr>
                <w:sz w:val="20"/>
              </w:rPr>
              <w:t>0.0%</w:t>
            </w:r>
          </w:p>
        </w:tc>
        <w:tc>
          <w:tcPr>
            <w:tcW w:type="dxa" w:w="3041"/>
            <w:shd w:val="clear" w:color="auto" w:fill="FFFFFF"/>
          </w:tcPr>
          <w:p>
            <w:r/>
            <w:r>
              <w:rPr>
                <w:sz w:val="20"/>
              </w:rPr>
              <w:t>4.0%</w:t>
            </w:r>
          </w:p>
        </w:tc>
      </w:tr>
      <w:tr>
        <w:tc>
          <w:tcPr>
            <w:tcW w:type="dxa" w:w="3041"/>
            <w:shd w:val="clear" w:color="auto" w:fill="DCE6F1"/>
          </w:tcPr>
          <w:p>
            <w:r/>
            <w:r>
              <w:rPr>
                <w:rFonts w:ascii="Courier New" w:hAnsi="Courier New"/>
                <w:sz w:val="20"/>
              </w:rPr>
              <w:t>Training Data Required</w:t>
            </w:r>
          </w:p>
        </w:tc>
        <w:tc>
          <w:tcPr>
            <w:tcW w:type="dxa" w:w="3041"/>
            <w:shd w:val="clear" w:color="auto" w:fill="DCE6F1"/>
          </w:tcPr>
          <w:p>
            <w:r/>
            <w:r>
              <w:rPr>
                <w:sz w:val="20"/>
              </w:rPr>
              <w:t>None</w:t>
            </w:r>
          </w:p>
        </w:tc>
        <w:tc>
          <w:tcPr>
            <w:tcW w:type="dxa" w:w="3041"/>
            <w:shd w:val="clear" w:color="auto" w:fill="DCE6F1"/>
          </w:tcPr>
          <w:p>
            <w:r/>
            <w:r>
              <w:rPr>
                <w:sz w:val="20"/>
              </w:rPr>
              <w:t>Population dataset</w:t>
            </w:r>
          </w:p>
        </w:tc>
      </w:tr>
      <w:tr>
        <w:tc>
          <w:tcPr>
            <w:tcW w:type="dxa" w:w="3041"/>
            <w:shd w:val="clear" w:color="auto" w:fill="FFFFFF"/>
          </w:tcPr>
          <w:p>
            <w:r/>
            <w:r>
              <w:rPr>
                <w:rFonts w:ascii="Courier New" w:hAnsi="Courier New"/>
                <w:sz w:val="20"/>
              </w:rPr>
              <w:t>Zero-Day Effectiveness</w:t>
            </w:r>
          </w:p>
        </w:tc>
        <w:tc>
          <w:tcPr>
            <w:tcW w:type="dxa" w:w="3041"/>
            <w:shd w:val="clear" w:color="auto" w:fill="FFFFFF"/>
          </w:tcPr>
          <w:p>
            <w:r/>
            <w:r>
              <w:rPr>
                <w:sz w:val="20"/>
              </w:rPr>
              <w:t>Yes</w:t>
            </w:r>
          </w:p>
        </w:tc>
        <w:tc>
          <w:tcPr>
            <w:tcW w:type="dxa" w:w="3041"/>
            <w:shd w:val="clear" w:color="auto" w:fill="FFFFFF"/>
          </w:tcPr>
          <w:p>
            <w:r/>
            <w:r>
              <w:rPr>
                <w:sz w:val="20"/>
              </w:rPr>
              <w:t>Partial</w:t>
            </w:r>
          </w:p>
        </w:tc>
      </w:tr>
    </w:tbl>
    <w:p/>
    <w:p>
      <w:pPr>
        <w:spacing w:after="120"/>
        <w:ind w:firstLine="425"/>
      </w:pPr>
      <w:r>
        <w:rPr>
          <w:rFonts w:ascii="Calibri" w:hAnsi="Calibri"/>
          <w:sz w:val="22"/>
        </w:rPr>
        <w:t>The kinematic check's zero false positive rate is guaranteed by mathematical construction: no legitimate human user can produce a path directness ratio of 0.999 or above. The global model's 4% false positive rate occurred for two users with unusually consistent typing profiles that overlapped with the bot distribution boundary — operationally acceptable when the response is MFA escalation rather than immediate session termination. Together, the two layers provide complementary coverage: Layer 1 catches behavioral anomalies in keyboard timing; Layer 2 catches linear mouse trajectories. A bot defeating both layers simultaneously requires solving the human behavioral generation problem — a level of sophistication that raises the economic bar for evasion prohibitively high.</w:t>
      </w:r>
    </w:p>
    <w:p>
      <w:pPr>
        <w:pStyle w:val="Heading2"/>
      </w:pPr>
      <w:r>
        <w:rPr>
          <w:rFonts w:ascii="Calibri" w:hAnsi="Calibri"/>
          <w:color w:val="2E74B5"/>
        </w:rPr>
        <w:t>10.4  Active Learning Convergence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69E"/>
          </w:tcPr>
          <w:p>
            <w:r/>
            <w:r>
              <w:rPr>
                <w:b/>
                <w:color w:val="FFFFFF"/>
                <w:sz w:val="20"/>
              </w:rPr>
              <w:t>Feedback Sessions</w:t>
            </w:r>
          </w:p>
        </w:tc>
        <w:tc>
          <w:tcPr>
            <w:tcW w:type="dxa" w:w="2280"/>
            <w:shd w:val="clear" w:color="auto" w:fill="1A569E"/>
          </w:tcPr>
          <w:p>
            <w:r/>
            <w:r>
              <w:rPr>
                <w:b/>
                <w:color w:val="FFFFFF"/>
                <w:sz w:val="20"/>
              </w:rPr>
              <w:t>Balanced Accuracy</w:t>
            </w:r>
          </w:p>
        </w:tc>
        <w:tc>
          <w:tcPr>
            <w:tcW w:type="dxa" w:w="2280"/>
            <w:shd w:val="clear" w:color="auto" w:fill="1A569E"/>
          </w:tcPr>
          <w:p>
            <w:r/>
            <w:r>
              <w:rPr>
                <w:b/>
                <w:color w:val="FFFFFF"/>
                <w:sz w:val="20"/>
              </w:rPr>
              <w:t>FRR</w:t>
            </w:r>
          </w:p>
        </w:tc>
        <w:tc>
          <w:tcPr>
            <w:tcW w:type="dxa" w:w="2280"/>
            <w:shd w:val="clear" w:color="auto" w:fill="1A569E"/>
          </w:tcPr>
          <w:p>
            <w:r/>
            <w:r>
              <w:rPr>
                <w:b/>
                <w:color w:val="FFFFFF"/>
                <w:sz w:val="20"/>
              </w:rPr>
              <w:t>FAR</w:t>
            </w:r>
          </w:p>
        </w:tc>
      </w:tr>
      <w:tr>
        <w:tc>
          <w:tcPr>
            <w:tcW w:type="dxa" w:w="2280"/>
            <w:shd w:val="clear" w:color="auto" w:fill="DCE6F1"/>
          </w:tcPr>
          <w:p>
            <w:r/>
            <w:r>
              <w:rPr>
                <w:rFonts w:ascii="Courier New" w:hAnsi="Courier New"/>
                <w:sz w:val="20"/>
              </w:rPr>
              <w:t>0 (initial 10-session training)</w:t>
            </w:r>
          </w:p>
        </w:tc>
        <w:tc>
          <w:tcPr>
            <w:tcW w:type="dxa" w:w="2280"/>
            <w:shd w:val="clear" w:color="auto" w:fill="DCE6F1"/>
          </w:tcPr>
          <w:p>
            <w:r/>
            <w:r>
              <w:rPr>
                <w:sz w:val="20"/>
              </w:rPr>
              <w:t>88.3%</w:t>
            </w:r>
          </w:p>
        </w:tc>
        <w:tc>
          <w:tcPr>
            <w:tcW w:type="dxa" w:w="2280"/>
            <w:shd w:val="clear" w:color="auto" w:fill="DCE6F1"/>
          </w:tcPr>
          <w:p>
            <w:r/>
            <w:r>
              <w:rPr>
                <w:sz w:val="20"/>
              </w:rPr>
              <w:t>0%</w:t>
            </w:r>
          </w:p>
        </w:tc>
        <w:tc>
          <w:tcPr>
            <w:tcW w:type="dxa" w:w="2280"/>
            <w:shd w:val="clear" w:color="auto" w:fill="DCE6F1"/>
          </w:tcPr>
          <w:p>
            <w:r/>
            <w:r>
              <w:rPr>
                <w:sz w:val="20"/>
              </w:rPr>
              <w:t>23.4%</w:t>
            </w:r>
          </w:p>
        </w:tc>
      </w:tr>
      <w:tr>
        <w:tc>
          <w:tcPr>
            <w:tcW w:type="dxa" w:w="2280"/>
            <w:shd w:val="clear" w:color="auto" w:fill="FFFFFF"/>
          </w:tcPr>
          <w:p>
            <w:r/>
            <w:r>
              <w:rPr>
                <w:rFonts w:ascii="Courier New" w:hAnsi="Courier New"/>
                <w:sz w:val="20"/>
              </w:rPr>
              <w:t>+5 owner-confirmed sessions</w:t>
            </w:r>
          </w:p>
        </w:tc>
        <w:tc>
          <w:tcPr>
            <w:tcW w:type="dxa" w:w="2280"/>
            <w:shd w:val="clear" w:color="auto" w:fill="FFFFFF"/>
          </w:tcPr>
          <w:p>
            <w:r/>
            <w:r>
              <w:rPr>
                <w:sz w:val="20"/>
              </w:rPr>
              <w:t>91.7%</w:t>
            </w:r>
          </w:p>
        </w:tc>
        <w:tc>
          <w:tcPr>
            <w:tcW w:type="dxa" w:w="2280"/>
            <w:shd w:val="clear" w:color="auto" w:fill="FFFFFF"/>
          </w:tcPr>
          <w:p>
            <w:r/>
            <w:r>
              <w:rPr>
                <w:sz w:val="20"/>
              </w:rPr>
              <w:t>0%</w:t>
            </w:r>
          </w:p>
        </w:tc>
        <w:tc>
          <w:tcPr>
            <w:tcW w:type="dxa" w:w="2280"/>
            <w:shd w:val="clear" w:color="auto" w:fill="FFFFFF"/>
          </w:tcPr>
          <w:p>
            <w:r/>
            <w:r>
              <w:rPr>
                <w:sz w:val="20"/>
              </w:rPr>
              <w:t>16.6%</w:t>
            </w:r>
          </w:p>
        </w:tc>
      </w:tr>
      <w:tr>
        <w:tc>
          <w:tcPr>
            <w:tcW w:type="dxa" w:w="2280"/>
            <w:shd w:val="clear" w:color="auto" w:fill="DCE6F1"/>
          </w:tcPr>
          <w:p>
            <w:r/>
            <w:r>
              <w:rPr>
                <w:rFonts w:ascii="Courier New" w:hAnsi="Courier New"/>
                <w:sz w:val="20"/>
              </w:rPr>
              <w:t>+10 owner-confirmed sessions</w:t>
            </w:r>
          </w:p>
        </w:tc>
        <w:tc>
          <w:tcPr>
            <w:tcW w:type="dxa" w:w="2280"/>
            <w:shd w:val="clear" w:color="auto" w:fill="DCE6F1"/>
          </w:tcPr>
          <w:p>
            <w:r/>
            <w:r>
              <w:rPr>
                <w:sz w:val="20"/>
              </w:rPr>
              <w:t>94.2%</w:t>
            </w:r>
          </w:p>
        </w:tc>
        <w:tc>
          <w:tcPr>
            <w:tcW w:type="dxa" w:w="2280"/>
            <w:shd w:val="clear" w:color="auto" w:fill="DCE6F1"/>
          </w:tcPr>
          <w:p>
            <w:r/>
            <w:r>
              <w:rPr>
                <w:sz w:val="20"/>
              </w:rPr>
              <w:t>0%</w:t>
            </w:r>
          </w:p>
        </w:tc>
        <w:tc>
          <w:tcPr>
            <w:tcW w:type="dxa" w:w="2280"/>
            <w:shd w:val="clear" w:color="auto" w:fill="DCE6F1"/>
          </w:tcPr>
          <w:p>
            <w:r/>
            <w:r>
              <w:rPr>
                <w:sz w:val="20"/>
              </w:rPr>
              <w:t>11.6%</w:t>
            </w:r>
          </w:p>
        </w:tc>
      </w:tr>
      <w:tr>
        <w:tc>
          <w:tcPr>
            <w:tcW w:type="dxa" w:w="2280"/>
            <w:shd w:val="clear" w:color="auto" w:fill="FFFFFF"/>
          </w:tcPr>
          <w:p>
            <w:r/>
            <w:r>
              <w:rPr>
                <w:rFonts w:ascii="Courier New" w:hAnsi="Courier New"/>
                <w:sz w:val="20"/>
              </w:rPr>
              <w:t>+20 owner-confirmed sessions</w:t>
            </w:r>
          </w:p>
        </w:tc>
        <w:tc>
          <w:tcPr>
            <w:tcW w:type="dxa" w:w="2280"/>
            <w:shd w:val="clear" w:color="auto" w:fill="FFFFFF"/>
          </w:tcPr>
          <w:p>
            <w:r/>
            <w:r>
              <w:rPr>
                <w:sz w:val="20"/>
              </w:rPr>
              <w:t>96.1%</w:t>
            </w:r>
          </w:p>
        </w:tc>
        <w:tc>
          <w:tcPr>
            <w:tcW w:type="dxa" w:w="2280"/>
            <w:shd w:val="clear" w:color="auto" w:fill="FFFFFF"/>
          </w:tcPr>
          <w:p>
            <w:r/>
            <w:r>
              <w:rPr>
                <w:sz w:val="20"/>
              </w:rPr>
              <w:t>0%</w:t>
            </w:r>
          </w:p>
        </w:tc>
        <w:tc>
          <w:tcPr>
            <w:tcW w:type="dxa" w:w="2280"/>
            <w:shd w:val="clear" w:color="auto" w:fill="FFFFFF"/>
          </w:tcPr>
          <w:p>
            <w:r/>
            <w:r>
              <w:rPr>
                <w:sz w:val="20"/>
              </w:rPr>
              <w:t>7.8%</w:t>
            </w:r>
          </w:p>
        </w:tc>
      </w:tr>
      <w:tr>
        <w:tc>
          <w:tcPr>
            <w:tcW w:type="dxa" w:w="2280"/>
            <w:shd w:val="clear" w:color="auto" w:fill="DCE6F1"/>
          </w:tcPr>
          <w:p>
            <w:r/>
            <w:r>
              <w:rPr>
                <w:rFonts w:ascii="Courier New" w:hAnsi="Courier New"/>
                <w:sz w:val="20"/>
              </w:rPr>
              <w:t>+35 owner-confirmed sessions</w:t>
            </w:r>
          </w:p>
        </w:tc>
        <w:tc>
          <w:tcPr>
            <w:tcW w:type="dxa" w:w="2280"/>
            <w:shd w:val="clear" w:color="auto" w:fill="DCE6F1"/>
          </w:tcPr>
          <w:p>
            <w:r/>
            <w:r>
              <w:rPr>
                <w:sz w:val="20"/>
              </w:rPr>
              <w:t>97.4%</w:t>
            </w:r>
          </w:p>
        </w:tc>
        <w:tc>
          <w:tcPr>
            <w:tcW w:type="dxa" w:w="2280"/>
            <w:shd w:val="clear" w:color="auto" w:fill="DCE6F1"/>
          </w:tcPr>
          <w:p>
            <w:r/>
            <w:r>
              <w:rPr>
                <w:sz w:val="20"/>
              </w:rPr>
              <w:t>0%</w:t>
            </w:r>
          </w:p>
        </w:tc>
        <w:tc>
          <w:tcPr>
            <w:tcW w:type="dxa" w:w="2280"/>
            <w:shd w:val="clear" w:color="auto" w:fill="DCE6F1"/>
          </w:tcPr>
          <w:p>
            <w:r/>
            <w:r>
              <w:rPr>
                <w:sz w:val="20"/>
              </w:rPr>
              <w:t>5.2%</w:t>
            </w:r>
          </w:p>
        </w:tc>
      </w:tr>
    </w:tbl>
    <w:p/>
    <w:p>
      <w:pPr>
        <w:spacing w:after="120"/>
        <w:ind w:firstLine="425"/>
      </w:pPr>
      <w:r>
        <w:rPr>
          <w:rFonts w:ascii="Calibri" w:hAnsi="Calibri"/>
          <w:sz w:val="22"/>
        </w:rPr>
        <w:t>The model improves monotonically with feedback — there is no observed catastrophic forgetting. The FAR drops sharply with the first few feedback rounds (23.4% to 16.6% from just 5 sessions), as early feedback has disproportionate impact on a small initial training set. The FRR remains zero throughout: adding more owner data can only expand or refine the acceptance region, never shrink it below the level where the legitimate owner's sessions are accepted. Diminishing returns appear beyond 20 sessions, as the model approaches its performance ceiling and further improvement requires additional behavioral modalities rather than simply more data.</w:t>
      </w:r>
    </w:p>
    <w:p>
      <w:pPr>
        <w:pStyle w:val="Heading2"/>
      </w:pPr>
      <w:r>
        <w:rPr>
          <w:rFonts w:ascii="Calibri" w:hAnsi="Calibri"/>
          <w:color w:val="2E74B5"/>
        </w:rPr>
        <w:t>10.5  Scalability Results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9E"/>
          </w:tcPr>
          <w:p>
            <w:r/>
            <w:r>
              <w:rPr>
                <w:b/>
                <w:color w:val="FFFFFF"/>
                <w:sz w:val="20"/>
              </w:rPr>
              <w:t>Concurrent Users</w:t>
            </w:r>
          </w:p>
        </w:tc>
        <w:tc>
          <w:tcPr>
            <w:tcW w:type="dxa" w:w="3041"/>
            <w:shd w:val="clear" w:color="auto" w:fill="1A569E"/>
          </w:tcPr>
          <w:p>
            <w:r/>
            <w:r>
              <w:rPr>
                <w:b/>
                <w:color w:val="FFFFFF"/>
                <w:sz w:val="20"/>
              </w:rPr>
              <w:t>Avg Scoring Latency</w:t>
            </w:r>
          </w:p>
        </w:tc>
        <w:tc>
          <w:tcPr>
            <w:tcW w:type="dxa" w:w="3041"/>
            <w:shd w:val="clear" w:color="auto" w:fill="1A569E"/>
          </w:tcPr>
          <w:p>
            <w:r/>
            <w:r>
              <w:rPr>
                <w:b/>
                <w:color w:val="FFFFFF"/>
                <w:sz w:val="20"/>
              </w:rPr>
              <w:t>Memory Per User Model</w:t>
            </w:r>
          </w:p>
        </w:tc>
      </w:tr>
      <w:tr>
        <w:tc>
          <w:tcPr>
            <w:tcW w:type="dxa" w:w="3041"/>
            <w:shd w:val="clear" w:color="auto" w:fill="DCE6F1"/>
          </w:tcPr>
          <w:p>
            <w:r/>
            <w:r>
              <w:rPr>
                <w:rFonts w:ascii="Courier New" w:hAnsi="Courier New"/>
                <w:sz w:val="20"/>
              </w:rPr>
              <w:t>1</w:t>
            </w:r>
          </w:p>
        </w:tc>
        <w:tc>
          <w:tcPr>
            <w:tcW w:type="dxa" w:w="3041"/>
            <w:shd w:val="clear" w:color="auto" w:fill="DCE6F1"/>
          </w:tcPr>
          <w:p>
            <w:r/>
            <w:r>
              <w:rPr>
                <w:sz w:val="20"/>
              </w:rPr>
              <w:t>0.4 ms</w:t>
            </w:r>
          </w:p>
        </w:tc>
        <w:tc>
          <w:tcPr>
            <w:tcW w:type="dxa" w:w="3041"/>
            <w:shd w:val="clear" w:color="auto" w:fill="DCE6F1"/>
          </w:tcPr>
          <w:p>
            <w:r/>
            <w:r>
              <w:rPr>
                <w:sz w:val="20"/>
              </w:rPr>
              <w:t>~2.1 MB</w:t>
            </w:r>
          </w:p>
        </w:tc>
      </w:tr>
      <w:tr>
        <w:tc>
          <w:tcPr>
            <w:tcW w:type="dxa" w:w="3041"/>
            <w:shd w:val="clear" w:color="auto" w:fill="FFFFFF"/>
          </w:tcPr>
          <w:p>
            <w:r/>
            <w:r>
              <w:rPr>
                <w:rFonts w:ascii="Courier New" w:hAnsi="Courier New"/>
                <w:sz w:val="20"/>
              </w:rPr>
              <w:t>10</w:t>
            </w:r>
          </w:p>
        </w:tc>
        <w:tc>
          <w:tcPr>
            <w:tcW w:type="dxa" w:w="3041"/>
            <w:shd w:val="clear" w:color="auto" w:fill="FFFFFF"/>
          </w:tcPr>
          <w:p>
            <w:r/>
            <w:r>
              <w:rPr>
                <w:sz w:val="20"/>
              </w:rPr>
              <w:t>0.6 ms</w:t>
            </w:r>
          </w:p>
        </w:tc>
        <w:tc>
          <w:tcPr>
            <w:tcW w:type="dxa" w:w="3041"/>
            <w:shd w:val="clear" w:color="auto" w:fill="FFFFFF"/>
          </w:tcPr>
          <w:p>
            <w:r/>
            <w:r>
              <w:rPr>
                <w:sz w:val="20"/>
              </w:rPr>
              <w:t>~2.1 MB</w:t>
            </w:r>
          </w:p>
        </w:tc>
      </w:tr>
      <w:tr>
        <w:tc>
          <w:tcPr>
            <w:tcW w:type="dxa" w:w="3041"/>
            <w:shd w:val="clear" w:color="auto" w:fill="DCE6F1"/>
          </w:tcPr>
          <w:p>
            <w:r/>
            <w:r>
              <w:rPr>
                <w:rFonts w:ascii="Courier New" w:hAnsi="Courier New"/>
                <w:sz w:val="20"/>
              </w:rPr>
              <w:t>50</w:t>
            </w:r>
          </w:p>
        </w:tc>
        <w:tc>
          <w:tcPr>
            <w:tcW w:type="dxa" w:w="3041"/>
            <w:shd w:val="clear" w:color="auto" w:fill="DCE6F1"/>
          </w:tcPr>
          <w:p>
            <w:r/>
            <w:r>
              <w:rPr>
                <w:sz w:val="20"/>
              </w:rPr>
              <w:t>1.2 ms</w:t>
            </w:r>
          </w:p>
        </w:tc>
        <w:tc>
          <w:tcPr>
            <w:tcW w:type="dxa" w:w="3041"/>
            <w:shd w:val="clear" w:color="auto" w:fill="DCE6F1"/>
          </w:tcPr>
          <w:p>
            <w:r/>
            <w:r>
              <w:rPr>
                <w:sz w:val="20"/>
              </w:rPr>
              <w:t>~2.1 MB</w:t>
            </w:r>
          </w:p>
        </w:tc>
      </w:tr>
      <w:tr>
        <w:tc>
          <w:tcPr>
            <w:tcW w:type="dxa" w:w="3041"/>
            <w:shd w:val="clear" w:color="auto" w:fill="FFFFFF"/>
          </w:tcPr>
          <w:p>
            <w:r/>
            <w:r>
              <w:rPr>
                <w:rFonts w:ascii="Courier New" w:hAnsi="Courier New"/>
                <w:sz w:val="20"/>
              </w:rPr>
              <w:t>100</w:t>
            </w:r>
          </w:p>
        </w:tc>
        <w:tc>
          <w:tcPr>
            <w:tcW w:type="dxa" w:w="3041"/>
            <w:shd w:val="clear" w:color="auto" w:fill="FFFFFF"/>
          </w:tcPr>
          <w:p>
            <w:r/>
            <w:r>
              <w:rPr>
                <w:sz w:val="20"/>
              </w:rPr>
              <w:t>2.8 ms</w:t>
            </w:r>
          </w:p>
        </w:tc>
        <w:tc>
          <w:tcPr>
            <w:tcW w:type="dxa" w:w="3041"/>
            <w:shd w:val="clear" w:color="auto" w:fill="FFFFFF"/>
          </w:tcPr>
          <w:p>
            <w:r/>
            <w:r>
              <w:rPr>
                <w:sz w:val="20"/>
              </w:rPr>
              <w:t>~2.1 MB</w:t>
            </w:r>
          </w:p>
        </w:tc>
      </w:tr>
      <w:tr>
        <w:tc>
          <w:tcPr>
            <w:tcW w:type="dxa" w:w="3041"/>
            <w:shd w:val="clear" w:color="auto" w:fill="DCE6F1"/>
          </w:tcPr>
          <w:p>
            <w:r/>
            <w:r>
              <w:rPr>
                <w:rFonts w:ascii="Courier New" w:hAnsi="Courier New"/>
                <w:sz w:val="20"/>
              </w:rPr>
              <w:t>500</w:t>
            </w:r>
          </w:p>
        </w:tc>
        <w:tc>
          <w:tcPr>
            <w:tcW w:type="dxa" w:w="3041"/>
            <w:shd w:val="clear" w:color="auto" w:fill="DCE6F1"/>
          </w:tcPr>
          <w:p>
            <w:r/>
            <w:r>
              <w:rPr>
                <w:sz w:val="20"/>
              </w:rPr>
              <w:t>11.4 ms</w:t>
            </w:r>
          </w:p>
        </w:tc>
        <w:tc>
          <w:tcPr>
            <w:tcW w:type="dxa" w:w="3041"/>
            <w:shd w:val="clear" w:color="auto" w:fill="DCE6F1"/>
          </w:tcPr>
          <w:p>
            <w:r/>
            <w:r>
              <w:rPr>
                <w:sz w:val="20"/>
              </w:rPr>
              <w:t>~2.1 MB</w:t>
            </w:r>
          </w:p>
        </w:tc>
      </w:tr>
    </w:tbl>
    <w:p/>
    <w:p>
      <w:pPr>
        <w:spacing w:after="120"/>
        <w:ind w:firstLine="425"/>
      </w:pPr>
      <w:r>
        <w:rPr>
          <w:rFonts w:ascii="Calibri" w:hAnsi="Calibri"/>
          <w:sz w:val="22"/>
        </w:rPr>
        <w:t>Memory usage grows linearly at approximately 2.1 MB per user model (dominated by the training buffer and StandardScaler). The Python service consumes approximately 1.05 GB of RAM at 500 concurrent active users — comfortably within the memory allocation of a single dedicated cloud server instance. Scoring latency remains under 3ms up to 100 concurrent users. For larger deployments, the Python microservice can be horizontally scaled across multiple instances using a shared filesystem or S3-compatible object store for model files.</w:t>
      </w:r>
    </w:p>
    <w:p>
      <w:pPr>
        <w:pStyle w:val="Heading2"/>
      </w:pPr>
      <w:r>
        <w:rPr>
          <w:rFonts w:ascii="Calibri" w:hAnsi="Calibri"/>
          <w:color w:val="2E74B5"/>
        </w:rPr>
        <w:t>10.6  Observed Limitations</w:t>
      </w:r>
    </w:p>
    <w:p>
      <w:pPr>
        <w:spacing w:after="120"/>
        <w:ind w:firstLine="425"/>
      </w:pPr>
      <w:r>
        <w:rPr>
          <w:rFonts w:ascii="Calibri" w:hAnsi="Calibri"/>
          <w:sz w:val="22"/>
        </w:rPr>
        <w:t>The cold start period — the first 10 sessions during which the system returns 'pending' results — represents a security gap when behavioral verification is the primary authentication factor. In BEHAVE-SEC's current design, this is mitigated by positioning behavioral verification as supplementary to password authentication during enrollment.</w:t>
      </w:r>
    </w:p>
    <w:p>
      <w:pPr>
        <w:spacing w:after="120"/>
        <w:ind w:firstLine="425"/>
      </w:pPr>
      <w:r>
        <w:rPr>
          <w:rFonts w:ascii="Calibri" w:hAnsi="Calibri"/>
          <w:sz w:val="22"/>
        </w:rPr>
        <w:t>Behavioral patterns can change legitimately due to physical injury (forcing different typing patterns), new hardware (different keyboard mechanics shift dwell and flight times significantly), fatigue or illness (degrading speed and accuracy), and emotional state (research shows stress and anxiety alter both typing rhythm and mouse movement). The Step-Up MFA pathway provides a safe but friction-introducing route for re-enrollment after such changes. A more sophisticated approach using temporal smoothing of the drift metric — computing similarity against a rolling window of recent sessions rather than the fixed master centroid — would allow gradual adaptation while still catching abrupt shifts.</w:t>
      </w:r>
    </w:p>
    <w:p>
      <w:pPr>
        <w:spacing w:after="120"/>
        <w:ind w:firstLine="425"/>
      </w:pPr>
      <w:r>
        <w:rPr>
          <w:rFonts w:ascii="Calibri" w:hAnsi="Calibri"/>
          <w:sz w:val="22"/>
        </w:rPr>
        <w:t>The system currently models behavioral profiles from a single primary device. Users who switch between a laptop keyboard and an external keyboard, a trackpad and a mouse, or desktop and mobile access may find secondary-device sessions score as anomalous. Addressing this requires either per-device model instances or device-invariant feature normalization isolating behavioral signal from device-specific calibration differences.</w:t>
      </w:r>
    </w:p>
    <w:p>
      <w:pPr>
        <w:pStyle w:val="Heading2"/>
      </w:pPr>
      <w:r>
        <w:rPr>
          <w:rFonts w:ascii="Calibri" w:hAnsi="Calibri"/>
          <w:color w:val="2E74B5"/>
        </w:rPr>
        <w:t>10.7  Comparison Against Published Benchmarks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569E"/>
          </w:tcPr>
          <w:p>
            <w:r/>
            <w:r>
              <w:rPr>
                <w:b/>
                <w:color w:val="FFFFFF"/>
                <w:sz w:val="20"/>
              </w:rPr>
              <w:t>System</w:t>
            </w:r>
          </w:p>
        </w:tc>
        <w:tc>
          <w:tcPr>
            <w:tcW w:type="dxa" w:w="1824"/>
            <w:shd w:val="clear" w:color="auto" w:fill="1A569E"/>
          </w:tcPr>
          <w:p>
            <w:r/>
            <w:r>
              <w:rPr>
                <w:b/>
                <w:color w:val="FFFFFF"/>
                <w:sz w:val="20"/>
              </w:rPr>
              <w:t>Modality</w:t>
            </w:r>
          </w:p>
        </w:tc>
        <w:tc>
          <w:tcPr>
            <w:tcW w:type="dxa" w:w="1824"/>
            <w:shd w:val="clear" w:color="auto" w:fill="1A569E"/>
          </w:tcPr>
          <w:p>
            <w:r/>
            <w:r>
              <w:rPr>
                <w:b/>
                <w:color w:val="FFFFFF"/>
                <w:sz w:val="20"/>
              </w:rPr>
              <w:t>Best Balanced Acc.</w:t>
            </w:r>
          </w:p>
        </w:tc>
        <w:tc>
          <w:tcPr>
            <w:tcW w:type="dxa" w:w="1824"/>
            <w:shd w:val="clear" w:color="auto" w:fill="1A569E"/>
          </w:tcPr>
          <w:p>
            <w:r/>
            <w:r>
              <w:rPr>
                <w:b/>
                <w:color w:val="FFFFFF"/>
                <w:sz w:val="20"/>
              </w:rPr>
              <w:t>FRR</w:t>
            </w:r>
          </w:p>
        </w:tc>
        <w:tc>
          <w:tcPr>
            <w:tcW w:type="dxa" w:w="1824"/>
            <w:shd w:val="clear" w:color="auto" w:fill="1A569E"/>
          </w:tcPr>
          <w:p>
            <w:r/>
            <w:r>
              <w:rPr>
                <w:b/>
                <w:color w:val="FFFFFF"/>
                <w:sz w:val="20"/>
              </w:rPr>
              <w:t>FAR</w:t>
            </w:r>
          </w:p>
        </w:tc>
      </w:tr>
      <w:tr>
        <w:tc>
          <w:tcPr>
            <w:tcW w:type="dxa" w:w="1824"/>
            <w:shd w:val="clear" w:color="auto" w:fill="DCE6F1"/>
          </w:tcPr>
          <w:p>
            <w:r/>
            <w:r>
              <w:rPr>
                <w:rFonts w:ascii="Courier New" w:hAnsi="Courier New"/>
                <w:sz w:val="20"/>
              </w:rPr>
              <w:t>Killourhy &amp; Maxion (2009) — best algorithm</w:t>
            </w:r>
          </w:p>
        </w:tc>
        <w:tc>
          <w:tcPr>
            <w:tcW w:type="dxa" w:w="1824"/>
            <w:shd w:val="clear" w:color="auto" w:fill="DCE6F1"/>
          </w:tcPr>
          <w:p>
            <w:r/>
            <w:r>
              <w:rPr>
                <w:sz w:val="20"/>
              </w:rPr>
              <w:t>Keyboard only</w:t>
            </w:r>
          </w:p>
        </w:tc>
        <w:tc>
          <w:tcPr>
            <w:tcW w:type="dxa" w:w="1824"/>
            <w:shd w:val="clear" w:color="auto" w:fill="DCE6F1"/>
          </w:tcPr>
          <w:p>
            <w:r/>
            <w:r>
              <w:rPr>
                <w:sz w:val="20"/>
              </w:rPr>
              <w:t>88.3%</w:t>
            </w:r>
          </w:p>
        </w:tc>
        <w:tc>
          <w:tcPr>
            <w:tcW w:type="dxa" w:w="1824"/>
            <w:shd w:val="clear" w:color="auto" w:fill="DCE6F1"/>
          </w:tcPr>
          <w:p>
            <w:r/>
            <w:r>
              <w:rPr>
                <w:sz w:val="20"/>
              </w:rPr>
              <w:t>11.7%</w:t>
            </w:r>
          </w:p>
        </w:tc>
        <w:tc>
          <w:tcPr>
            <w:tcW w:type="dxa" w:w="1824"/>
            <w:shd w:val="clear" w:color="auto" w:fill="DCE6F1"/>
          </w:tcPr>
          <w:p>
            <w:r/>
            <w:r>
              <w:rPr>
                <w:sz w:val="20"/>
              </w:rPr>
              <w:t>11.7%</w:t>
            </w:r>
          </w:p>
        </w:tc>
      </w:tr>
      <w:tr>
        <w:tc>
          <w:tcPr>
            <w:tcW w:type="dxa" w:w="1824"/>
            <w:shd w:val="clear" w:color="auto" w:fill="FFFFFF"/>
          </w:tcPr>
          <w:p>
            <w:r/>
            <w:r>
              <w:rPr>
                <w:rFonts w:ascii="Courier New" w:hAnsi="Courier New"/>
                <w:sz w:val="20"/>
              </w:rPr>
              <w:t>Shen et al. (2012) — mouse only</w:t>
            </w:r>
          </w:p>
        </w:tc>
        <w:tc>
          <w:tcPr>
            <w:tcW w:type="dxa" w:w="1824"/>
            <w:shd w:val="clear" w:color="auto" w:fill="FFFFFF"/>
          </w:tcPr>
          <w:p>
            <w:r/>
            <w:r>
              <w:rPr>
                <w:sz w:val="20"/>
              </w:rPr>
              <w:t>Mouse only</w:t>
            </w:r>
          </w:p>
        </w:tc>
        <w:tc>
          <w:tcPr>
            <w:tcW w:type="dxa" w:w="1824"/>
            <w:shd w:val="clear" w:color="auto" w:fill="FFFFFF"/>
          </w:tcPr>
          <w:p>
            <w:r/>
            <w:r>
              <w:rPr>
                <w:sz w:val="20"/>
              </w:rPr>
              <w:t>85.1%</w:t>
            </w:r>
          </w:p>
        </w:tc>
        <w:tc>
          <w:tcPr>
            <w:tcW w:type="dxa" w:w="1824"/>
            <w:shd w:val="clear" w:color="auto" w:fill="FFFFFF"/>
          </w:tcPr>
          <w:p>
            <w:r/>
            <w:r>
              <w:rPr>
                <w:sz w:val="20"/>
              </w:rPr>
              <w:t>14.9%</w:t>
            </w:r>
          </w:p>
        </w:tc>
        <w:tc>
          <w:tcPr>
            <w:tcW w:type="dxa" w:w="1824"/>
            <w:shd w:val="clear" w:color="auto" w:fill="FFFFFF"/>
          </w:tcPr>
          <w:p>
            <w:r/>
            <w:r>
              <w:rPr>
                <w:sz w:val="20"/>
              </w:rPr>
              <w:t>14.9%</w:t>
            </w:r>
          </w:p>
        </w:tc>
      </w:tr>
      <w:tr>
        <w:tc>
          <w:tcPr>
            <w:tcW w:type="dxa" w:w="1824"/>
            <w:shd w:val="clear" w:color="auto" w:fill="DCE6F1"/>
          </w:tcPr>
          <w:p>
            <w:r/>
            <w:r>
              <w:rPr>
                <w:rFonts w:ascii="Courier New" w:hAnsi="Courier New"/>
                <w:sz w:val="20"/>
              </w:rPr>
              <w:t>Ahmed &amp; Traore (2007)</w:t>
            </w:r>
          </w:p>
        </w:tc>
        <w:tc>
          <w:tcPr>
            <w:tcW w:type="dxa" w:w="1824"/>
            <w:shd w:val="clear" w:color="auto" w:fill="DCE6F1"/>
          </w:tcPr>
          <w:p>
            <w:r/>
            <w:r>
              <w:rPr>
                <w:sz w:val="20"/>
              </w:rPr>
              <w:t>Mouse only</w:t>
            </w:r>
          </w:p>
        </w:tc>
        <w:tc>
          <w:tcPr>
            <w:tcW w:type="dxa" w:w="1824"/>
            <w:shd w:val="clear" w:color="auto" w:fill="DCE6F1"/>
          </w:tcPr>
          <w:p>
            <w:r/>
            <w:r>
              <w:rPr>
                <w:sz w:val="20"/>
              </w:rPr>
              <w:t>82.4%</w:t>
            </w:r>
          </w:p>
        </w:tc>
        <w:tc>
          <w:tcPr>
            <w:tcW w:type="dxa" w:w="1824"/>
            <w:shd w:val="clear" w:color="auto" w:fill="DCE6F1"/>
          </w:tcPr>
          <w:p>
            <w:r/>
            <w:r>
              <w:rPr>
                <w:sz w:val="20"/>
              </w:rPr>
              <w:t>17.6%</w:t>
            </w:r>
          </w:p>
        </w:tc>
        <w:tc>
          <w:tcPr>
            <w:tcW w:type="dxa" w:w="1824"/>
            <w:shd w:val="clear" w:color="auto" w:fill="DCE6F1"/>
          </w:tcPr>
          <w:p>
            <w:r/>
            <w:r>
              <w:rPr>
                <w:sz w:val="20"/>
              </w:rPr>
              <w:t>17.6%</w:t>
            </w:r>
          </w:p>
        </w:tc>
      </w:tr>
      <w:tr>
        <w:tc>
          <w:tcPr>
            <w:tcW w:type="dxa" w:w="1824"/>
            <w:shd w:val="clear" w:color="auto" w:fill="FFFFFF"/>
          </w:tcPr>
          <w:p>
            <w:r/>
            <w:r>
              <w:rPr>
                <w:rFonts w:ascii="Courier New" w:hAnsi="Courier New"/>
                <w:sz w:val="20"/>
              </w:rPr>
              <w:t>Typical commercial OCSVM system</w:t>
            </w:r>
          </w:p>
        </w:tc>
        <w:tc>
          <w:tcPr>
            <w:tcW w:type="dxa" w:w="1824"/>
            <w:shd w:val="clear" w:color="auto" w:fill="FFFFFF"/>
          </w:tcPr>
          <w:p>
            <w:r/>
            <w:r>
              <w:rPr>
                <w:sz w:val="20"/>
              </w:rPr>
              <w:t>Keyboard only</w:t>
            </w:r>
          </w:p>
        </w:tc>
        <w:tc>
          <w:tcPr>
            <w:tcW w:type="dxa" w:w="1824"/>
            <w:shd w:val="clear" w:color="auto" w:fill="FFFFFF"/>
          </w:tcPr>
          <w:p>
            <w:r/>
            <w:r>
              <w:rPr>
                <w:sz w:val="20"/>
              </w:rPr>
              <w:t>~91%</w:t>
            </w:r>
          </w:p>
        </w:tc>
        <w:tc>
          <w:tcPr>
            <w:tcW w:type="dxa" w:w="1824"/>
            <w:shd w:val="clear" w:color="auto" w:fill="FFFFFF"/>
          </w:tcPr>
          <w:p>
            <w:r/>
            <w:r>
              <w:rPr>
                <w:sz w:val="20"/>
              </w:rPr>
              <w:t>Varies</w:t>
            </w:r>
          </w:p>
        </w:tc>
        <w:tc>
          <w:tcPr>
            <w:tcW w:type="dxa" w:w="1824"/>
            <w:shd w:val="clear" w:color="auto" w:fill="FFFFFF"/>
          </w:tcPr>
          <w:p>
            <w:r/>
            <w:r>
              <w:rPr>
                <w:sz w:val="20"/>
              </w:rPr>
              <w:t>Varies</w:t>
            </w:r>
          </w:p>
        </w:tc>
      </w:tr>
      <w:tr>
        <w:tc>
          <w:tcPr>
            <w:tcW w:type="dxa" w:w="1824"/>
            <w:shd w:val="clear" w:color="auto" w:fill="DCE6F1"/>
          </w:tcPr>
          <w:p>
            <w:r/>
            <w:r>
              <w:rPr>
                <w:rFonts w:ascii="Courier New" w:hAnsi="Courier New"/>
                <w:sz w:val="20"/>
              </w:rPr>
              <w:t>BEHAVE-SEC (multimodal)</w:t>
            </w:r>
          </w:p>
        </w:tc>
        <w:tc>
          <w:tcPr>
            <w:tcW w:type="dxa" w:w="1824"/>
            <w:shd w:val="clear" w:color="auto" w:fill="DCE6F1"/>
          </w:tcPr>
          <w:p>
            <w:r/>
            <w:r>
              <w:rPr>
                <w:sz w:val="20"/>
              </w:rPr>
              <w:t>Keyboard + Mouse</w:t>
            </w:r>
          </w:p>
        </w:tc>
        <w:tc>
          <w:tcPr>
            <w:tcW w:type="dxa" w:w="1824"/>
            <w:shd w:val="clear" w:color="auto" w:fill="DCE6F1"/>
          </w:tcPr>
          <w:p>
            <w:r/>
            <w:r>
              <w:rPr>
                <w:sz w:val="20"/>
              </w:rPr>
              <w:t>96.1%</w:t>
            </w:r>
          </w:p>
        </w:tc>
        <w:tc>
          <w:tcPr>
            <w:tcW w:type="dxa" w:w="1824"/>
            <w:shd w:val="clear" w:color="auto" w:fill="DCE6F1"/>
          </w:tcPr>
          <w:p>
            <w:r/>
            <w:r>
              <w:rPr>
                <w:sz w:val="20"/>
              </w:rPr>
              <w:t>0.0%</w:t>
            </w:r>
          </w:p>
        </w:tc>
        <w:tc>
          <w:tcPr>
            <w:tcW w:type="dxa" w:w="1824"/>
            <w:shd w:val="clear" w:color="auto" w:fill="DCE6F1"/>
          </w:tcPr>
          <w:p>
            <w:r/>
            <w:r>
              <w:rPr>
                <w:sz w:val="20"/>
              </w:rPr>
              <w:t>7.8%</w:t>
            </w:r>
          </w:p>
        </w:tc>
      </w:tr>
    </w:tbl>
    <w:p/>
    <w:p>
      <w:pPr>
        <w:spacing w:after="120"/>
        <w:ind w:firstLine="425"/>
      </w:pPr>
      <w:r>
        <w:rPr>
          <w:rFonts w:ascii="Calibri" w:hAnsi="Calibri"/>
          <w:sz w:val="22"/>
        </w:rPr>
        <w:t>The performance advantage is attributable primarily to multimodal feature fusion and the digraph feature group (features 16-21), which are absent from many published systems but account for the greatest individual discriminative contribution in BEHAVE-SEC's feature importance analysis.</w:t>
      </w:r>
    </w:p>
    <w:p>
      <w:r>
        <w:br w:type="page"/>
      </w:r>
    </w:p>
    <w:p>
      <w:pPr>
        <w:pStyle w:val="Heading1"/>
      </w:pPr>
      <w:r>
        <w:rPr>
          <w:rFonts w:ascii="Calibri" w:hAnsi="Calibri"/>
          <w:color w:val="1A569E"/>
        </w:rPr>
        <w:t>Chapter 11 — Conclusion &amp; Future Work</w:t>
      </w:r>
    </w:p>
    <w:p>
      <w:r>
        <w:rPr>
          <w:i/>
          <w:color w:val="888888"/>
          <w:sz w:val="20"/>
        </w:rPr>
        <w:t>Page 50</w:t>
      </w:r>
    </w:p>
    <w:p/>
    <w:p>
      <w:pPr>
        <w:pStyle w:val="Heading2"/>
      </w:pPr>
      <w:r>
        <w:rPr>
          <w:rFonts w:ascii="Calibri" w:hAnsi="Calibri"/>
          <w:color w:val="2E74B5"/>
        </w:rPr>
        <w:t>11.1  Summary of Work</w:t>
      </w:r>
    </w:p>
    <w:p>
      <w:pPr>
        <w:spacing w:after="120"/>
        <w:ind w:firstLine="425"/>
      </w:pPr>
      <w:r>
        <w:rPr>
          <w:rFonts w:ascii="Calibri" w:hAnsi="Calibri"/>
          <w:sz w:val="22"/>
        </w:rPr>
        <w:t>This report has documented the complete design, implementation, and validation of BEHAVE-SEC — a full-stack behavioral biometrics authentication system that verifies user identity through continuous, passive analysis of how people type and move their mouse, rather than what they know or carry. The work began from the observation that traditional password authentication is structurally incapable of defending against the most prevalent modern attack vectors. The solution is a behavioral fingerprinting system that identifies each user by their unique, sub-conscious interaction patterns — patterns that are effectively impossible to steal, share, or replicate.</w:t>
      </w:r>
    </w:p>
    <w:p>
      <w:pPr>
        <w:spacing w:after="120"/>
        <w:ind w:firstLine="425"/>
      </w:pPr>
      <w:r>
        <w:rPr>
          <w:rFonts w:ascii="Calibri" w:hAnsi="Calibri"/>
          <w:sz w:val="22"/>
        </w:rPr>
        <w:t>The system was built as a production-grade, multi-tier application comprising a Python FastAPI ML microservice, a C# ASP.NET Core 8 gateway API, and a vanilla HTML/CSS/JS frontend. The ML core extracts a 28-dimensional behavioral feature vector from raw browser events and scores it against a per-user OneClassSVM model validated at 96% balanced accuracy with 100% owner acceptance and 92% intruder rejection. Parallel bot detection provides near-complete coverage against automated agents. An active learning feedback loop enables continuous accuracy improvement. A behavioral drift protection mechanism defends against model poisoning.</w:t>
      </w:r>
    </w:p>
    <w:p>
      <w:pPr>
        <w:pStyle w:val="Heading2"/>
      </w:pPr>
      <w:r>
        <w:rPr>
          <w:rFonts w:ascii="Calibri" w:hAnsi="Calibri"/>
          <w:color w:val="2E74B5"/>
        </w:rPr>
        <w:t>11.2  Key Achievements</w:t>
      </w:r>
    </w:p>
    <w:p>
      <w:pPr>
        <w:pStyle w:val="ListBullet"/>
        <w:spacing w:after="60"/>
      </w:pPr>
      <w:r>
        <w:rPr>
          <w:sz w:val="22"/>
        </w:rPr>
        <w:t>28-feature multimodal behavioral fingerprinting combining keystroke dwell, inter-key intervals, digraph timing, mouse speed, acceleration, path curvature, click intervals, and click precision.</w:t>
      </w:r>
    </w:p>
    <w:p>
      <w:pPr>
        <w:pStyle w:val="ListBullet"/>
        <w:spacing w:after="60"/>
      </w:pPr>
      <w:r>
        <w:rPr>
          <w:sz w:val="22"/>
        </w:rPr>
        <w:t>Per-user One-Class SVM at 96.1% balanced accuracy — rigorously tuned via grid-search with a validated calibrated sigmoid decision boundary.</w:t>
      </w:r>
    </w:p>
    <w:p>
      <w:pPr>
        <w:pStyle w:val="ListBullet"/>
        <w:spacing w:after="60"/>
      </w:pPr>
      <w:r>
        <w:rPr>
          <w:sz w:val="22"/>
        </w:rPr>
        <w:t>100% owner acceptance / 92.2% intruder rejection — zero false rejections of legitimate users at the selected operating threshold.</w:t>
      </w:r>
    </w:p>
    <w:p>
      <w:pPr>
        <w:pStyle w:val="ListBullet"/>
        <w:spacing w:after="60"/>
      </w:pPr>
      <w:r>
        <w:rPr>
          <w:sz w:val="22"/>
        </w:rPr>
        <w:t>Zero-day bot detection via kinematic analysis — 100% detection rate on linear-trajectory bots with zero false positives on human users, requiring no training data.</w:t>
      </w:r>
    </w:p>
    <w:p>
      <w:pPr>
        <w:pStyle w:val="ListBullet"/>
        <w:spacing w:after="60"/>
      </w:pPr>
      <w:r>
        <w:rPr>
          <w:sz w:val="22"/>
        </w:rPr>
        <w:t>Active learning feedback loop demonstrating monotonic accuracy improvement from 88.3% to 97.4% balanced accuracy across 35 feedback sessions.</w:t>
      </w:r>
    </w:p>
    <w:p>
      <w:pPr>
        <w:pStyle w:val="ListBullet"/>
        <w:spacing w:after="60"/>
      </w:pPr>
      <w:r>
        <w:rPr>
          <w:sz w:val="22"/>
        </w:rPr>
        <w:t>Poisoning-attack resistance via cosine similarity drift detection with 100% poisoning attempt detection on clearly distinct behavioral profiles, backed by Step-Up MFA escalation.</w:t>
      </w:r>
    </w:p>
    <w:p>
      <w:pPr>
        <w:pStyle w:val="ListBullet"/>
        <w:spacing w:after="60"/>
      </w:pPr>
      <w:r>
        <w:rPr>
          <w:sz w:val="22"/>
        </w:rPr>
        <w:t>Full-stack production-ready deployment — JWT authentication, SignalR real-time communication, SQLite persistence, Render.com cloud configuration, and PowerShell launch automation.</w:t>
      </w:r>
    </w:p>
    <w:p>
      <w:pPr>
        <w:pStyle w:val="Heading2"/>
      </w:pPr>
      <w:r>
        <w:rPr>
          <w:rFonts w:ascii="Calibri" w:hAnsi="Calibri"/>
          <w:color w:val="2E74B5"/>
        </w:rPr>
        <w:t>11.3  Future Work</w:t>
      </w:r>
    </w:p>
    <w:p>
      <w:pPr>
        <w:spacing w:after="120"/>
        <w:ind w:firstLine="425"/>
      </w:pPr>
      <w:r>
        <w:rPr>
          <w:rFonts w:ascii="Calibri" w:hAnsi="Calibri"/>
          <w:sz w:val="22"/>
        </w:rPr>
        <w:t>Mobile Behavioral Biometrics: Extending the system to capture touchscreen interaction data — swipe velocity, touch pressure, gesture curvature, gyroscope and accelerometer readings during device handling — would enable behavioral authentication on smartphones and tablets. Mobile behavioral biometrics presents distinct challenges including device orientation, grip, and hand size effects that must be normalized before comparison.</w:t>
      </w:r>
    </w:p>
    <w:p>
      <w:pPr>
        <w:spacing w:after="120"/>
        <w:ind w:firstLine="425"/>
      </w:pPr>
      <w:r>
        <w:rPr>
          <w:rFonts w:ascii="Calibri" w:hAnsi="Calibri"/>
          <w:sz w:val="22"/>
        </w:rPr>
        <w:t>Federated Learning for Privacy-Preserving Enrollment: A federated approach would train the personal model locally on the user's device, transmitting only model parameter updates rather than raw behavioral data to the server. This would dramatically reduce the privacy risk of the system while enabling the server to aggregate population-level improvements to the global baseline model.</w:t>
      </w:r>
    </w:p>
    <w:p>
      <w:pPr>
        <w:spacing w:after="120"/>
        <w:ind w:firstLine="425"/>
      </w:pPr>
      <w:r>
        <w:rPr>
          <w:rFonts w:ascii="Calibri" w:hAnsi="Calibri"/>
          <w:sz w:val="22"/>
        </w:rPr>
        <w:t>Differential Privacy Mechanisms: Adding calibrated Gaussian noise to feature vectors before storage following the framework of Dwork et al. (2006) would formalize the system's privacy guarantees against re-identification and inference attacks, with a quantifiable privacy budget expressed as epsilon-differential privacy.</w:t>
      </w:r>
    </w:p>
    <w:p>
      <w:pPr>
        <w:spacing w:after="120"/>
        <w:ind w:firstLine="425"/>
      </w:pPr>
      <w:r>
        <w:rPr>
          <w:rFonts w:ascii="Calibri" w:hAnsi="Calibri"/>
          <w:sz w:val="22"/>
        </w:rPr>
        <w:t>Larger and More Diverse Global Baseline Dataset: The current global human baseline model would benefit significantly from training on a demographically diverse dataset spanning different age groups, nationalities, keyboard types, and motor ability profiles, to improve bot detection robustness across underrepresented user populations.</w:t>
      </w:r>
    </w:p>
    <w:p>
      <w:pPr>
        <w:spacing w:after="120"/>
        <w:ind w:firstLine="425"/>
      </w:pPr>
      <w:r>
        <w:rPr>
          <w:rFonts w:ascii="Calibri" w:hAnsi="Calibri"/>
          <w:sz w:val="22"/>
        </w:rPr>
        <w:t>Explainability Dashboard: A SHAP or LIME integration would make the model's decisions transparent to security analysts — showing which behavioral features drove an anomaly flag, enabling them to distinguish genuine intruder behavior from legitimate behavioral change, and allowing threshold tuning for specific deployment contexts.</w:t>
      </w:r>
    </w:p>
    <w:p>
      <w:pPr>
        <w:spacing w:after="120"/>
        <w:ind w:firstLine="425"/>
      </w:pPr>
      <w:r>
        <w:rPr>
          <w:rFonts w:ascii="Calibri" w:hAnsi="Calibri"/>
          <w:sz w:val="22"/>
        </w:rPr>
        <w:t>FIDO2/WebAuthn Integration: Integrating BEHAVE-SEC's behavioral verification as an additional assurance layer within a FIDO2 authentication ceremony would combine phishing-resistance with continuous monitoring — a security posture stronger than either approach alone.</w:t>
      </w:r>
    </w:p>
    <w:p>
      <w:pPr>
        <w:spacing w:after="120"/>
        <w:ind w:firstLine="425"/>
      </w:pPr>
      <w:r>
        <w:rPr>
          <w:rFonts w:ascii="Calibri" w:hAnsi="Calibri"/>
          <w:sz w:val="22"/>
        </w:rPr>
        <w:t>Real-Time Adaptive Thresholds: Context-aware thresholds adjusting based on the risk level of the requested action — relaxed for read-only operations, tightened for financial transactions — mirror the approach used in modern banking fraud detection systems. Real-time continuous re-authentication scoring behavioral data in rolling windows throughout sessions, rather than at explicit session boundaries, would detect mid-session account takeovers that current point-in-time scoring cannot.</w:t>
      </w:r>
    </w:p>
    <w:p>
      <w:pPr>
        <w:pStyle w:val="Heading2"/>
      </w:pPr>
      <w:r>
        <w:rPr>
          <w:rFonts w:ascii="Calibri" w:hAnsi="Calibri"/>
          <w:color w:val="2E74B5"/>
        </w:rPr>
        <w:t>11.4  Final Remarks</w:t>
      </w:r>
    </w:p>
    <w:p>
      <w:pPr>
        <w:spacing w:after="120"/>
        <w:ind w:firstLine="425"/>
      </w:pPr>
      <w:r>
        <w:rPr>
          <w:rFonts w:ascii="Calibri" w:hAnsi="Calibri"/>
          <w:sz w:val="22"/>
        </w:rPr>
        <w:t>BEHAVE-SEC represents a meaningful step toward the vision of frictionless, continuous, privacy-preserving identity verification. It demonstrates that behavioral biometrics can be implemented as a practical, production-ready system — not just a theoretical construct or research prototype — using widely available open-source tools and standard web technologies built by a single developer.</w:t>
      </w:r>
    </w:p>
    <w:p>
      <w:pPr>
        <w:spacing w:after="120"/>
        <w:ind w:firstLine="425"/>
      </w:pPr>
      <w:r>
        <w:rPr>
          <w:rFonts w:ascii="Calibri" w:hAnsi="Calibri"/>
          <w:sz w:val="22"/>
        </w:rPr>
        <w:t>The system's most compelling property is its transparency to legitimate users. The presence of the behavioral layer is felt only when something is wrong — when an adversary has obtained credentials and is actively misusing them. For the legitimate user going about their normal work, BEHAVE-SEC is completely invisible, adding no friction, no extra steps, and no additional cognitive load.</w:t>
      </w:r>
    </w:p>
    <w:p>
      <w:pPr>
        <w:spacing w:after="120"/>
        <w:ind w:firstLine="425"/>
      </w:pPr>
      <w:r>
        <w:rPr>
          <w:rFonts w:ascii="Calibri" w:hAnsi="Calibri"/>
          <w:sz w:val="22"/>
        </w:rPr>
        <w:t>In a threat landscape where passwords are routinely compromised and MFA fatigue is a recognized attack vector, passive behavioral authentication offers a fundamentally different approach: make the authentication inseparable from the interaction itself, so that there is nothing for the attacker to steal, intercept, or trick the user into approving.</w:t>
      </w:r>
    </w:p>
    <w:p/>
    <w:p/>
    <w:p>
      <w:pPr>
        <w:jc w:val="center"/>
      </w:pPr>
      <w:r>
        <w:rPr>
          <w:i/>
          <w:color w:val="2E74B5"/>
          <w:sz w:val="22"/>
        </w:rPr>
        <w:t>BEHAVE-SEC  |  Behavioral Intelligence for a Safer Digital World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