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color="auto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160"/>
              <w:jc w:val="center"/>
            </w:pPr>
            <w:r>
              <w:rPr>
                <w:b/>
                <w:bCs/>
                <w:color w:val="C7D2FE"/>
                <w:sz w:val="18"/>
                <w:szCs w:val="18"/>
              </w:rPr>
              <w:t xml:space="preserve">DELIVERY ANALYTICS STUDIO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Turn delayed shipments into a clear, explainable story.</w:t>
            </w:r>
          </w:p>
          <w:p>
            <w:pPr>
              <w:jc w:val="center"/>
            </w:pPr>
            <w:r>
              <w:rPr>
                <w:color w:val="E0E7FF"/>
                <w:sz w:val="21"/>
                <w:szCs w:val="21"/>
              </w:rPr>
              <w:t xml:space="preserve">Explore city risk, warehouse friction, and customer sentiment with a more intuitive view of what is causing delivery friction.</w:t>
            </w:r>
          </w:p>
        </w:tc>
      </w:tr>
    </w:tbl>
    <w:p>
      <w:pPr>
        <w:spacing w:after="60" w:before="240"/>
        <w:jc w:val="center"/>
      </w:pPr>
      <w:r>
        <w:rPr>
          <w:color w:val="64748b"/>
          <w:sz w:val="19"/>
          <w:szCs w:val="19"/>
        </w:rPr>
        <w:t xml:space="preserve">Applied filters — </w:t>
      </w:r>
      <w:r>
        <w:rPr>
          <w:b/>
          <w:bCs/>
          <w:color w:val="2563eb"/>
          <w:sz w:val="19"/>
          <w:szCs w:val="19"/>
        </w:rPr>
        <w:t xml:space="preserve">City: All</w:t>
      </w:r>
      <w:r>
        <w:rPr>
          <w:sz w:val="19"/>
          <w:szCs w:val="19"/>
        </w:rPr>
        <w:t xml:space="preserve">    </w:t>
      </w:r>
      <w:r>
        <w:rPr>
          <w:b/>
          <w:bCs/>
          <w:color w:val="9333EA"/>
          <w:sz w:val="19"/>
          <w:szCs w:val="19"/>
        </w:rPr>
        <w:t xml:space="preserve">Client: All</w:t>
      </w:r>
      <w:r>
        <w:rPr>
          <w:sz w:val="19"/>
          <w:szCs w:val="19"/>
        </w:rPr>
        <w:t xml:space="preserve">    </w:t>
      </w:r>
      <w:r>
        <w:rPr>
          <w:b/>
          <w:bCs/>
          <w:color w:val="16A34A"/>
          <w:sz w:val="19"/>
          <w:szCs w:val="19"/>
        </w:rPr>
        <w:t xml:space="preserve">Warehouse: All</w:t>
      </w:r>
    </w:p>
    <w:p>
      <w:pPr>
        <w:spacing w:after="8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color w:val="64748b"/>
                <w:sz w:val="18"/>
                <w:szCs w:val="18"/>
              </w:rPr>
              <w:t xml:space="preserve">Total orders</w:t>
            </w:r>
          </w:p>
          <w:p>
            <w:pPr>
              <w:jc w:val="center"/>
            </w:pPr>
            <w:r>
              <w:rPr>
                <w:b/>
                <w:bCs/>
                <w:color w:val="0f172a"/>
                <w:sz w:val="30"/>
                <w:szCs w:val="30"/>
              </w:rPr>
              <w:t xml:space="preserve">10,000</w:t>
            </w:r>
          </w:p>
        </w:tc>
        <w:tc>
          <w:tcPr>
            <w:tcW w:type="dxa" w:w="2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color w:val="64748b"/>
                <w:sz w:val="18"/>
                <w:szCs w:val="18"/>
              </w:rPr>
              <w:t xml:space="preserve">Incidents flagged</w:t>
            </w:r>
          </w:p>
          <w:p>
            <w:pPr>
              <w:jc w:val="center"/>
            </w:pPr>
            <w:r>
              <w:rPr>
                <w:b/>
                <w:bCs/>
                <w:color w:val="0f172a"/>
                <w:sz w:val="30"/>
                <w:szCs w:val="30"/>
              </w:rPr>
              <w:t xml:space="preserve">5,207</w:t>
            </w:r>
          </w:p>
        </w:tc>
        <w:tc>
          <w:tcPr>
            <w:tcW w:type="dxa" w:w="2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color w:val="64748b"/>
                <w:sz w:val="18"/>
                <w:szCs w:val="18"/>
              </w:rPr>
              <w:t xml:space="preserve">Failure rate</w:t>
            </w:r>
          </w:p>
          <w:p>
            <w:pPr>
              <w:jc w:val="center"/>
            </w:pPr>
            <w:r>
              <w:rPr>
                <w:b/>
                <w:bCs/>
                <w:color w:val="0f172a"/>
                <w:sz w:val="30"/>
                <w:szCs w:val="30"/>
              </w:rPr>
              <w:t xml:space="preserve">52.1%</w:t>
            </w:r>
          </w:p>
        </w:tc>
        <w:tc>
          <w:tcPr>
            <w:tcW w:type="dxa" w:w="2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color w:val="64748b"/>
                <w:sz w:val="18"/>
                <w:szCs w:val="18"/>
              </w:rPr>
              <w:t xml:space="preserve">Active warehouses</w:t>
            </w:r>
          </w:p>
          <w:p>
            <w:pPr>
              <w:jc w:val="center"/>
            </w:pPr>
            <w:r>
              <w:rPr>
                <w:b/>
                <w:bCs/>
                <w:color w:val="0f172a"/>
                <w:sz w:val="30"/>
                <w:szCs w:val="30"/>
              </w:rPr>
              <w:t xml:space="preserve">50</w:t>
            </w:r>
          </w:p>
        </w:tc>
      </w:tr>
    </w:tbl>
    <w:p>
      <w:pPr>
        <w:spacing w:after="8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color="auto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60"/>
            </w:pPr>
            <w:r>
              <w:rPr>
                <w:b/>
                <w:bCs/>
                <w:color w:val="6366F1"/>
                <w:sz w:val="17"/>
                <w:szCs w:val="17"/>
              </w:rPr>
              <w:t xml:space="preserve">WHAT THE DATA SAYS</w:t>
            </w:r>
          </w:p>
          <w:p>
            <w:pPr>
              <w:spacing w:after="140"/>
            </w:pPr>
            <w:r>
              <w:rPr>
                <w:b/>
                <w:bCs/>
                <w:color w:val="0f172a"/>
                <w:sz w:val="27"/>
                <w:szCs w:val="27"/>
              </w:rPr>
              <w:t xml:space="preserve">A sharper read on the delay story</w:t>
            </w:r>
          </w:p>
          <w:p>
            <w:pPr>
              <w:spacing w:after="200"/>
            </w:pPr>
            <w:r>
              <w:rPr>
                <w:color w:val="334155"/>
                <w:sz w:val="21"/>
                <w:szCs w:val="21"/>
              </w:rPr>
              <w:t xml:space="preserve">New Delhi is the highest-risk corridor at 51.8% delay exposure. Unknown Operational Delay is the dominant trigger with 670 visible incidents. Warehouse Warehouse 36 is carrying the loudest bottleneck. Fog / Heavy / Holiday is the clearest environmental signal.</w:t>
            </w:r>
          </w:p>
          <w:p>
            <w:pPr>
              <w:spacing w:after="100"/>
              <w:ind w:left="20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•  </w:t>
            </w:r>
            <w:r>
              <w:rPr>
                <w:color w:val="2563eb"/>
                <w:sz w:val="20"/>
                <w:szCs w:val="20"/>
              </w:rPr>
              <w:t xml:space="preserve">Prioritize unknown operational delay with proactive dispatch checks and customer notifications.</w:t>
            </w:r>
          </w:p>
          <w:p>
            <w:pPr>
              <w:spacing w:after="100"/>
              <w:ind w:left="20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•  </w:t>
            </w:r>
            <w:r>
              <w:rPr>
                <w:color w:val="2563eb"/>
                <w:sz w:val="20"/>
                <w:szCs w:val="20"/>
              </w:rPr>
              <w:t xml:space="preserve">Rebalance staffing around Warehouse 36 and tighten pick/pack SLAs.</w:t>
            </w:r>
          </w:p>
          <w:p>
            <w:pPr>
              <w:spacing w:after="100"/>
              <w:ind w:left="20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•  </w:t>
            </w:r>
            <w:r>
              <w:rPr>
                <w:color w:val="2563eb"/>
                <w:sz w:val="20"/>
                <w:szCs w:val="20"/>
              </w:rPr>
              <w:t xml:space="preserve">Create a city-specific recovery playbook for New Delhi during peak windows.</w:t>
            </w:r>
          </w:p>
        </w:tc>
      </w:tr>
    </w:tbl>
    <w:p>
      <w:pPr>
        <w:spacing w:after="60" w:before="400"/>
      </w:pPr>
      <w:r>
        <w:rPr>
          <w:b/>
          <w:bCs/>
          <w:color w:val="0f172a"/>
          <w:sz w:val="26"/>
          <w:szCs w:val="26"/>
        </w:rPr>
        <w:t xml:space="preserve">Delay reason breakdown</w:t>
      </w:r>
    </w:p>
    <w:p>
      <w:pPr>
        <w:spacing w:after="200"/>
      </w:pPr>
      <w:r>
        <w:rPr>
          <w:color w:val="64748b"/>
          <w:sz w:val="19"/>
          <w:szCs w:val="19"/>
        </w:rPr>
        <w:t xml:space="preserve">The strongest operational triggers behind the selected slice of orders.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5500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2563eb"/>
                <w:sz w:val="16"/>
                <w:szCs w:val="16"/>
              </w:rPr>
              <w:t xml:space="preserve">TABULAR</w:t>
            </w:r>
          </w:p>
          <w:tbl>
            <w:tblPr>
              <w:tblW w:type="dxa" w:w="5300"/>
              <w:tblBorders>
                <w:top w:val="single" w:color="E2E8F0" w:sz="2"/>
                <w:left w:val="single" w:color="E2E8F0" w:sz="2"/>
                <w:bottom w:val="single" w:color="E2E8F0" w:sz="2"/>
                <w:right w:val="single" w:color="E2E8F0" w:sz="2"/>
                <w:insideH w:val="single" w:color="E2E8F0" w:sz="2"/>
                <w:insideV w:val="single" w:color="E2E8F0" w:sz="2"/>
              </w:tblBorders>
            </w:tblPr>
            <w:tblGrid>
              <w:gridCol w:w="3604"/>
              <w:gridCol w:w="1696"/>
            </w:tblGrid>
            <w:tr>
              <w:trPr>
                <w:tblHeader/>
              </w:trPr>
              <w:tc>
                <w:tcPr>
                  <w:tcW w:type="dxa" w:w="3604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1E293B" w:color="auto" w:val="clear"/>
                  <w:tcMar>
                    <w:top w:type="dxa" w:w="140"/>
                    <w:left w:type="dxa" w:w="160"/>
                    <w:bottom w:type="dxa" w:w="14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Reason</w:t>
                  </w:r>
                </w:p>
              </w:tc>
              <w:tc>
                <w:tcPr>
                  <w:tcW w:type="dxa" w:w="1696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1E293B" w:color="auto" w:val="clear"/>
                  <w:tcMar>
                    <w:top w:type="dxa" w:w="140"/>
                    <w:left w:type="dxa" w:w="160"/>
                    <w:bottom w:type="dxa" w:w="140"/>
                    <w:right w:type="dxa" w:w="16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Incidents</w:t>
                  </w:r>
                </w:p>
              </w:tc>
            </w:tr>
            <w:tr>
              <w:tc>
                <w:tcPr>
                  <w:tcW w:type="dxa" w:w="3604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Unknown Operational Delay</w:t>
                  </w:r>
                </w:p>
              </w:tc>
              <w:tc>
                <w:tcPr>
                  <w:tcW w:type="dxa" w:w="1696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righ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670</w:t>
                  </w:r>
                </w:p>
              </w:tc>
            </w:tr>
            <w:tr>
              <w:tc>
                <w:tcPr>
                  <w:tcW w:type="dxa" w:w="3604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8FAFC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Fleet: Heavy congestion</w:t>
                  </w:r>
                </w:p>
              </w:tc>
              <w:tc>
                <w:tcPr>
                  <w:tcW w:type="dxa" w:w="1696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8FAFC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righ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530</w:t>
                  </w:r>
                </w:p>
              </w:tc>
            </w:tr>
            <w:tr>
              <w:tc>
                <w:tcPr>
                  <w:tcW w:type="dxa" w:w="3604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Fleet: Breakdown</w:t>
                  </w:r>
                </w:p>
              </w:tc>
              <w:tc>
                <w:tcPr>
                  <w:tcW w:type="dxa" w:w="1696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righ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506</w:t>
                  </w:r>
                </w:p>
              </w:tc>
            </w:tr>
            <w:tr>
              <w:tc>
                <w:tcPr>
                  <w:tcW w:type="dxa" w:w="3604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8FAFC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Fleet: Address not found</w:t>
                  </w:r>
                </w:p>
              </w:tc>
              <w:tc>
                <w:tcPr>
                  <w:tcW w:type="dxa" w:w="1696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8FAFC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righ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503</w:t>
                  </w:r>
                </w:p>
              </w:tc>
            </w:tr>
            <w:tr>
              <w:tc>
                <w:tcPr>
                  <w:tcW w:type="dxa" w:w="3604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Status: Stockout</w:t>
                  </w:r>
                </w:p>
              </w:tc>
              <w:tc>
                <w:tcPr>
                  <w:tcW w:type="dxa" w:w="1696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righ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425</w:t>
                  </w:r>
                </w:p>
              </w:tc>
            </w:tr>
            <w:tr>
              <w:tc>
                <w:tcPr>
                  <w:tcW w:type="dxa" w:w="3604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8FAFC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Status: Warehouse delay</w:t>
                  </w:r>
                </w:p>
              </w:tc>
              <w:tc>
                <w:tcPr>
                  <w:tcW w:type="dxa" w:w="1696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8FAFC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righ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422</w:t>
                  </w:r>
                </w:p>
              </w:tc>
            </w:tr>
          </w:tbl>
          <w:p/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9333EA"/>
                <w:sz w:val="16"/>
                <w:szCs w:val="16"/>
              </w:rPr>
              <w:t xml:space="preserve">GRAPHICAL</w:t>
            </w:r>
          </w:p>
          <w:p>
            <w:r>
              <w:drawing>
                <wp:inline distT="0" distB="0" distL="0" distR="0">
                  <wp:extent cx="2857500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400"/>
      </w:pPr>
      <w:r>
        <w:rPr>
          <w:b/>
          <w:bCs/>
          <w:color w:val="0f172a"/>
          <w:sz w:val="26"/>
          <w:szCs w:val="26"/>
        </w:rPr>
        <w:t xml:space="preserve">City disruption hotspots</w:t>
      </w:r>
    </w:p>
    <w:p>
      <w:pPr>
        <w:spacing w:after="200"/>
      </w:pPr>
      <w:r>
        <w:rPr>
          <w:color w:val="64748b"/>
          <w:sz w:val="19"/>
          <w:szCs w:val="19"/>
        </w:rPr>
        <w:t xml:space="preserve">The cities with the most concentrated delivery exposure.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5500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2563eb"/>
                <w:sz w:val="16"/>
                <w:szCs w:val="16"/>
              </w:rPr>
              <w:t xml:space="preserve">TABULAR</w:t>
            </w:r>
          </w:p>
          <w:tbl>
            <w:tblPr>
              <w:tblW w:type="dxa" w:w="5300"/>
              <w:tblBorders>
                <w:top w:val="single" w:color="E2E8F0" w:sz="2"/>
                <w:left w:val="single" w:color="E2E8F0" w:sz="2"/>
                <w:bottom w:val="single" w:color="E2E8F0" w:sz="2"/>
                <w:right w:val="single" w:color="E2E8F0" w:sz="2"/>
                <w:insideH w:val="single" w:color="E2E8F0" w:sz="2"/>
                <w:insideV w:val="single" w:color="E2E8F0" w:sz="2"/>
              </w:tblBorders>
            </w:tblPr>
            <w:tblGrid>
              <w:gridCol w:w="3180"/>
              <w:gridCol w:w="2120"/>
            </w:tblGrid>
            <w:tr>
              <w:trPr>
                <w:tblHeader/>
              </w:trPr>
              <w:tc>
                <w:tcPr>
                  <w:tcW w:type="dxa" w:w="318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1E293B" w:color="auto" w:val="clear"/>
                  <w:tcMar>
                    <w:top w:type="dxa" w:w="140"/>
                    <w:left w:type="dxa" w:w="160"/>
                    <w:bottom w:type="dxa" w:w="14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City</w:t>
                  </w:r>
                </w:p>
              </w:tc>
              <w:tc>
                <w:tcPr>
                  <w:tcW w:type="dxa" w:w="212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1E293B" w:color="auto" w:val="clear"/>
                  <w:tcMar>
                    <w:top w:type="dxa" w:w="140"/>
                    <w:left w:type="dxa" w:w="160"/>
                    <w:bottom w:type="dxa" w:w="140"/>
                    <w:right w:type="dxa" w:w="16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Failure rate</w:t>
                  </w:r>
                </w:p>
              </w:tc>
            </w:tr>
            <w:tr>
              <w:tc>
                <w:tcPr>
                  <w:tcW w:type="dxa" w:w="318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New Delhi</w:t>
                  </w:r>
                </w:p>
              </w:tc>
              <w:tc>
                <w:tcPr>
                  <w:tcW w:type="dxa" w:w="212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righ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51.8%</w:t>
                  </w:r>
                </w:p>
              </w:tc>
            </w:tr>
            <w:tr>
              <w:tc>
                <w:tcPr>
                  <w:tcW w:type="dxa" w:w="318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8FAFC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Mysuru</w:t>
                  </w:r>
                </w:p>
              </w:tc>
              <w:tc>
                <w:tcPr>
                  <w:tcW w:type="dxa" w:w="212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8FAFC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righ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53.5%</w:t>
                  </w:r>
                </w:p>
              </w:tc>
            </w:tr>
            <w:tr>
              <w:tc>
                <w:tcPr>
                  <w:tcW w:type="dxa" w:w="318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Ahmedabad</w:t>
                  </w:r>
                </w:p>
              </w:tc>
              <w:tc>
                <w:tcPr>
                  <w:tcW w:type="dxa" w:w="212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righ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51.5%</w:t>
                  </w:r>
                </w:p>
              </w:tc>
            </w:tr>
            <w:tr>
              <w:tc>
                <w:tcPr>
                  <w:tcW w:type="dxa" w:w="318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8FAFC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Surat</w:t>
                  </w:r>
                </w:p>
              </w:tc>
              <w:tc>
                <w:tcPr>
                  <w:tcW w:type="dxa" w:w="212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8FAFC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righ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54.6%</w:t>
                  </w:r>
                </w:p>
              </w:tc>
            </w:tr>
            <w:tr>
              <w:tc>
                <w:tcPr>
                  <w:tcW w:type="dxa" w:w="318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Coimbatore</w:t>
                  </w:r>
                </w:p>
              </w:tc>
              <w:tc>
                <w:tcPr>
                  <w:tcW w:type="dxa" w:w="212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righ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49.8%</w:t>
                  </w:r>
                </w:p>
              </w:tc>
            </w:tr>
            <w:tr>
              <w:tc>
                <w:tcPr>
                  <w:tcW w:type="dxa" w:w="318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8FAFC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Bengaluru</w:t>
                  </w:r>
                </w:p>
              </w:tc>
              <w:tc>
                <w:tcPr>
                  <w:tcW w:type="dxa" w:w="212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8FAFC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righ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50.9%</w:t>
                  </w:r>
                </w:p>
              </w:tc>
            </w:tr>
          </w:tbl>
          <w:p/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9333EA"/>
                <w:sz w:val="16"/>
                <w:szCs w:val="16"/>
              </w:rPr>
              <w:t xml:space="preserve">GRAPHICAL</w:t>
            </w:r>
          </w:p>
          <w:p>
            <w:r>
              <w:drawing>
                <wp:inline distT="0" distB="0" distL="0" distR="0">
                  <wp:extent cx="2857500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400"/>
      </w:pPr>
      <w:r>
        <w:rPr>
          <w:b/>
          <w:bCs/>
          <w:color w:val="0f172a"/>
          <w:sz w:val="26"/>
          <w:szCs w:val="26"/>
        </w:rPr>
        <w:t xml:space="preserve">Warehouse friction</w:t>
      </w:r>
    </w:p>
    <w:p>
      <w:pPr>
        <w:spacing w:after="200"/>
      </w:pPr>
      <w:r>
        <w:rPr>
          <w:color w:val="64748b"/>
          <w:sz w:val="19"/>
          <w:szCs w:val="19"/>
        </w:rPr>
        <w:t xml:space="preserve">The warehouses that are most tied to visible incidents.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5500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2563eb"/>
                <w:sz w:val="16"/>
                <w:szCs w:val="16"/>
              </w:rPr>
              <w:t xml:space="preserve">TABULAR</w:t>
            </w:r>
          </w:p>
          <w:tbl>
            <w:tblPr>
              <w:tblW w:type="dxa" w:w="5300"/>
              <w:tblBorders>
                <w:top w:val="single" w:color="E2E8F0" w:sz="2"/>
                <w:left w:val="single" w:color="E2E8F0" w:sz="2"/>
                <w:bottom w:val="single" w:color="E2E8F0" w:sz="2"/>
                <w:right w:val="single" w:color="E2E8F0" w:sz="2"/>
                <w:insideH w:val="single" w:color="E2E8F0" w:sz="2"/>
                <w:insideV w:val="single" w:color="E2E8F0" w:sz="2"/>
              </w:tblBorders>
            </w:tblPr>
            <w:tblGrid>
              <w:gridCol w:w="3180"/>
              <w:gridCol w:w="2120"/>
            </w:tblGrid>
            <w:tr>
              <w:trPr>
                <w:tblHeader/>
              </w:trPr>
              <w:tc>
                <w:tcPr>
                  <w:tcW w:type="dxa" w:w="318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1E293B" w:color="auto" w:val="clear"/>
                  <w:tcMar>
                    <w:top w:type="dxa" w:w="140"/>
                    <w:left w:type="dxa" w:w="160"/>
                    <w:bottom w:type="dxa" w:w="14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Warehouse</w:t>
                  </w:r>
                </w:p>
              </w:tc>
              <w:tc>
                <w:tcPr>
                  <w:tcW w:type="dxa" w:w="212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1E293B" w:color="auto" w:val="clear"/>
                  <w:tcMar>
                    <w:top w:type="dxa" w:w="140"/>
                    <w:left w:type="dxa" w:w="160"/>
                    <w:bottom w:type="dxa" w:w="140"/>
                    <w:right w:type="dxa" w:w="16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Incidents</w:t>
                  </w:r>
                </w:p>
              </w:tc>
            </w:tr>
            <w:tr>
              <w:tc>
                <w:tcPr>
                  <w:tcW w:type="dxa" w:w="318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Warehouse 36</w:t>
                  </w:r>
                </w:p>
              </w:tc>
              <w:tc>
                <w:tcPr>
                  <w:tcW w:type="dxa" w:w="212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righ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82</w:t>
                  </w:r>
                </w:p>
              </w:tc>
            </w:tr>
            <w:tr>
              <w:tc>
                <w:tcPr>
                  <w:tcW w:type="dxa" w:w="318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8FAFC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Warehouse 32</w:t>
                  </w:r>
                </w:p>
              </w:tc>
              <w:tc>
                <w:tcPr>
                  <w:tcW w:type="dxa" w:w="212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8FAFC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righ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81</w:t>
                  </w:r>
                </w:p>
              </w:tc>
            </w:tr>
            <w:tr>
              <w:tc>
                <w:tcPr>
                  <w:tcW w:type="dxa" w:w="318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Warehouse 34</w:t>
                  </w:r>
                </w:p>
              </w:tc>
              <w:tc>
                <w:tcPr>
                  <w:tcW w:type="dxa" w:w="212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righ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80</w:t>
                  </w:r>
                </w:p>
              </w:tc>
            </w:tr>
            <w:tr>
              <w:tc>
                <w:tcPr>
                  <w:tcW w:type="dxa" w:w="318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8FAFC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Warehouse 3</w:t>
                  </w:r>
                </w:p>
              </w:tc>
              <w:tc>
                <w:tcPr>
                  <w:tcW w:type="dxa" w:w="212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8FAFC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righ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78</w:t>
                  </w:r>
                </w:p>
              </w:tc>
            </w:tr>
            <w:tr>
              <w:tc>
                <w:tcPr>
                  <w:tcW w:type="dxa" w:w="318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Warehouse 28</w:t>
                  </w:r>
                </w:p>
              </w:tc>
              <w:tc>
                <w:tcPr>
                  <w:tcW w:type="dxa" w:w="212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righ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76</w:t>
                  </w:r>
                </w:p>
              </w:tc>
            </w:tr>
          </w:tbl>
          <w:p/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9333EA"/>
                <w:sz w:val="16"/>
                <w:szCs w:val="16"/>
              </w:rPr>
              <w:t xml:space="preserve">GRAPHICAL</w:t>
            </w:r>
          </w:p>
          <w:p>
            <w:r>
              <w:drawing>
                <wp:inline distT="0" distB="0" distL="0" distR="0">
                  <wp:extent cx="2857500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400"/>
      </w:pPr>
      <w:r>
        <w:rPr>
          <w:b/>
          <w:bCs/>
          <w:color w:val="0f172a"/>
          <w:sz w:val="26"/>
          <w:szCs w:val="26"/>
        </w:rPr>
        <w:t xml:space="preserve">Customer sentiment</w:t>
      </w:r>
    </w:p>
    <w:p>
      <w:pPr>
        <w:spacing w:after="200"/>
      </w:pPr>
      <w:r>
        <w:rPr>
          <w:color w:val="64748b"/>
          <w:sz w:val="19"/>
          <w:szCs w:val="19"/>
        </w:rPr>
        <w:t xml:space="preserve">The emotional tone of customer feedback connected to the current view.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5500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2563eb"/>
                <w:sz w:val="16"/>
                <w:szCs w:val="16"/>
              </w:rPr>
              <w:t xml:space="preserve">TABULAR</w:t>
            </w:r>
          </w:p>
          <w:tbl>
            <w:tblPr>
              <w:tblW w:type="dxa" w:w="5300"/>
              <w:tblBorders>
                <w:top w:val="single" w:color="E2E8F0" w:sz="2"/>
                <w:left w:val="single" w:color="E2E8F0" w:sz="2"/>
                <w:bottom w:val="single" w:color="E2E8F0" w:sz="2"/>
                <w:right w:val="single" w:color="E2E8F0" w:sz="2"/>
                <w:insideH w:val="single" w:color="E2E8F0" w:sz="2"/>
                <w:insideV w:val="single" w:color="E2E8F0" w:sz="2"/>
              </w:tblBorders>
            </w:tblPr>
            <w:tblGrid>
              <w:gridCol w:w="3180"/>
              <w:gridCol w:w="2120"/>
            </w:tblGrid>
            <w:tr>
              <w:trPr>
                <w:tblHeader/>
              </w:trPr>
              <w:tc>
                <w:tcPr>
                  <w:tcW w:type="dxa" w:w="318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1E293B" w:color="auto" w:val="clear"/>
                  <w:tcMar>
                    <w:top w:type="dxa" w:w="140"/>
                    <w:left w:type="dxa" w:w="160"/>
                    <w:bottom w:type="dxa" w:w="14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Sentiment</w:t>
                  </w:r>
                </w:p>
              </w:tc>
              <w:tc>
                <w:tcPr>
                  <w:tcW w:type="dxa" w:w="212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1E293B" w:color="auto" w:val="clear"/>
                  <w:tcMar>
                    <w:top w:type="dxa" w:w="140"/>
                    <w:left w:type="dxa" w:w="160"/>
                    <w:bottom w:type="dxa" w:w="140"/>
                    <w:right w:type="dxa" w:w="16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Count</w:t>
                  </w:r>
                </w:p>
              </w:tc>
            </w:tr>
            <w:tr>
              <w:tc>
                <w:tcPr>
                  <w:tcW w:type="dxa" w:w="318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Neutral</w:t>
                  </w:r>
                </w:p>
              </w:tc>
              <w:tc>
                <w:tcPr>
                  <w:tcW w:type="dxa" w:w="212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righ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3403</w:t>
                  </w:r>
                </w:p>
              </w:tc>
            </w:tr>
            <w:tr>
              <w:tc>
                <w:tcPr>
                  <w:tcW w:type="dxa" w:w="318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8FAFC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Negative</w:t>
                  </w:r>
                </w:p>
              </w:tc>
              <w:tc>
                <w:tcPr>
                  <w:tcW w:type="dxa" w:w="212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8FAFC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righ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3322</w:t>
                  </w:r>
                </w:p>
              </w:tc>
            </w:tr>
            <w:tr>
              <w:tc>
                <w:tcPr>
                  <w:tcW w:type="dxa" w:w="318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Positive</w:t>
                  </w:r>
                </w:p>
              </w:tc>
              <w:tc>
                <w:tcPr>
                  <w:tcW w:type="dxa" w:w="212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right"/>
                  </w:pPr>
                  <w:r>
                    <w:rPr>
                      <w:color w:val="334155"/>
                      <w:sz w:val="18"/>
                      <w:szCs w:val="18"/>
                    </w:rPr>
                    <w:t xml:space="preserve">3275</w:t>
                  </w:r>
                </w:p>
              </w:tc>
            </w:tr>
          </w:tbl>
          <w:p/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9333EA"/>
                <w:sz w:val="16"/>
                <w:szCs w:val="16"/>
              </w:rPr>
              <w:t xml:space="preserve">GRAPHICAL</w:t>
            </w:r>
          </w:p>
          <w:p>
            <w:r>
              <w:drawing>
                <wp:inline distT="0" distB="0" distL="0" distR="0">
                  <wp:extent cx="2428875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062caa968989fb6bb3427b07cbbced92ce194a1.png"/><Relationship Id="rId8" Type="http://schemas.openxmlformats.org/officeDocument/2006/relationships/image" Target="media/b587438c31519af8f16a95165267505831b2df4f.png"/><Relationship Id="rId9" Type="http://schemas.openxmlformats.org/officeDocument/2006/relationships/image" Target="media/e144a631b953e15ff5370a992921dbe82ca78e66.png"/><Relationship Id="rId10" Type="http://schemas.openxmlformats.org/officeDocument/2006/relationships/image" Target="media/df57912b76e707e454f803e05b93b81f3847d1e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2026-08-07T09:16:44.615Z</dcterms:created>
  <dcterms:modified xsi:type="dcterms:W3CDTF">2026-08-07T09:16:44.632Z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