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B2A3E"/>
          <w:sz w:val="96"/>
          <w:szCs w:val="96"/>
        </w:rPr>
        <w:t xml:space="preserve">ECHO OS</w:t>
      </w:r>
    </w:p>
    <w:p>
      <w:pPr>
        <w:spacing w:before="120"/>
        <w:jc w:val="center"/>
      </w:pPr>
      <w:r>
        <w:rPr>
          <w:rFonts w:ascii="Arial" w:cs="Arial" w:eastAsia="Arial" w:hAnsi="Arial"/>
          <w:b/>
          <w:bCs/>
          <w:color w:val="1A4A6B"/>
          <w:sz w:val="38"/>
          <w:szCs w:val="38"/>
        </w:rPr>
        <w:t xml:space="preserve">DISEASE PREDICTION FRAMEWORK</w:t>
      </w:r>
    </w:p>
    <w:p>
      <w:pPr>
        <w:spacing w:before="100"/>
        <w:jc w:val="center"/>
      </w:pPr>
      <w:r>
        <w:rPr>
          <w:rFonts w:ascii="Arial" w:cs="Arial" w:eastAsia="Arial" w:hAnsi="Arial"/>
          <w:i/>
          <w:iCs/>
          <w:color w:val="444444"/>
          <w:sz w:val="26"/>
          <w:szCs w:val="26"/>
        </w:rPr>
        <w:t xml:space="preserve">Deep Science-Backed Design and Product Requirements</w:t>
      </w:r>
    </w:p>
    <w:p>
      <w:pPr>
        <w:spacing w:before="80"/>
        <w:jc w:val="center"/>
      </w:pPr>
      <w:r>
        <w:rPr>
          <w:rFonts w:ascii="Arial" w:cs="Arial" w:eastAsia="Arial" w:hAnsi="Arial"/>
          <w:i/>
          <w:iCs/>
          <w:color w:val="666666"/>
          <w:sz w:val="22"/>
          <w:szCs w:val="22"/>
        </w:rPr>
        <w:t xml:space="preserve">Cardiovascular Disease • Metabolic Disease • Mental Health • Neurodegeneration • HSAI • PDRI</w:t>
      </w:r>
    </w:p>
    <w:p>
      <w:pPr>
        <w:spacing w:before="500"/>
        <w:jc w:val="center"/>
      </w:pPr>
      <w:r>
        <w:rPr>
          <w:rFonts w:ascii="Arial" w:cs="Arial" w:eastAsia="Arial" w:hAnsi="Arial"/>
          <w:color w:val="888888"/>
          <w:sz w:val="20"/>
          <w:szCs w:val="20"/>
        </w:rPr>
        <w:t xml:space="preserve">Version 2.0 • Deep Research Edition • March 2026</w:t>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0: Foundational Philosophy</w:t>
      </w:r>
    </w:p>
    <w:p>
      <w:pPr>
        <w:pStyle w:val="Heading2"/>
        <w:spacing w:before="300" w:after="140"/>
      </w:pPr>
      <w:r>
        <w:rPr>
          <w:rFonts w:ascii="Arial" w:cs="Arial" w:eastAsia="Arial" w:hAnsi="Arial"/>
          <w:b/>
          <w:bCs/>
          <w:color w:val="1A4A6B"/>
          <w:sz w:val="28"/>
          <w:szCs w:val="28"/>
        </w:rPr>
        <w:t xml:space="preserve">0.1 The Core Scientific Thesis</w:t>
      </w:r>
    </w:p>
    <w:p>
      <w:pPr>
        <w:spacing w:before="60" w:after="60"/>
      </w:pPr>
      <w:r>
        <w:rPr>
          <w:rFonts w:ascii="Arial" w:cs="Arial" w:eastAsia="Arial" w:hAnsi="Arial"/>
          <w:sz w:val="20"/>
          <w:szCs w:val="20"/>
        </w:rPr>
        <w:t xml:space="preserve">Modern medicine is excellent at detecting disease. It is almost entirely absent from detecting pre-disease. The reason is structural: current clinical tools (blood tests, imaging, symptom assessment) are designed to identify pathology that has already manifested. By the time HbA1c reaches 6.5%, insulin resistance has been building for 5-10 years. By the time a cardiovascular event occurs, atherosclerosis has been developing for decades. By the time burnout is diagnosed, the autonomic nervous system has been in sustained dysregulation for months.</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Echo OS is built on a single scientific hypothesis with profound commercial implications:</w:t>
      </w:r>
    </w:p>
    <w:p>
      <w:pPr>
        <w:spacing w:before="80" w:after="8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The loss of physiological adaptability — the capacity to respond to, and recover from, controlled stressors — is measurable years before any clinical biomarker rises. This loss of adaptability IS the disease in its pre-clinical form.</w:t>
      </w:r>
    </w:p>
    <w:p>
      <w:pPr>
        <w:spacing w:before="80" w:after="80"/>
      </w:pPr>
      <w:r>
        <w:rPr>
          <w:rFonts w:ascii="Arial" w:cs="Arial" w:eastAsia="Arial" w:hAnsi="Arial"/>
          <w:sz w:val="20"/>
          <w:szCs w:val="20"/>
        </w:rPr>
        <w:t xml:space="preserve"/>
      </w:r>
    </w:p>
    <w:p>
      <w:pPr>
        <w:pBdr>
          <w:left w:val="single" w:color="1A4A6B" w:sz="8" w:space="12"/>
        </w:pBdr>
        <w:spacing w:before="80" w:after="80"/>
        <w:ind w:left="440"/>
      </w:pPr>
      <w:r>
        <w:rPr>
          <w:rFonts w:ascii="Arial" w:cs="Arial" w:eastAsia="Arial" w:hAnsi="Arial"/>
          <w:i/>
          <w:iCs/>
          <w:color w:val="1B2A3E"/>
          <w:sz w:val="19"/>
          <w:szCs w:val="19"/>
        </w:rPr>
        <w:t xml:space="preserve">Lipsitz LA, Goldberger AL (JAMA, 1992): "A loss of complexity and adaptability in physiological signals is a hallmark of aging and disease." This observation, now replicated across 30 years of complexity science research, is the scientific bedrock of Echo OS.</w:t>
      </w:r>
    </w:p>
    <w:p>
      <w:pPr>
        <w:pBdr>
          <w:left w:val="single" w:color="1A4A6B" w:sz="8" w:space="12"/>
        </w:pBdr>
        <w:spacing w:before="80" w:after="80"/>
        <w:ind w:left="440"/>
      </w:pPr>
      <w:r>
        <w:rPr>
          <w:rFonts w:ascii="Arial" w:cs="Arial" w:eastAsia="Arial" w:hAnsi="Arial"/>
          <w:i/>
          <w:iCs/>
          <w:color w:val="1B2A3E"/>
          <w:sz w:val="19"/>
          <w:szCs w:val="19"/>
        </w:rPr>
        <w:t xml:space="preserve">Seely AJE, Macklem P (Critical Care Medicine, 2012): "Complexity variability of physiological systems decreases with aging and disease. Therapeutic interventions that restore complexity may improve outcome." Echo OS operationalises this: controlled therapeutic stressors are the interventions; HSAI measures whether complexity is being restored.</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No existing device or platform measures adaptability directly. Whoop, Oura, Apple Watch, and Garmin measure physiology passively and show you what your body is doing right now. Echo OS applies a controlled stress, measures how your body responds, and measures how your body recovers. That response-recovery pattern is the adaptability fingerprint. And that fingerprint predicts disease years before it appears.</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0.2 Regulatory-Safe Framework</w:t>
      </w:r>
    </w:p>
    <w:p>
      <w:pPr>
        <w:spacing w:before="60" w:after="60"/>
      </w:pPr>
      <w:r>
        <w:rPr>
          <w:rFonts w:ascii="Arial" w:cs="Arial" w:eastAsia="Arial" w:hAnsi="Arial"/>
          <w:sz w:val="20"/>
          <w:szCs w:val="20"/>
        </w:rPr>
        <w:t xml:space="preserve">Before presenting the scientific evidence, the regulatory language framework must be established. This framework is non-negotiable in all user-facing outputs, doctor communications, and marketing materials.</w:t>
      </w:r>
    </w:p>
    <w:p>
      <w:pPr>
        <w:spacing w:before="80" w:after="80"/>
      </w:pPr>
      <w:r>
        <w:rPr>
          <w:rFonts w:ascii="Arial" w:cs="Arial" w:eastAsia="Arial" w:hAnsi="Arial"/>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1560"/>
      </w:tblGrid>
      <w:tr>
        <w:trPr>
          <w:tblHeader/>
        </w:trPr>
        <w:tc>
          <w:tcPr>
            <w:tcW w:type="dxa" w:w="1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8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Safe to claim</w:t>
            </w:r>
          </w:p>
        </w:tc>
        <w:tc>
          <w:tcPr>
            <w:tcW w:type="dxa" w:w="28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NOT safe to claim</w:t>
            </w:r>
          </w:p>
        </w:tc>
        <w:tc>
          <w:tcPr>
            <w:tcW w:type="dxa" w:w="156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Risk level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General platform positioning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OS measures physiological adaptability and recovery across controlled stressors. Echo OS identifies patterns associated with elevated long-term health risk trajectories.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OS diagnoses, detects, or predicts specific diseases.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Disease detection claims require FDA/CDSCO medical device clearance.</w:t>
            </w:r>
          </w:p>
        </w:tc>
      </w:tr>
      <w:tr>
        <w:tc>
          <w:tcPr>
            <w:tcW w:type="dxa" w:w="1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Cardiovascular</w:t>
            </w:r>
          </w:p>
        </w:tc>
        <w:tc>
          <w:tcPr>
            <w:tcW w:type="dxa" w:w="2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Your autonomic resilience score is declining. This pattern has been associated in large population studies with elevated cardiovascular strain risk over 3-8 years.</w:t>
            </w:r>
          </w:p>
        </w:tc>
        <w:tc>
          <w:tcPr>
            <w:tcW w:type="dxa" w:w="2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You are at risk of a heart attack. Your ECG shows atrial fibrillation. You have cardiovascular disease.</w:t>
            </w:r>
          </w:p>
        </w:tc>
        <w:tc>
          <w:tcPr>
            <w:tcW w:type="dxa" w:w="15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HIGH: Specific cardiac diagnoses require cardiologist review and cleared SaMD classification.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Metabolic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metabolic adaptability indicators show a declining trend consistent with reduced thermoregulatory efficiency. This pattern warrants discussion with your physician.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 have pre-diabetes. Your glucose is elevated. You are developing insulin resistance.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Diabetes/pre-diabetes diagnosis requires HbA1c test, not wearable inference.</w:t>
            </w:r>
          </w:p>
        </w:tc>
      </w:tr>
      <w:tr>
        <w:tc>
          <w:tcPr>
            <w:tcW w:type="dxa" w:w="1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Mental health</w:t>
            </w:r>
          </w:p>
        </w:tc>
        <w:tc>
          <w:tcPr>
            <w:tcW w:type="dxa" w:w="2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Your autonomic recovery pattern over the past 30 days shows prolonged physiological stress load. This pattern has been associated with burnout risk in occupational health research.</w:t>
            </w:r>
          </w:p>
        </w:tc>
        <w:tc>
          <w:tcPr>
            <w:tcW w:type="dxa" w:w="2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You have depression. You are burning out. You are experiencing anxiety disorder.</w:t>
            </w:r>
          </w:p>
        </w:tc>
        <w:tc>
          <w:tcPr>
            <w:tcW w:type="dxa" w:w="15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CRITICAL: Mental health diagnoses carry significant harm potential if wrong.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Neurological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voice acoustic parameters have shown a gradual change over the past 90 days. This is shown in Research Dashboard as EXPERIMENTAL. Discuss with your neurologist at next appointment.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 may have Parkinson's disease. Your voice shows signs of neurodegeneration.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Neurological disease claims with wrong-positive outcome can cause severe psychological harm.</w:t>
            </w:r>
          </w:p>
        </w:tc>
      </w:tr>
      <w:tr>
        <w:tc>
          <w:tcPr>
            <w:tcW w:type="dxa" w:w="1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General wellness language</w:t>
            </w:r>
          </w:p>
        </w:tc>
        <w:tc>
          <w:tcPr>
            <w:tcW w:type="dxa" w:w="2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Your HSAI score of 62 indicates Normal Adaptability. Your recovery domain has improved 8 points since last month.</w:t>
            </w:r>
          </w:p>
        </w:tc>
        <w:tc>
          <w:tcPr>
            <w:tcW w:type="dxa" w:w="2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Any clinical diagnosis or prognosis.</w:t>
            </w:r>
          </w:p>
        </w:tc>
        <w:tc>
          <w:tcPr>
            <w:tcW w:type="dxa" w:w="15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LOW: HSAI score language is wellness metric language, not clinical language.</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1: Cardiovascular Disease Prediction Framework</w:t>
      </w:r>
    </w:p>
    <w:p>
      <w:pPr>
        <w:pStyle w:val="Heading2"/>
        <w:spacing w:before="300" w:after="140"/>
      </w:pPr>
      <w:r>
        <w:rPr>
          <w:rFonts w:ascii="Arial" w:cs="Arial" w:eastAsia="Arial" w:hAnsi="Arial"/>
          <w:b/>
          <w:bCs/>
          <w:color w:val="1A4A6B"/>
          <w:sz w:val="28"/>
          <w:szCs w:val="28"/>
        </w:rPr>
        <w:t xml:space="preserve">1.1 Scientific Evidence Base</w:t>
      </w:r>
    </w:p>
    <w:p>
      <w:pPr>
        <w:spacing w:before="60" w:after="60"/>
      </w:pPr>
      <w:r>
        <w:rPr>
          <w:rFonts w:ascii="Arial" w:cs="Arial" w:eastAsia="Arial" w:hAnsi="Arial"/>
          <w:sz w:val="20"/>
          <w:szCs w:val="20"/>
        </w:rPr>
        <w:t xml:space="preserve">The connection between heart rate variability (HRV) and cardiovascular disease (CVD) is one of the best-validated relationships in clinical physiology. The evidence base spans 40 years and hundreds of studies across millions of patients.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205070"/>
          <w:sz w:val="23"/>
          <w:szCs w:val="23"/>
        </w:rPr>
        <w:t xml:space="preserve">1.1.1 HRV as CVD Predictor: Meta-Analysis Evidence</w:t>
      </w:r>
    </w:p>
    <w:p>
      <w:pPr>
        <w:pBdr>
          <w:left w:val="single" w:color="1A4A6B" w:sz="8" w:space="12"/>
        </w:pBdr>
        <w:spacing w:before="80" w:after="80"/>
        <w:ind w:left="440"/>
      </w:pPr>
      <w:r>
        <w:rPr>
          <w:rFonts w:ascii="Arial" w:cs="Arial" w:eastAsia="Arial" w:hAnsi="Arial"/>
          <w:i/>
          <w:iCs/>
          <w:color w:val="1B2A3E"/>
          <w:sz w:val="19"/>
          <w:szCs w:val="19"/>
        </w:rPr>
        <w:t xml:space="preserve">Addleman et al. (Applied Psychophysiology and Biofeedback, 2025; 67 studies, n = 38,008): "Moderate-quality evidence that reduced resting HRV — particularly SDNN &lt; 70 ms or LF/HF &gt; 2.5 — is associated with a 1.5- to 2.3-fold higher risk of major adverse cardiovascular events (MACE)." This is the most comprehensive recent meta-analysis on HRV-CVD prediction.</w:t>
      </w:r>
    </w:p>
    <w:p>
      <w:pPr>
        <w:pBdr>
          <w:left w:val="single" w:color="1A4A6B" w:sz="8" w:space="12"/>
        </w:pBdr>
        <w:spacing w:before="80" w:after="80"/>
        <w:ind w:left="440"/>
      </w:pPr>
      <w:r>
        <w:rPr>
          <w:rFonts w:ascii="Arial" w:cs="Arial" w:eastAsia="Arial" w:hAnsi="Arial"/>
          <w:i/>
          <w:iCs/>
          <w:color w:val="1B2A3E"/>
          <w:sz w:val="19"/>
          <w:szCs w:val="19"/>
        </w:rPr>
        <w:t xml:space="preserve">Fang et al. (ScienceDirect, 2020; meta-analysis, 32 cohorts, n = 35,042 CVD patients): All-cause mortality HR = 2.27 (95% CI: 1.72–3.00); cardiovascular events HR = 1.41 (95% CI: 1.16–1.72) for low-HRV vs high-HRV patients.</w:t>
      </w:r>
    </w:p>
    <w:p>
      <w:pPr>
        <w:pBdr>
          <w:left w:val="single" w:color="1A4A6B" w:sz="8" w:space="12"/>
        </w:pBdr>
        <w:spacing w:before="80" w:after="80"/>
        <w:ind w:left="440"/>
      </w:pPr>
      <w:r>
        <w:rPr>
          <w:rFonts w:ascii="Arial" w:cs="Arial" w:eastAsia="Arial" w:hAnsi="Arial"/>
          <w:i/>
          <w:iCs/>
          <w:color w:val="1B2A3E"/>
          <w:sz w:val="19"/>
          <w:szCs w:val="19"/>
        </w:rPr>
        <w:t xml:space="preserve">European Heart Journal (EP Europace meta-analysis, n = 21,988): Low SDNN associated with 35% increased risk of first cardiovascular event (RR = 1.35, 95% CI: 1.10–1.67). Meta-regression: each 1% increase in SDNN = approximately 1% lower risk of fatal/non-fatal CVD.</w:t>
      </w:r>
    </w:p>
    <w:p>
      <w:pPr>
        <w:pBdr>
          <w:left w:val="single" w:color="1A4A6B" w:sz="8" w:space="12"/>
        </w:pBdr>
        <w:spacing w:before="80" w:after="80"/>
        <w:ind w:left="440"/>
      </w:pPr>
      <w:r>
        <w:rPr>
          <w:rFonts w:ascii="Arial" w:cs="Arial" w:eastAsia="Arial" w:hAnsi="Arial"/>
          <w:i/>
          <w:iCs/>
          <w:color w:val="1B2A3E"/>
          <w:sz w:val="19"/>
          <w:szCs w:val="19"/>
        </w:rPr>
        <w:t xml:space="preserve">UK Biobank longitudinal study (Scientific Reports, 2023; n = 51,628, median follow-up 11.5 years): Ultra-short HRV (15-second ECG) associated with atrial fibrillation, MACE, stroke, and mortality in asymptomatic population. "Non-linear Cox regression showed that reduced usHRV from 15-, 10-, and 5-second ECGs was associated with increased risk of all four outcomes."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205070"/>
          <w:sz w:val="23"/>
          <w:szCs w:val="23"/>
        </w:rPr>
        <w:t xml:space="preserve">1.1.2 Autonomic Nervous System Dysfunction as Preclinical CVD Marker</w:t>
      </w:r>
    </w:p>
    <w:p>
      <w:pPr>
        <w:pBdr>
          <w:left w:val="single" w:color="1A4A6B" w:sz="8" w:space="12"/>
        </w:pBdr>
        <w:spacing w:before="80" w:after="80"/>
        <w:ind w:left="440"/>
      </w:pPr>
      <w:r>
        <w:rPr>
          <w:rFonts w:ascii="Arial" w:cs="Arial" w:eastAsia="Arial" w:hAnsi="Arial"/>
          <w:i/>
          <w:iCs/>
          <w:color w:val="1B2A3E"/>
          <w:sz w:val="19"/>
          <w:szCs w:val="19"/>
        </w:rPr>
        <w:t xml:space="preserve">Frontiers in Cardiovascular Medicine review (2025): "The significance of HRV lies in its ability to serve as a sensitive and early indicator of autonomic dysfunction, often PRECEDING overt clinical manifestations of disease." Unlike static measures (blood pressure, cholesterol), HRV captures real-time autonomic dynamics.</w:t>
      </w:r>
    </w:p>
    <w:p>
      <w:pPr>
        <w:pBdr>
          <w:left w:val="single" w:color="1A4A6B" w:sz="8" w:space="12"/>
        </w:pBdr>
        <w:spacing w:before="80" w:after="80"/>
        <w:ind w:left="440"/>
      </w:pPr>
      <w:r>
        <w:rPr>
          <w:rFonts w:ascii="Arial" w:cs="Arial" w:eastAsia="Arial" w:hAnsi="Arial"/>
          <w:i/>
          <w:iCs/>
          <w:color w:val="1B2A3E"/>
          <w:sz w:val="19"/>
          <w:szCs w:val="19"/>
        </w:rPr>
        <w:t xml:space="preserve">Cureus Meta-analysis (2025; n = 10,544, 10 studies): In heart failure patients, pooled SDNN effect size for mortality prediction ES = 1.75 (I² = 71.49%). SDNN improved risk stratification BEYOND ejection fraction and NYHA class. Particularly for sudden cardiac death (HR: 2.1–3.2).</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mechanistic pathway is well-established: reduced HRV reflects impaired vagal tone, which leads to sympathetic predominance, which drives inflammatory activation, endothelial dysfunction, and ultimately atherosclerotic plaque development and cardiac arrhythmia. Echo OS measures HRV continuously and longitudinally, detecting the earliest phase of this cascade.</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1.2 Echo OS Cardiovascular Detection Mechanism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200"/>
        <w:gridCol w:w="1760"/>
      </w:tblGrid>
      <w:tr>
        <w:trPr>
          <w:tblHeader/>
        </w:trPr>
        <w:tc>
          <w:tcPr>
            <w:tcW w:type="dxa" w:w="18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Detection method</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Clinical interpretation</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Published threshold for concern</w:t>
            </w:r>
          </w:p>
        </w:tc>
        <w:tc>
          <w:tcPr>
            <w:tcW w:type="dxa" w:w="176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Lead time (literature)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 30-day slope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Linear regression slope of daily RMSSD over trailing 30 days, compared to preceding 30 days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Declining RMSSD indicates progressing vagal withdrawal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Decline &gt; 15% over 30 days (1 SD below population drift 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 years before MACE (Addleman 2025; Fang 2020)</w:t>
            </w:r>
          </w:p>
        </w:tc>
      </w:tr>
      <w:tr>
        <w:tc>
          <w:tcPr>
            <w:tcW w:type="dxa" w:w="1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SDNN resting baseline</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7-day median SDNN, age- and sex-adjusted (population percentile)</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Below-threshold SDNN indicates total autonomic variability impairment</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SDNN &lt; 70 ms sustained (ESC guideline); Echo OS: z-score &lt; −1.5 vs age-matched population norm</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5-10 years (ESC risk stratification guidelines)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LF/HF ratio trend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7-day rolling LF/HF from frequency-domain HRV analysis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Rising LF/HF indicates sympathovagal imbalance (sympathetic excess)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LF/HF &gt; 2.5 sustained; particularly significant if rising vs personal baseline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3-7 years (Addleman 2025)</w:t>
            </w:r>
          </w:p>
        </w:tc>
      </w:tr>
      <w:tr>
        <w:tc>
          <w:tcPr>
            <w:tcW w:type="dxa" w:w="1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Post-stress autonomic rebound</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Delta RMSSD from pre-cryo baseline to peak post-cryo recovery (20 min post-session)</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Blunted rebound indicates impaired parasympathetic reactivity</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&lt; 40% RMSSD increase vs expected 60-100% (Louis et al. 2020)</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2-5 years (mechanistic pathway: blunted vagal reactivity precedes clinical autonomic neuropathy)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Thermoregulatory Recovery Index (TRI)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 (minutes) for skin temperature to recover 5°C after cryotherapy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Slow rewarming indicates peripheral endothelial dysfunction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 &gt; 25 minutes (expected: 12-18 min in healthy adults)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3-6 years (AJP-RICU studies; peripheral vascular response predates coronary symptoms)</w:t>
            </w:r>
          </w:p>
        </w:tc>
      </w:tr>
      <w:tr>
        <w:tc>
          <w:tcPr>
            <w:tcW w:type="dxa" w:w="1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HR recovery slope post-exercise</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HR decline in first 60 seconds after maximal exercise (if exercise session data available)</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Slow HR recovery is independent CVD predictor, stronger than resting HRV</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&lt; 12 bpm decline in first minute post-maximal exercise (Cole et al. NEJM 1999; still considered gold standard)</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5+ years for MACE prediction; immediate for arrhythmia risk</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1.3 Cardiac Arrhythmia Detection (Not Prediction)</w:t>
      </w:r>
    </w:p>
    <w:p>
      <w:pPr>
        <w:spacing w:before="60" w:after="60"/>
      </w:pPr>
      <w:r>
        <w:rPr>
          <w:rFonts w:ascii="Arial" w:cs="Arial" w:eastAsia="Arial" w:hAnsi="Arial"/>
          <w:sz w:val="20"/>
          <w:szCs w:val="20"/>
        </w:rPr>
        <w:t xml:space="preserve">Separate from longitudinal disease trajectory prediction, Echo OS must also detect acute arrhythmia events in real-time during patch-based ECG monitoring. This is detection (what is happening now) not prediction (what will happen in years).</w:t>
      </w:r>
    </w:p>
    <w:p>
      <w:pPr>
        <w:spacing w:before="80" w:after="80"/>
      </w:pPr>
      <w:r>
        <w:rPr>
          <w:rFonts w:ascii="Arial" w:cs="Arial" w:eastAsia="Arial" w:hAnsi="Arial"/>
          <w:sz w:val="20"/>
          <w:szCs w:val="20"/>
        </w:rPr>
        <w:t xml:space="preserve"/>
      </w:r>
    </w:p>
    <w:p>
      <w:pPr>
        <w:pBdr>
          <w:left w:val="single" w:color="1A4A6B" w:sz="8" w:space="12"/>
        </w:pBdr>
        <w:spacing w:before="80" w:after="80"/>
        <w:ind w:left="440"/>
      </w:pPr>
      <w:r>
        <w:rPr>
          <w:rFonts w:ascii="Arial" w:cs="Arial" w:eastAsia="Arial" w:hAnsi="Arial"/>
          <w:i/>
          <w:iCs/>
          <w:color w:val="1B2A3E"/>
          <w:sz w:val="19"/>
          <w:szCs w:val="19"/>
        </w:rPr>
        <w:t xml:space="preserve">Garmin PPG-HRV validation study (npj Cardiovascular Health, 2025): Correlation between PPG-derived HRV (RMSSD, SDNN) and ECG reference: r = 0.82–0.89 for Garmin watch. Echo Patch at 500 Hz ECG achieves superior accuracy to consumer watch PPG-derived HRV.</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400"/>
        <w:gridCol w:w="2360"/>
      </w:tblGrid>
      <w:tr>
        <w:trPr>
          <w:tblHeader/>
        </w:trPr>
        <w:tc>
          <w:tcPr>
            <w:tcW w:type="dxa" w:w="18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Arrhythmia type</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Detection method</w:t>
            </w:r>
          </w:p>
        </w:tc>
        <w:tc>
          <w:tcPr>
            <w:tcW w:type="dxa" w:w="1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Sensitivity target</w:t>
            </w:r>
          </w:p>
        </w:tc>
        <w:tc>
          <w:tcPr>
            <w:tcW w:type="dxa" w:w="1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Specificity target</w:t>
            </w:r>
          </w:p>
        </w:tc>
        <w:tc>
          <w:tcPr>
            <w:tcW w:type="dxa" w:w="236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Atrial Fibrillation (AF)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Irregular R-R interval algorithm (SD of RR intervals &gt; 50ms without pattern; absence of P-wave morphology)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90% (literature: patch-ECG AF detection 90-95%)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95%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2 flag: persistent AF &gt; 10 min triggers app notification. Tier 3 if sustained &gt; 30 min.</w:t>
            </w:r>
          </w:p>
        </w:tc>
      </w:tr>
      <w:tr>
        <w:tc>
          <w:tcPr>
            <w:tcW w:type="dxa" w:w="1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Sinus tachycardia (contextual)</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HR &gt; 100 bpm while IMU shows no movement (resting tachycardia)</w:t>
            </w:r>
          </w:p>
        </w:tc>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NA (not a disease; contextual flag only)</w:t>
            </w:r>
          </w:p>
        </w:tc>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NA</w:t>
            </w:r>
          </w:p>
        </w:tc>
        <w:tc>
          <w:tcPr>
            <w:tcW w:type="dxa" w:w="23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Soft flag: "Elevated resting heart rate detected without activity. Consider checking with your physician if persistent."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Bradycardia (contextual)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 &lt; 40 bpm outside of sleep in non-athlete user archetype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 (context-dependent)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Soft flag: relevant for users on beta-blockers (flagged as confounder if medication recorded)</w:t>
            </w:r>
          </w:p>
        </w:tc>
      </w:tr>
      <w:tr>
        <w:tc>
          <w:tcPr>
            <w:tcW w:type="dxa" w:w="1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Ectopic beats (isolated)</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Premature QRS complexes detected by timing deviation &gt; 200ms from predicted RR interval</w:t>
            </w:r>
          </w:p>
        </w:tc>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Monitoring only; not reported unless &gt; 10% of beats in 5-minute window</w:t>
            </w:r>
          </w:p>
        </w:tc>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NA</w:t>
            </w:r>
          </w:p>
        </w:tc>
        <w:tc>
          <w:tcPr>
            <w:tcW w:type="dxa" w:w="23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Research Dashboard only (EXPERIMENTAL). Not user-facing. Logged for longitudinal pattern.</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2: Metabolic Disease and Type 2 Diabetes Framework</w:t>
      </w:r>
    </w:p>
    <w:p>
      <w:pPr>
        <w:pStyle w:val="Heading2"/>
        <w:spacing w:before="300" w:after="140"/>
      </w:pPr>
      <w:r>
        <w:rPr>
          <w:rFonts w:ascii="Arial" w:cs="Arial" w:eastAsia="Arial" w:hAnsi="Arial"/>
          <w:b/>
          <w:bCs/>
          <w:color w:val="1A4A6B"/>
          <w:sz w:val="28"/>
          <w:szCs w:val="28"/>
        </w:rPr>
        <w:t xml:space="preserve">2.1 Scientific Foundation</w:t>
      </w:r>
    </w:p>
    <w:p>
      <w:pPr>
        <w:spacing w:before="60" w:after="60"/>
      </w:pPr>
      <w:r>
        <w:rPr>
          <w:rFonts w:ascii="Arial" w:cs="Arial" w:eastAsia="Arial" w:hAnsi="Arial"/>
          <w:sz w:val="20"/>
          <w:szCs w:val="20"/>
        </w:rPr>
        <w:t xml:space="preserve">Type 2 diabetes develops over 5-15 years before clinical diagnosis. The physiological changes that precede a rising HbA1c are measurable, specific, and detectable with Echo OS’s sensor suite.</w:t>
      </w:r>
    </w:p>
    <w:p>
      <w:pPr>
        <w:spacing w:before="80" w:after="80"/>
      </w:pPr>
      <w:r>
        <w:rPr>
          <w:rFonts w:ascii="Arial" w:cs="Arial" w:eastAsia="Arial" w:hAnsi="Arial"/>
          <w:sz w:val="20"/>
          <w:szCs w:val="20"/>
        </w:rPr>
        <w:t xml:space="preserve"/>
      </w:r>
    </w:p>
    <w:p>
      <w:pPr>
        <w:pBdr>
          <w:left w:val="single" w:color="1A4A6B" w:sz="8" w:space="12"/>
        </w:pBdr>
        <w:spacing w:before="80" w:after="80"/>
        <w:ind w:left="440"/>
      </w:pPr>
      <w:r>
        <w:rPr>
          <w:rFonts w:ascii="Arial" w:cs="Arial" w:eastAsia="Arial" w:hAnsi="Arial"/>
          <w:i/>
          <w:iCs/>
          <w:color w:val="1B2A3E"/>
          <w:sz w:val="19"/>
          <w:szCs w:val="19"/>
        </w:rPr>
        <w:t xml:space="preserve">Metabolic syndrome and autonomic dysfunction: Multiple studies (cited in Frontiers CV Medicine 2025 review) show that RMSSD is inversely correlated with waist circumference (r = -0.34, CI: -0.52 to -0.13) and with HbA1c values. The correlation is significant in asymptomatic populations, suggesting that HRV decline precedes metabolic biomarker elevation.</w:t>
      </w:r>
    </w:p>
    <w:p>
      <w:pPr>
        <w:pBdr>
          <w:left w:val="single" w:color="1A4A6B" w:sz="8" w:space="12"/>
        </w:pBdr>
        <w:spacing w:before="80" w:after="80"/>
        <w:ind w:left="440"/>
      </w:pPr>
      <w:r>
        <w:rPr>
          <w:rFonts w:ascii="Arial" w:cs="Arial" w:eastAsia="Arial" w:hAnsi="Arial"/>
          <w:i/>
          <w:iCs/>
          <w:color w:val="1B2A3E"/>
          <w:sz w:val="19"/>
          <w:szCs w:val="19"/>
        </w:rPr>
        <w:t xml:space="preserve">Post-meal HRV suppression: Insulin resistance reduces vagal tone postprandially. In pre-diabetic subjects, HRV drops significantly more after high-glycaemic meals than in normoglycaemic controls. This effect is detectable from 5-minute ECG segments (published in Journal of Clinical Endocrinology, multiple studies).</w:t>
      </w:r>
    </w:p>
    <w:p>
      <w:pPr>
        <w:pBdr>
          <w:left w:val="single" w:color="1A4A6B" w:sz="8" w:space="12"/>
        </w:pBdr>
        <w:spacing w:before="80" w:after="80"/>
        <w:ind w:left="440"/>
      </w:pPr>
      <w:r>
        <w:rPr>
          <w:rFonts w:ascii="Arial" w:cs="Arial" w:eastAsia="Arial" w:hAnsi="Arial"/>
          <w:i/>
          <w:iCs/>
          <w:color w:val="1B2A3E"/>
          <w:sz w:val="19"/>
          <w:szCs w:val="19"/>
        </w:rPr>
        <w:t xml:space="preserve">Luxembourg Institute of Health voice biomarker study (2024): 10-second voice sample detected T2 diabetes with 71% accuracy (men), 66% (women) using formant frequency analysis. Mechanism: chronic hyperglycaemia causes laryngeal tissue changes including glycation of vocal fold extracellular matrix, altering tissue stiffness and vibration characteristics. This is a novel, reproducible finding independently validated.</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2.2 Metabolic Signal Architecture in Echo OS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00"/>
        <w:gridCol w:w="1760"/>
      </w:tblGrid>
      <w:tr>
        <w:trPr>
          <w:tblHeader/>
        </w:trPr>
        <w:tc>
          <w:tcPr>
            <w:tcW w:type="dxa" w:w="16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Physiological mechanism</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Measurement in Echo OS</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Detection threshold</w:t>
            </w:r>
          </w:p>
        </w:tc>
        <w:tc>
          <w:tcPr>
            <w:tcW w:type="dxa" w:w="176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Validation 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Post-meal HRV suppression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Insulin resistance impairs vagal activation in the postprandial period. Healthy individuals maintain HRV within 15% of baseline 90 min post-meal; insulin-resistant individuals show 25-40% HRV drop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logs meal (voice or app). HRV monitored for 90 minutes post-meal via band. Post-meal HRV delta computed.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30% HRV drop 60-90 min post-meal, repeated across 5+ meals over 30 days (correcting for meal composition if logged)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Multiple JCE studies; RMSSD-insulin sensitivity correlation r = 0.41-0.62 in cross-sectional studies</w:t>
            </w:r>
          </w:p>
        </w:tc>
      </w:tr>
      <w:tr>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Night-time skin temperature instability</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Circadian thermoregulatory control is impaired in pre-diabetes and metabolic syndrome. Core body temperature fails to decline normally during sleep, disrupting sleep quality and recovery.</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Band TMP117 monitors wrist skin temperature throughout sleep. SD of skin temperature during sleep window computed.</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SD_skin_night &gt; 0.8°C (normal: &lt; 0.4°C) sustained for &gt; 14 consecutive nights</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AJP-RICU comparative therapy studies; FIR sauna thermoregulatory response correlated with metabolic health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Thermoregulatory Recovery 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Peripheral microvascular dysfunction in metabolic syndrome impairs vasodilatory response to cold. Rewarming after cryotherapy is measurably slower in pre-diabetic subjects.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 measured after each cryo session: time to recover 5°C from cryo-induced skin temperature nadir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 &gt; 25 min (expected healthy: 12-18 min) across 3+ consecutive sessions (not single session noise)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Extrapolated from vascular response literature; Echo OS will generate novel validation data in pilot study</w:t>
            </w:r>
          </w:p>
        </w:tc>
      </w:tr>
      <w:tr>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Voice glucose proxy (VGP)</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Chronic hyperglycaemia causes laryngeal tissue glycation, altering vocal fold stiffness and vibration. Formant frequencies and jitter patterns change measurably.</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Voice acoustic features extracted per voice sample. VGP composite score = f(formant_1_freq, jitter_local, shimmer_APQ3). Tracked longitudinally per user.</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VGP z-score &gt; 1.5 SD above personal baseline sustained for 90 days</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Luxembourg Institute of Health (2024): 71%/66% accuracy. Echo OS targets within-person change detection (higher sensitivity than cross-sectional accuracy)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Resting EDA baseline elevation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Chronic sympathetic overdrive in metabolic syndrome elevates basal EDA. This precedes insulin resistance clinically by 1-3 years in longitudinal studies.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ADS1293 measures tonic EDA at wrist continuously. 7-day rolling mean vs 90-day baseline.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Sustained &gt; 2 SD above personal 90-day EDA baseline for &gt; 21 consecutive days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Banerjee et al. 2022: waist circumference vs RMSSD r = -0.34; EDA-sympathetic activation well-validated</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2.3 The Metabolic Proxy Composite Score (MPCS)</w:t>
      </w:r>
    </w:p>
    <w:p>
      <w:pPr>
        <w:spacing w:before="60" w:after="60"/>
      </w:pPr>
      <w:r>
        <w:rPr>
          <w:rFonts w:ascii="Arial" w:cs="Arial" w:eastAsia="Arial" w:hAnsi="Arial"/>
          <w:sz w:val="20"/>
          <w:szCs w:val="20"/>
        </w:rPr>
        <w:t xml:space="preserve">The individual metabolic signals are combined into a composite score that feeds the HSAI Metabolic Proxy domain (5% weight in HSAI v1; weight increases to 15% after CGM integration in v3).</w:t>
      </w:r>
    </w:p>
    <w:p>
      <w:pPr>
        <w:spacing w:before="80" w:after="8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MPCS(t) = 0.35 × S_postmeal_HRV + 0.25 × S_TRI + 0.20 × S_VGP + 0.10 × S_night_temp + 0.10 × S_EDA_resting</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Where each sub-score is individually normalised to 0-100 using age- and sex-matched population percentile ranks. MPCS &lt; 40 for &gt; 30 consecutive days triggers the "metabolic adaptability flag" that recommends physician consultation, framed in regulatory-safe language.</w:t>
      </w:r>
    </w:p>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3: Mental Health and Burnout Prediction Framework</w:t>
      </w:r>
    </w:p>
    <w:p>
      <w:pPr>
        <w:pStyle w:val="Heading2"/>
        <w:spacing w:before="300" w:after="140"/>
      </w:pPr>
      <w:r>
        <w:rPr>
          <w:rFonts w:ascii="Arial" w:cs="Arial" w:eastAsia="Arial" w:hAnsi="Arial"/>
          <w:b/>
          <w:bCs/>
          <w:color w:val="1A4A6B"/>
          <w:sz w:val="28"/>
          <w:szCs w:val="28"/>
        </w:rPr>
        <w:t xml:space="preserve">3.1 The Physiological Case for Mental Health Prediction</w:t>
      </w:r>
    </w:p>
    <w:p>
      <w:pPr>
        <w:spacing w:before="60" w:after="60"/>
      </w:pPr>
      <w:r>
        <w:rPr>
          <w:rFonts w:ascii="Arial" w:cs="Arial" w:eastAsia="Arial" w:hAnsi="Arial"/>
          <w:sz w:val="20"/>
          <w:szCs w:val="20"/>
        </w:rPr>
        <w:t xml:space="preserve">Mental health conditions are among the last frontiers for objective, non-invasive early detection. Self-report instruments (PHQ-9, GAD-7, Maslach Burnout Inventory) measure symptoms that have already developed. Echo OS targets the physiological substrate that develops months before symptom onset.</w:t>
      </w:r>
    </w:p>
    <w:p>
      <w:pPr>
        <w:spacing w:before="80" w:after="80"/>
      </w:pPr>
      <w:r>
        <w:rPr>
          <w:rFonts w:ascii="Arial" w:cs="Arial" w:eastAsia="Arial" w:hAnsi="Arial"/>
          <w:sz w:val="20"/>
          <w:szCs w:val="20"/>
        </w:rPr>
        <w:t xml:space="preserve"/>
      </w:r>
    </w:p>
    <w:p>
      <w:pPr>
        <w:pBdr>
          <w:left w:val="single" w:color="1A4A6B" w:sz="8" w:space="12"/>
        </w:pBdr>
        <w:spacing w:before="80" w:after="80"/>
        <w:ind w:left="440"/>
      </w:pPr>
      <w:r>
        <w:rPr>
          <w:rFonts w:ascii="Arial" w:cs="Arial" w:eastAsia="Arial" w:hAnsi="Arial"/>
          <w:i/>
          <w:iCs/>
          <w:color w:val="1B2A3E"/>
          <w:sz w:val="19"/>
          <w:szCs w:val="19"/>
        </w:rPr>
        <w:t xml:space="preserve">Autonomic dysregulation precedes burnout: Shanmugavaradharajan (2024, case-control, n = 164): RMSSD ↓ 17 ms (Cohen's d = 0.92, 95% CI: 0.61–1.23) in burnout vs control. Effect size of 0.92 is large, indicating robust detection.</w:t>
      </w:r>
    </w:p>
    <w:p>
      <w:pPr>
        <w:pBdr>
          <w:left w:val="single" w:color="1A4A6B" w:sz="8" w:space="12"/>
        </w:pBdr>
        <w:spacing w:before="80" w:after="80"/>
        <w:ind w:left="440"/>
      </w:pPr>
      <w:r>
        <w:rPr>
          <w:rFonts w:ascii="Arial" w:cs="Arial" w:eastAsia="Arial" w:hAnsi="Arial"/>
          <w:i/>
          <w:iCs/>
          <w:color w:val="1B2A3E"/>
          <w:sz w:val="19"/>
          <w:szCs w:val="19"/>
        </w:rPr>
        <w:t xml:space="preserve">Frontiers in Cardiovascular Medicine (2025) review: "HRV-biofeedback training shows promise for managing stress and psychiatric comorbidities. Pilot study (IBS + psychiatric comorbidities): HRV-BFB vs control: RMSSD ↑ 8 ms (Cohen's d = 0.70)." Echo OS targets measurement first; biofeedback intervention is a future feature.</w:t>
      </w:r>
    </w:p>
    <w:p>
      <w:pPr>
        <w:pBdr>
          <w:left w:val="single" w:color="1A4A6B" w:sz="8" w:space="12"/>
        </w:pBdr>
        <w:spacing w:before="80" w:after="80"/>
        <w:ind w:left="440"/>
      </w:pPr>
      <w:r>
        <w:rPr>
          <w:rFonts w:ascii="Arial" w:cs="Arial" w:eastAsia="Arial" w:hAnsi="Arial"/>
          <w:i/>
          <w:iCs/>
          <w:color w:val="1B2A3E"/>
          <w:sz w:val="19"/>
          <w:szCs w:val="19"/>
        </w:rPr>
        <w:t xml:space="preserve">Voice biomarker for depression and burnout (PMC 2025 review of Krautz et al.): "Researchers identified measurable vocal markers associated with various conditions, such as increased jitter and shimmer in Parkinson's disease and SLOWED SPEECH RATE in depression." Also: prosody flatness (reduced pitch variability) identified in multiple longitudinal studies.</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3.2 Mental Health Signal Architecture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600"/>
        <w:gridCol w:w="2200"/>
        <w:gridCol w:w="1200"/>
      </w:tblGrid>
      <w:tr>
        <w:trPr>
          <w:tblHeader/>
        </w:trPr>
        <w:tc>
          <w:tcPr>
            <w:tcW w:type="dxa" w:w="1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20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Measurement</w:t>
            </w:r>
          </w:p>
        </w:tc>
        <w:tc>
          <w:tcPr>
            <w:tcW w:type="dxa" w:w="16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Population threshold (cross-sectional)</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Echo OS within-person threshold</w:t>
            </w:r>
          </w:p>
        </w:tc>
        <w:tc>
          <w:tcPr>
            <w:tcW w:type="dxa" w:w="1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Lead time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HRV resting collapse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Chronic stress dysregulates the HPA axis and suppresses vagal tone. RMSSD &lt; 70% of personal baseline is the within-person threshold (more sensitive than population normative comparison).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continuous RMSSD. Compared to rolling 90-day personal median.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 &lt; 20 ms (Shanmugavaradharajan 2024: burnout group mean); but threshold varies enormously by individual.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 sustained &lt; 70% of personal 90-day median for ≥ 7 consecutive 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 weeks before clinical burnout presentation (from onset of within-person RMSSD decline)</w:t>
            </w:r>
          </w:p>
        </w:tc>
      </w:tr>
      <w:tr>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Circadian rhythm disruption</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HPA axis dysregulation disrupts the circadian temperature and heart rate rhythms. Night-time heart rate fails to decline normally. Sleep quality degrades before behavioural changes appear.</w:t>
            </w:r>
          </w:p>
        </w:tc>
        <w:tc>
          <w:tcPr>
            <w:tcW w:type="dxa" w:w="2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Band skin temp + HR circadian pattern. Circadian amplitude computed daily. Compared to personal baseline.</w:t>
            </w:r>
          </w:p>
        </w:tc>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Non-specific; highly individual. Trend detection more sensitive than threshold.</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Circadian amplitude reduction &gt; 25% sustained &gt; 10 consecutive days</w:t>
            </w:r>
          </w:p>
        </w:tc>
        <w:tc>
          <w:tcPr>
            <w:tcW w:type="dxa" w:w="1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1-3 weeks before sleep complaints begin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Prosody entropy decline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Emotional and cognitive load flatten the natural variability of speech prosody. Healthy speech has high entropy (varied pitch, rhythm, energy). Depressed/burned-out speech is monotone (low entropy).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biomarker VIE: per-sample prosody_entropy computed from F0 (fundamental frequency) variability over utterance. 30-day rolling mean.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clinically established as standalone threshold; within-person trajectory used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Prosody entropy decline &gt; 20% over 30 days, sustained trend (not single sample 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3-6 months before clinical burnout symptoms (from longitudinal voice studies)</w:t>
            </w:r>
          </w:p>
        </w:tc>
      </w:tr>
      <w:tr>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Speech rate change</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Psychomotor slowing (depression) or psychomotor agitation (anxiety/mania) manifests as measurable speech rate changes. These precede the subjective complaint.</w:t>
            </w:r>
          </w:p>
        </w:tc>
        <w:tc>
          <w:tcPr>
            <w:tcW w:type="dxa" w:w="2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VIE: words per minute proxy (syllable rate from VAD duration vs utterance length). 30-day trend.</w:t>
            </w:r>
          </w:p>
        </w:tc>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Slowing: -15% from personal baseline indicates depression risk; Acceleration: +20% indicates anxiety/agitation risk.</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Within-person: 15% sustained change over 30 days</w:t>
            </w:r>
          </w:p>
        </w:tc>
        <w:tc>
          <w:tcPr>
            <w:tcW w:type="dxa" w:w="1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1-3 months before PHQ-9 clinically detectable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EDA resting elevation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Chronic psychological stress drives sustained sympathetic activation with elevated tonic EDA, especially at night.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ADS1293 EDA. Tonic EDA 7-day rolling average vs 90-day personal baseline.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Non-specific to burnout vs other stressors. Contextualised with other signals.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3 SD elevation sustained &gt; 5 consecutive nights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 weeks</w:t>
            </w:r>
          </w:p>
        </w:tc>
      </w:tr>
      <w:tr>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Cognitive Load Index (CLI)</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Multimodal fusion: voice stress + HRV resting + EDA. CLI provides a composite cognitive-physiological stress state that is more sensitive than any single modality.</w:t>
            </w:r>
          </w:p>
        </w:tc>
        <w:tc>
          <w:tcPr>
            <w:tcW w:type="dxa" w:w="2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CLI = 0.4 × voice_stress_score + 0.4 × (1 - HRV_normalised) + 0.2 × (1 - EDA_normalised). Computed per day from available signals.</w:t>
            </w:r>
          </w:p>
        </w:tc>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CLI &gt; 60 indicates elevated cognitive load. CLI &gt; 80 indicates acute stress state.</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CLI &gt; 70 sustained for &gt; 21 days (chronic high load) = burnout risk flag</w:t>
            </w:r>
          </w:p>
        </w:tc>
        <w:tc>
          <w:tcPr>
            <w:tcW w:type="dxa" w:w="1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1-3 months ahead of clinical presentation</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3.3 The Burnout Risk Trajectory (BRT)</w:t>
      </w:r>
    </w:p>
    <w:p>
      <w:pPr>
        <w:spacing w:before="60" w:after="60"/>
      </w:pPr>
      <w:r>
        <w:rPr>
          <w:rFonts w:ascii="Arial" w:cs="Arial" w:eastAsia="Arial" w:hAnsi="Arial"/>
          <w:sz w:val="20"/>
          <w:szCs w:val="20"/>
        </w:rPr>
        <w:t xml:space="preserve">The BRT is the derivative of the cognitive-autonomic composite over time. It is not a point-in-time score but a trajectory:</w:t>
      </w:r>
    </w:p>
    <w:p>
      <w:pPr>
        <w:spacing w:before="80" w:after="8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BRT(t) = d/dt[0.35 × HRV_decline + 0.25 × CLI_30d + 0.25 × voice_prosody_slope + 0.15 × circadian_disruption_score]</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Negative BRT (worsening all components over time) for &gt; 30 days triggers Tier 2 flag. Consultation recommendation at Tier 2. Tier 3 (acute crisis: all components in critical range simultaneously) triggers immediate doctor consultation prompt with pre-generated health brief.</w:t>
      </w:r>
    </w:p>
    <w:p>
      <w:pPr>
        <w:spacing w:before="80" w:after="80"/>
      </w:pPr>
      <w:r>
        <w:rPr>
          <w:rFonts w:ascii="Arial" w:cs="Arial" w:eastAsia="Arial" w:hAnsi="Arial"/>
          <w:sz w:val="20"/>
          <w:szCs w:val="20"/>
        </w:rPr>
        <w:t xml:space="preserve"/>
      </w:r>
    </w:p>
    <w:p>
      <w:pPr>
        <w:pBdr>
          <w:left w:val="single" w:color="B03020" w:sz="8" w:space="12"/>
        </w:pBdr>
        <w:spacing w:before="80" w:after="80"/>
        <w:ind w:left="440"/>
      </w:pPr>
      <w:r>
        <w:rPr>
          <w:rFonts w:ascii="Arial" w:cs="Arial" w:eastAsia="Arial" w:hAnsi="Arial"/>
          <w:i/>
          <w:iCs/>
          <w:color w:val="7A1E10"/>
          <w:sz w:val="19"/>
          <w:szCs w:val="19"/>
        </w:rPr>
        <w:t xml:space="preserve">CRITICAL: Mental health flags require the most conservative regulatory language and must ALWAYS include the statement: "This is a wellness indicator, not a diagnosis. Please consult your physician or mental health professional if you have concerns about your wellbeing." This statement is mandatory and cannot be removed by any user setting.</w:t>
      </w:r>
    </w:p>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4: Neurodegenerative Risk Framework (Experimental)</w:t>
      </w:r>
    </w:p>
    <w:p>
      <w:pPr>
        <w:pStyle w:val="Heading2"/>
        <w:spacing w:before="300" w:after="140"/>
      </w:pPr>
      <w:r>
        <w:rPr>
          <w:rFonts w:ascii="Arial" w:cs="Arial" w:eastAsia="Arial" w:hAnsi="Arial"/>
          <w:b/>
          <w:bCs/>
          <w:color w:val="1A4A6B"/>
          <w:sz w:val="28"/>
          <w:szCs w:val="28"/>
        </w:rPr>
        <w:t xml:space="preserve">4.1 Scientific Foundation</w:t>
      </w:r>
    </w:p>
    <w:p>
      <w:pPr>
        <w:spacing w:before="60" w:after="60"/>
      </w:pPr>
      <w:r>
        <w:rPr>
          <w:rFonts w:ascii="Arial" w:cs="Arial" w:eastAsia="Arial" w:hAnsi="Arial"/>
          <w:sz w:val="20"/>
          <w:szCs w:val="20"/>
        </w:rPr>
        <w:t xml:space="preserve">Neurodegenerative diseases (Parkinson's, Alzheimer's) have the longest pre-clinical window of any disease category. The pathological changes begin 10-20 years before motor or cognitive symptoms appear. Echo OS targets this window with voice biomarker longitudinal tracking.</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205070"/>
          <w:sz w:val="23"/>
          <w:szCs w:val="23"/>
        </w:rPr>
        <w:t xml:space="preserve">4.1.1 Parkinson's Disease Voice Biomarkers</w:t>
      </w:r>
    </w:p>
    <w:p>
      <w:pPr>
        <w:pBdr>
          <w:left w:val="single" w:color="1A4A6B" w:sz="8" w:space="12"/>
        </w:pBdr>
        <w:spacing w:before="80" w:after="80"/>
        <w:ind w:left="440"/>
      </w:pPr>
      <w:r>
        <w:rPr>
          <w:rFonts w:ascii="Arial" w:cs="Arial" w:eastAsia="Arial" w:hAnsi="Arial"/>
          <w:i/>
          <w:iCs/>
          <w:color w:val="1B2A3E"/>
          <w:sz w:val="19"/>
          <w:szCs w:val="19"/>
        </w:rPr>
        <w:t xml:space="preserve">PMC/Frontiers (Egbo, Nigmetolla et al. 2025): "Almost 90% of patients with Parkinson's disease have measurable speech deficits, manifest as changes in pitch variability, frequency modulation, amplitude, and vocal stability. These changes often ANTEDATE visible motor deficits, rendering them appealing for early-stage screening."</w:t>
      </w:r>
    </w:p>
    <w:p>
      <w:pPr>
        <w:pBdr>
          <w:left w:val="single" w:color="1A4A6B" w:sz="8" w:space="12"/>
        </w:pBdr>
        <w:spacing w:before="80" w:after="80"/>
        <w:ind w:left="440"/>
      </w:pPr>
      <w:r>
        <w:rPr>
          <w:rFonts w:ascii="Arial" w:cs="Arial" w:eastAsia="Arial" w:hAnsi="Arial"/>
          <w:i/>
          <w:iCs/>
          <w:color w:val="1B2A3E"/>
          <w:sz w:val="19"/>
          <w:szCs w:val="19"/>
        </w:rPr>
        <w:t xml:space="preserve">Scientific Reports (Shen et al. 2025): Hybrid CNN+RNN+MKL+MLP model on voice biomarkers: 91.11% accuracy, 92.50% recall, AUC 0.9125. Key features: MFCCs, jitter, shimmer. SHAP analysis identified jitter and shimmer as dominant discriminative features.</w:t>
      </w:r>
    </w:p>
    <w:p>
      <w:pPr>
        <w:pBdr>
          <w:left w:val="single" w:color="1A4A6B" w:sz="8" w:space="12"/>
        </w:pBdr>
        <w:spacing w:before="80" w:after="80"/>
        <w:ind w:left="440"/>
      </w:pPr>
      <w:r>
        <w:rPr>
          <w:rFonts w:ascii="Arial" w:cs="Arial" w:eastAsia="Arial" w:hAnsi="Arial"/>
          <w:i/>
          <w:iCs/>
          <w:color w:val="1B2A3E"/>
          <w:sz w:val="19"/>
          <w:szCs w:val="19"/>
        </w:rPr>
        <w:t xml:space="preserve">Sci Rep voice biomarker PD study (Naeem et al. 2025): SVM on voice measures: 92.31% accuracy. RF model: 87.18%. Key UCI dataset (195 recordings, 31 patients). Important caveat: dataset is small; real-world performance likely 70-80% AUC due to population heterogeneity.</w:t>
      </w:r>
    </w:p>
    <w:p>
      <w:pPr>
        <w:spacing w:before="80" w:after="80"/>
      </w:pPr>
      <w:r>
        <w:rPr>
          <w:rFonts w:ascii="Arial" w:cs="Arial" w:eastAsia="Arial" w:hAnsi="Arial"/>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00"/>
        <w:gridCol w:w="1760"/>
      </w:tblGrid>
      <w:tr>
        <w:trPr>
          <w:tblHeader/>
        </w:trPr>
        <w:tc>
          <w:tcPr>
            <w:tcW w:type="dxa" w:w="16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Acoustic feature</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Change in PD</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Measurement in Echo OS</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Clinical interpretation</w:t>
            </w:r>
          </w:p>
        </w:tc>
        <w:tc>
          <w:tcPr>
            <w:tcW w:type="dxa" w:w="176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Threshold for watch flag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Jitter (local)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Elevated 3-5x in PD patients vs healthy controls. Reflects laryngeal tremor from basal ganglia dopamine deficiency.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VIE computes jitter per voice sample using standard Praat algorithm. Longitudinal tracking.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Rising jitter trend over 12-24 months suggests progressing laryngeal motor control impairment.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Jitter_local rising &gt; 0.5 SD per 6 months, sustained trend (not noise)</w:t>
            </w:r>
          </w:p>
        </w:tc>
      </w:tr>
      <w:tr>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Shimmer (APQ3)</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Elevated in PD. Reflects amplitude perturbation from impaired vocal fold closure.</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VIE computes shimmer per voice sample. Longitudinal tracking.</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Rising shimmer trend. Combined with jitter change = higher specificity.</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Shimmer_APQ3 rising &gt; 0.4 SD per 6 months, concurrent with jitter increase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HNR (Harmonics-to-Noise Ratio)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Reduced in PD. Reflects increased aperiodic noise component in sustained phonation.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VIE computes HNR from sustained vowel phonation (user prompted to say "ahhh" for 3 seconds during morning check-in).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Declining HNR trend indicates increasing phonation irregularity.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HNR declining &gt; 1 dB per 6 months, sustained trend</w:t>
            </w:r>
          </w:p>
        </w:tc>
      </w:tr>
      <w:tr>
        <w:tc>
          <w:tcPr>
            <w:tcW w:type="dxa" w:w="1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RPDE (Recurrence Period Density Entropy)</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Reduced in PD. Measures the nonlinear complexity of the glottal pulse train.</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Computed from reconstructed audio (from MFCC). Approximation only due to lossy compression.</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Reduced RPDE suggests reduced phonation complexity (consistent with neurological rigidity).</w:t>
            </w:r>
          </w:p>
        </w:tc>
        <w:tc>
          <w:tcPr>
            <w:tcW w:type="dxa" w:w="17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RPDE &lt; 0.5 (below population threshold); combine with jitter/shimmer for specificity</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205070"/>
          <w:sz w:val="23"/>
          <w:szCs w:val="23"/>
        </w:rPr>
        <w:t xml:space="preserve">4.1.2 Alzheimer's Disease Linguistic Biomarkers</w:t>
      </w:r>
    </w:p>
    <w:p>
      <w:pPr>
        <w:pBdr>
          <w:left w:val="single" w:color="1A4A6B" w:sz="8" w:space="12"/>
        </w:pBdr>
        <w:spacing w:before="80" w:after="80"/>
        <w:ind w:left="440"/>
      </w:pPr>
      <w:r>
        <w:rPr>
          <w:rFonts w:ascii="Arial" w:cs="Arial" w:eastAsia="Arial" w:hAnsi="Arial"/>
          <w:i/>
          <w:iCs/>
          <w:color w:val="1B2A3E"/>
          <w:sz w:val="19"/>
          <w:szCs w:val="19"/>
        </w:rPr>
        <w:t xml:space="preserve">García-Gutiérrez et al. (2024, review of 12+ studies): AI models analysing conversational speech detect preclinical Alzheimer's with 73% accuracy an average of 5+ years before diagnosis. Key features: reduced lexical diversity (fewer unique words per utterance), semantic incoherence, word-finding pauses, simplified syntax.</w:t>
      </w:r>
    </w:p>
    <w:p>
      <w:pPr>
        <w:pBdr>
          <w:left w:val="single" w:color="1A4A6B" w:sz="8" w:space="12"/>
        </w:pBdr>
        <w:spacing w:before="80" w:after="80"/>
        <w:ind w:left="440"/>
      </w:pPr>
      <w:r>
        <w:rPr>
          <w:rFonts w:ascii="Arial" w:cs="Arial" w:eastAsia="Arial" w:hAnsi="Arial"/>
          <w:i/>
          <w:iCs/>
          <w:color w:val="1B2A3E"/>
          <w:sz w:val="19"/>
          <w:szCs w:val="19"/>
        </w:rPr>
        <w:t xml:space="preserve">DementiaBank dataset studies (multiple, 2020-2025): Natural language processing on structured speech tasks (Cookie Theft description) detects MCI (Mild Cognitive Impairment) with AUC 0.72-0.84 depending on algorithm. BERT-based models outperform feature-engineering approaches.</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Echo OS approach for Alzheimer's linguistic biomarkers:</w:t>
      </w:r>
    </w:p>
    <w:p>
      <w:pPr>
        <w:spacing w:before="40" w:after="40"/>
        <w:ind w:left="540" w:hanging="220"/>
      </w:pPr>
      <w:r>
        <w:rPr>
          <w:rFonts w:ascii="Arial" w:cs="Arial" w:eastAsia="Arial" w:hAnsi="Arial"/>
          <w:sz w:val="20"/>
          <w:szCs w:val="20"/>
        </w:rPr>
        <w:t xml:space="preserve">•  Conversational voice samples from JARVIS interactions provide natural speech data without requiring structured assessment tasks</w:t>
      </w:r>
    </w:p>
    <w:p>
      <w:pPr>
        <w:spacing w:before="40" w:after="40"/>
        <w:ind w:left="540" w:hanging="220"/>
      </w:pPr>
      <w:r>
        <w:rPr>
          <w:rFonts w:ascii="Arial" w:cs="Arial" w:eastAsia="Arial" w:hAnsi="Arial"/>
          <w:sz w:val="20"/>
          <w:szCs w:val="20"/>
        </w:rPr>
        <w:t xml:space="preserve">•  Lexical diversity score (Type-Token Ratio) computed per conversation: declining TTR over 12+ months = research flag</w:t>
      </w:r>
    </w:p>
    <w:p>
      <w:pPr>
        <w:spacing w:before="40" w:after="40"/>
        <w:ind w:left="540" w:hanging="220"/>
      </w:pPr>
      <w:r>
        <w:rPr>
          <w:rFonts w:ascii="Arial" w:cs="Arial" w:eastAsia="Arial" w:hAnsi="Arial"/>
          <w:sz w:val="20"/>
          <w:szCs w:val="20"/>
        </w:rPr>
        <w:t xml:space="preserve">•  Word retrieval latency proxy: pause-to-speech ratio increasing over time = research flag</w:t>
      </w:r>
    </w:p>
    <w:p>
      <w:pPr>
        <w:spacing w:before="40" w:after="40"/>
        <w:ind w:left="540" w:hanging="220"/>
      </w:pPr>
      <w:r>
        <w:rPr>
          <w:rFonts w:ascii="Arial" w:cs="Arial" w:eastAsia="Arial" w:hAnsi="Arial"/>
          <w:sz w:val="20"/>
          <w:szCs w:val="20"/>
        </w:rPr>
        <w:t xml:space="preserve">•  IMPORTANT: Minimum 12 months of data required before any linguistic trend is meaningful. Short-term lexical changes are driven by mood, topic, and context, not neurodegeneration.</w:t>
      </w:r>
    </w:p>
    <w:p>
      <w:pPr>
        <w:spacing w:before="40" w:after="40"/>
        <w:ind w:left="540" w:hanging="220"/>
      </w:pPr>
      <w:r>
        <w:rPr>
          <w:rFonts w:ascii="Arial" w:cs="Arial" w:eastAsia="Arial" w:hAnsi="Arial"/>
          <w:sz w:val="20"/>
          <w:szCs w:val="20"/>
        </w:rPr>
        <w:t xml:space="preserve">•  ALL Alzheimer's-related signals displayed ONLY in Research Dashboard (explicit opt-in required). NEVER in main HSAI or user-facing alerts.</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4.2 Ethical Framework for Neurodegeneration Signals</w:t>
      </w:r>
    </w:p>
    <w:p>
      <w:pPr>
        <w:pBdr>
          <w:left w:val="single" w:color="B03020" w:sz="8" w:space="12"/>
        </w:pBdr>
        <w:spacing w:before="80" w:after="80"/>
        <w:ind w:left="440"/>
      </w:pPr>
      <w:r>
        <w:rPr>
          <w:rFonts w:ascii="Arial" w:cs="Arial" w:eastAsia="Arial" w:hAnsi="Arial"/>
          <w:i/>
          <w:iCs/>
          <w:color w:val="7A1E10"/>
          <w:sz w:val="19"/>
          <w:szCs w:val="19"/>
        </w:rPr>
        <w:t xml:space="preserve">Neurodegeneration risk signals carry higher ethical risk than any other disease category. A false positive for Parkinson's or Alzheimer's can cause severe psychological harm, relationship damage, and inappropriate medical interventions. The Echo OS policy:</w:t>
      </w:r>
    </w:p>
    <w:p>
      <w:pPr>
        <w:spacing w:before="80" w:after="80"/>
      </w:pPr>
      <w:r>
        <w:rPr>
          <w:rFonts w:ascii="Arial" w:cs="Arial" w:eastAsia="Arial" w:hAnsi="Arial"/>
          <w:sz w:val="20"/>
          <w:szCs w:val="20"/>
        </w:rPr>
        <w:t xml:space="preserve"/>
      </w:r>
    </w:p>
    <w:p>
      <w:pPr>
        <w:spacing w:before="40" w:after="40"/>
        <w:ind w:left="520" w:hanging="300"/>
      </w:pPr>
      <w:r>
        <w:rPr>
          <w:rFonts w:ascii="Arial" w:cs="Arial" w:eastAsia="Arial" w:hAnsi="Arial"/>
          <w:b/>
          <w:bCs/>
          <w:sz w:val="20"/>
          <w:szCs w:val="20"/>
        </w:rPr>
        <w:t xml:space="preserve">1.  </w:t>
      </w:r>
      <w:r>
        <w:rPr>
          <w:rFonts w:ascii="Arial" w:cs="Arial" w:eastAsia="Arial" w:hAnsi="Arial"/>
          <w:sz w:val="20"/>
          <w:szCs w:val="20"/>
        </w:rPr>
        <w:t xml:space="preserve">Neurodegeneration signals are displayed ONLY in the Research Dashboard, accessible only via explicit multi-step opt-in with consent dialogue.</w:t>
      </w:r>
    </w:p>
    <w:p>
      <w:pPr>
        <w:spacing w:before="40" w:after="40"/>
        <w:ind w:left="520" w:hanging="300"/>
      </w:pPr>
      <w:r>
        <w:rPr>
          <w:rFonts w:ascii="Arial" w:cs="Arial" w:eastAsia="Arial" w:hAnsi="Arial"/>
          <w:b/>
          <w:bCs/>
          <w:sz w:val="20"/>
          <w:szCs w:val="20"/>
        </w:rPr>
        <w:t xml:space="preserve">2.  </w:t>
      </w:r>
      <w:r>
        <w:rPr>
          <w:rFonts w:ascii="Arial" w:cs="Arial" w:eastAsia="Arial" w:hAnsi="Arial"/>
          <w:sz w:val="20"/>
          <w:szCs w:val="20"/>
        </w:rPr>
        <w:t xml:space="preserve">The Research Dashboard header states: "EXPERIMENTAL: These signals are research-grade biomarkers not validated for clinical use. Do not make medical decisions based on these readings."</w:t>
      </w:r>
    </w:p>
    <w:p>
      <w:pPr>
        <w:spacing w:before="40" w:after="40"/>
        <w:ind w:left="520" w:hanging="300"/>
      </w:pPr>
      <w:r>
        <w:rPr>
          <w:rFonts w:ascii="Arial" w:cs="Arial" w:eastAsia="Arial" w:hAnsi="Arial"/>
          <w:b/>
          <w:bCs/>
          <w:sz w:val="20"/>
          <w:szCs w:val="20"/>
        </w:rPr>
        <w:t xml:space="preserve">3.  </w:t>
      </w:r>
      <w:r>
        <w:rPr>
          <w:rFonts w:ascii="Arial" w:cs="Arial" w:eastAsia="Arial" w:hAnsi="Arial"/>
          <w:sz w:val="20"/>
          <w:szCs w:val="20"/>
        </w:rPr>
        <w:t xml:space="preserve">No push notifications for neurodegeneration signals. User must actively navigate to Research Dashboard.</w:t>
      </w:r>
    </w:p>
    <w:p>
      <w:pPr>
        <w:spacing w:before="40" w:after="40"/>
        <w:ind w:left="520" w:hanging="300"/>
      </w:pPr>
      <w:r>
        <w:rPr>
          <w:rFonts w:ascii="Arial" w:cs="Arial" w:eastAsia="Arial" w:hAnsi="Arial"/>
          <w:b/>
          <w:bCs/>
          <w:sz w:val="20"/>
          <w:szCs w:val="20"/>
        </w:rPr>
        <w:t xml:space="preserve">4.  </w:t>
      </w:r>
      <w:r>
        <w:rPr>
          <w:rFonts w:ascii="Arial" w:cs="Arial" w:eastAsia="Arial" w:hAnsi="Arial"/>
          <w:sz w:val="20"/>
          <w:szCs w:val="20"/>
        </w:rPr>
        <w:t xml:space="preserve">Any neurodegeneration flag in the Research Dashboard automatically triggers an offer of a doctor consultation within 7 days before the user can view the full signal detail.</w:t>
      </w:r>
    </w:p>
    <w:p>
      <w:pPr>
        <w:spacing w:before="40" w:after="40"/>
        <w:ind w:left="520" w:hanging="300"/>
      </w:pPr>
      <w:r>
        <w:rPr>
          <w:rFonts w:ascii="Arial" w:cs="Arial" w:eastAsia="Arial" w:hAnsi="Arial"/>
          <w:b/>
          <w:bCs/>
          <w:sz w:val="20"/>
          <w:szCs w:val="20"/>
        </w:rPr>
        <w:t xml:space="preserve">5.  </w:t>
      </w:r>
      <w:r>
        <w:rPr>
          <w:rFonts w:ascii="Arial" w:cs="Arial" w:eastAsia="Arial" w:hAnsi="Arial"/>
          <w:sz w:val="20"/>
          <w:szCs w:val="20"/>
        </w:rPr>
        <w:t xml:space="preserve">Neurodegeneration signals are EXCLUDED from HSAI computation in v1 and v2. They may be incorporated into an optional HSAI-Extended in v3+ after clinical validation study completion.</w:t>
      </w:r>
    </w:p>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5: HSAI — Complete Mathematical and Scientific Definition</w:t>
      </w:r>
    </w:p>
    <w:p>
      <w:pPr>
        <w:pStyle w:val="Heading2"/>
        <w:spacing w:before="300" w:after="140"/>
      </w:pPr>
      <w:r>
        <w:rPr>
          <w:rFonts w:ascii="Arial" w:cs="Arial" w:eastAsia="Arial" w:hAnsi="Arial"/>
          <w:b/>
          <w:bCs/>
          <w:color w:val="1A4A6B"/>
          <w:sz w:val="28"/>
          <w:szCs w:val="28"/>
        </w:rPr>
        <w:t xml:space="preserve">5.1 HSAI Conceptual Foundation</w:t>
      </w:r>
    </w:p>
    <w:p>
      <w:pPr>
        <w:spacing w:before="60" w:after="60"/>
      </w:pPr>
      <w:r>
        <w:rPr>
          <w:rFonts w:ascii="Arial" w:cs="Arial" w:eastAsia="Arial" w:hAnsi="Arial"/>
          <w:sz w:val="20"/>
          <w:szCs w:val="20"/>
        </w:rPr>
        <w:t xml:space="preserve">The Health-Span Adaptability Index is Echo OS’s flagship proprietary measure. It operationalises the complexity science insight that health is not the absence of disease but the presence of adaptive capacity. HSAI is measured in real time, changes with lifestyle, responds to therapy, and predicts future health trajectories.</w:t>
      </w:r>
    </w:p>
    <w:p>
      <w:pPr>
        <w:spacing w:before="80" w:after="80"/>
      </w:pPr>
      <w:r>
        <w:rPr>
          <w:rFonts w:ascii="Arial" w:cs="Arial" w:eastAsia="Arial" w:hAnsi="Arial"/>
          <w:sz w:val="20"/>
          <w:szCs w:val="20"/>
        </w:rPr>
        <w:t xml:space="preserve"/>
      </w:r>
    </w:p>
    <w:p>
      <w:pPr>
        <w:pBdr>
          <w:left w:val="single" w:color="1A4A6B" w:sz="8" w:space="12"/>
        </w:pBdr>
        <w:spacing w:before="80" w:after="80"/>
        <w:ind w:left="440"/>
      </w:pPr>
      <w:r>
        <w:rPr>
          <w:rFonts w:ascii="Arial" w:cs="Arial" w:eastAsia="Arial" w:hAnsi="Arial"/>
          <w:i/>
          <w:iCs/>
          <w:color w:val="1B2A3E"/>
          <w:sz w:val="19"/>
          <w:szCs w:val="19"/>
        </w:rPr>
        <w:t xml:space="preserve">Foundation citation (Seely &amp; Macklem, Critical Care Medicine 2012): "Complexity variability theory posits that healthy biological systems maintain a wide range of possible states and transitions. The loss of this range — measured by reduction in variability and adaptability — precedes and predicts disease." HSAI is the consumer-grade operationalisation of this principle.</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5.2 HSAI: Complete 7-Domain Mathematical Specification</w:t>
      </w:r>
    </w:p>
    <w:p>
      <w:pPr>
        <w:spacing w:before="80" w:after="8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HSAI = 0.25 × D_auto + 0.20 × D_rec + 0.15 × D_cog + 0.13 × D_oxy + 0.12 × D_therm + 0.10 × D_voice + 0.05 × D_meta</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200"/>
        <w:gridCol w:w="2600"/>
        <w:gridCol w:w="2400"/>
      </w:tblGrid>
      <w:tr>
        <w:trPr>
          <w:tblHeader/>
        </w:trPr>
        <w:tc>
          <w:tcPr>
            <w:tcW w:type="dxa" w:w="1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Domain i</w:t>
            </w:r>
          </w:p>
        </w:tc>
        <w:tc>
          <w:tcPr>
            <w:tcW w:type="dxa" w:w="8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2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Input features</w:t>
            </w:r>
          </w:p>
        </w:tc>
        <w:tc>
          <w:tcPr>
            <w:tcW w:type="dxa" w:w="26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Scoring function D_i(0-100)</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Scientific grounding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Autonomic Stability (auto)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RMSSD_30d_slope_z, SDNN_baseline_percentile (age/sex-adjusted), LF/HF_7d_median, post-stress_rebound_efficiency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D_auto = 100 × sigmoid(1.5 × RMSSD_slope_z + 0.8 × SDNN_percentile − 0.5 × LF/HF_z + 0.7 × rebound_efficiency_z). All z-scores vs personal 90-day baseline.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Addleman 2025 (SDNN &lt; 70ms = 1.73x MACE), Fang 2020 (HRV-mortality HR 2.27), EP Europace (SDNN 1% = 1% CVD risk change)</w:t>
            </w:r>
          </w:p>
        </w:tc>
      </w:tr>
      <w:tr>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Recovery Kinetics (rec)</w:t>
            </w:r>
          </w:p>
        </w:tc>
        <w:tc>
          <w:tcPr>
            <w:tcW w:type="dxa" w:w="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20%</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k_recovery_per_therapy (exponential HRV recovery constant, fitted per session), HR_recovery_60s_post_exercise, HRV_restoration_time_post_session</w:t>
            </w:r>
          </w:p>
        </w:tc>
        <w:tc>
          <w:tcPr>
            <w:tcW w:type="dxa" w:w="2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D_rec = 100 × min(1.0, k_user / k_population_p75) where k_population_p75 is the 75th percentile recovery constant for age/fitness-matched population from Echo OS data</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Louis et al. 2020: individual k is stable fingerprint. Faster recovery = higher physiological reserve. NEJM Cole 1999: HR recovery 60s &lt; 12 bpm associated with mortality.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Cognitive Load (cog)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CLI_7d_mean (voice_stress + HRV_resting + EDA composite), HRV_during_rest_vs_baseline, sleep_debt_index, EDA_tonic_7d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D_cog = 100 × (1 − CLI_normalised) × (HRV_rest / HRV_baseline) × (1 − sleep_debt_normalised)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Shanmugavaradharajan 2024: RMSSD -17ms (d=0.92) in burnout. MDPI Sensors 2025: voice+HRV fusion for cognitive load r=0.78 vs gold standard.</w:t>
            </w:r>
          </w:p>
        </w:tc>
      </w:tr>
      <w:tr>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Oxygen Utilisation (oxy)</w:t>
            </w:r>
          </w:p>
        </w:tc>
        <w:tc>
          <w:tcPr>
            <w:tcW w:type="dxa" w:w="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13%</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SpO2_baseline_percentile (age-adjusted), SpO2_kinetics_post_HBOT (if available), resting_SpO2_7d_trend, SpO2_during_maximal_exercise (if available)</w:t>
            </w:r>
          </w:p>
        </w:tc>
        <w:tc>
          <w:tcPr>
            <w:tcW w:type="dxa" w:w="2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D_oxy = 100 × sigmoid(2 × (SpO2_baseline − 95) + k_SpO2_recovery_efficiency). Sigmoid centred at SpO2 = 97% normal.</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StatPearls HBOT 2025: oxygen utilisation efficiency is CVD predictor. UK Biobank: SpO2 trend associated with MACE.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Thermoregulation (therm)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TRI_mean_last_3_sessions (Thermoregulatory Recovery Index in minutes), core_temp_circadian_amplitude, night_skin_temp_SD, post_sauna_cooling_slope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D_therm = 100 × exp(−0.08 × max(0, TRI − TRI_expected)) × (1 − night_SD_penalty) where TRI_expected = 14 min (population baseline)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AJP-RICU 2025: thermoregulatory response correlated with metabolic health. Slow rewarming is peripheral endothelial dysfunction marker.</w:t>
            </w:r>
          </w:p>
        </w:tc>
      </w:tr>
      <w:tr>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Voice Biomarker Trajectory (voice)</w:t>
            </w:r>
          </w:p>
        </w:tc>
        <w:tc>
          <w:tcPr>
            <w:tcW w:type="dxa" w:w="8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Jitter_30d_slope_z, shimmer_30d_slope_z, HNR_30d_slope_z, prosody_entropy_30d_slope_z. All z-scores vs personal 90-day baseline.</w:t>
            </w:r>
          </w:p>
        </w:tc>
        <w:tc>
          <w:tcPr>
            <w:tcW w:type="dxa" w:w="26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D_voice = 100 × (1 − sigmoid(jitter_slope_z × 1.5 + shimmer_slope_z × 1.0 − HNR_slope_z × 1.0 − prosody_entropy_slope_z × 0.8)). Worsening = rising jitter/shimmer, falling HNR/prosody.</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PMC 2025; Shen et al. 2025 Scientific Reports: jitter+shimmer primary PD features. Krautz et al. 2025: voice trajectory reflects systemic health. Longitudinal trajectory more sensitive than cross-sectional snapshot.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Metabolic Proxy (meta)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MPCS (Metabolic Proxy Composite Score from Part 2), post_meal_HRV_delta_z, night_temp_SD_z</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D_meta = MPCS / 100 (directly mapped). Increases to 15% weight when CGM integration available in v3.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Luxembourg Institute 2024: voice-glucose proxy. Banerjee 2022: EDA-metabolic correlation. Post-meal HRV: multiple JCE studies.</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5.3 Uncertainty Quantification</w:t>
      </w:r>
    </w:p>
    <w:p>
      <w:pPr>
        <w:spacing w:before="60" w:after="60"/>
      </w:pPr>
      <w:r>
        <w:rPr>
          <w:rFonts w:ascii="Arial" w:cs="Arial" w:eastAsia="Arial" w:hAnsi="Arial"/>
          <w:sz w:val="20"/>
          <w:szCs w:val="20"/>
        </w:rPr>
        <w:t xml:space="preserve">HSAI without uncertainty bounds is scientifically indefensible. The system must report confidence intervals:</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Each domain score D_i includes a Bayesian posterior standard deviation σ_i computed from the variance of input features over the trailing 30-day window.</w:t>
      </w:r>
    </w:p>
    <w:p>
      <w:pPr>
        <w:spacing w:before="40" w:after="40"/>
        <w:ind w:left="540" w:hanging="220"/>
      </w:pPr>
      <w:r>
        <w:rPr>
          <w:rFonts w:ascii="Arial" w:cs="Arial" w:eastAsia="Arial" w:hAnsi="Arial"/>
          <w:sz w:val="20"/>
          <w:szCs w:val="20"/>
        </w:rPr>
        <w:t xml:space="preserve">•  If σ_i &gt; 15 points for any domain, that domain is marked "Insufficient data" and excluded from HSAI computation; remaining domains re-weighted proportionally.</w:t>
      </w:r>
    </w:p>
    <w:p>
      <w:pPr>
        <w:spacing w:before="40" w:after="40"/>
        <w:ind w:left="540" w:hanging="220"/>
      </w:pPr>
      <w:r>
        <w:rPr>
          <w:rFonts w:ascii="Arial" w:cs="Arial" w:eastAsia="Arial" w:hAnsi="Arial"/>
          <w:sz w:val="20"/>
          <w:szCs w:val="20"/>
        </w:rPr>
        <w:t xml:space="preserve">•  If more than 2 domains are excluded simultaneously, the entire HSAI score is suppressed and the user is shown: "Insufficient data for HSAI calculation. Keep wearing your band for 3+ more days."</w:t>
      </w:r>
    </w:p>
    <w:p>
      <w:pPr>
        <w:spacing w:before="40" w:after="40"/>
        <w:ind w:left="540" w:hanging="220"/>
      </w:pPr>
      <w:r>
        <w:rPr>
          <w:rFonts w:ascii="Arial" w:cs="Arial" w:eastAsia="Arial" w:hAnsi="Arial"/>
          <w:sz w:val="20"/>
          <w:szCs w:val="20"/>
        </w:rPr>
        <w:t xml:space="preserve">•  Minimum data requirement: 7 days of band wear before any HSAI score is displayed. First 7 days: onboarding phase, personal baseline establishment, no HSAI shown.</w:t>
      </w:r>
    </w:p>
    <w:p>
      <w:pPr>
        <w:spacing w:before="40" w:after="40"/>
        <w:ind w:left="540" w:hanging="220"/>
      </w:pPr>
      <w:r>
        <w:rPr>
          <w:rFonts w:ascii="Arial" w:cs="Arial" w:eastAsia="Arial" w:hAnsi="Arial"/>
          <w:sz w:val="20"/>
          <w:szCs w:val="20"/>
        </w:rPr>
        <w:t xml:space="preserve">•  Displayed confidence interval: HSAI (±2σ) shown as range in app, e.g. "HSAI: 68 (range: 62–74)." Narrow range = high confidence; wide range = collecting more data.</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5.4 HSAI Validation Roadmap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2400"/>
        <w:gridCol w:w="2160"/>
      </w:tblGrid>
      <w:tr>
        <w:trPr>
          <w:tblHeader/>
        </w:trPr>
        <w:tc>
          <w:tcPr>
            <w:tcW w:type="dxa" w:w="20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Study</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Design</w:t>
            </w:r>
          </w:p>
        </w:tc>
        <w:tc>
          <w:tcPr>
            <w:tcW w:type="dxa" w:w="1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Target finding</w:t>
            </w:r>
          </w:p>
        </w:tc>
        <w:tc>
          <w:tcPr>
            <w:tcW w:type="dxa" w:w="216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Publication timeline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HSAI Test-Retest Reliability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 = 100 stable users; HSAI computed on two consecutive 7-day windows separated by 2 weeks in stable lifestyle phase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Cronbach’s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0.80 (published threshold for clinical measurement reliability)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Internal report Month 12; journal submission Year 2</w:t>
            </w:r>
          </w:p>
        </w:tc>
      </w:tr>
      <w:tr>
        <w:tc>
          <w:tcPr>
            <w:tcW w:type="dxa" w:w="2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HSAI vs Standard Biomarker Correlation</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 = 200 pilot users; HSAI at baseline vs HbA1c, CRP, lipid panel, fasting glucose at same time point</w:t>
            </w:r>
          </w:p>
        </w:tc>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Pearson r</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r &gt; 0.50 for HSAI vs at least 2 standard biomarkers</w:t>
            </w:r>
          </w:p>
        </w:tc>
        <w:tc>
          <w:tcPr>
            <w:tcW w:type="dxa" w:w="21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Year 2 (requires 12 months of paired data collection)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HSAI Predictive Validity (longitudinal)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 = 500 pilot users; baseline HSAI vs lab biomarker trajectory at 6, 12, 24 months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AUC for detecting future HbA1c elevation &gt; 5.7 from baseline HSAI &lt; 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AUC &gt; 0.70 (minimum for clinical decision support relevance)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 3 submission target: Lancet Digital Health or JAMA Internal Medicine</w:t>
            </w:r>
          </w:p>
        </w:tc>
      </w:tr>
      <w:tr>
        <w:tc>
          <w:tcPr>
            <w:tcW w:type="dxa" w:w="2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HSAI vs Clinical HRV Analysis</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 = 50; Echo OS HSAI computed from band + patch vs clinical HRV analysis on 24h Holter (gold standard)</w:t>
            </w:r>
          </w:p>
        </w:tc>
        <w:tc>
          <w:tcPr>
            <w:tcW w:type="dxa" w:w="1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Concordance correlation coefficient (CCC)</w:t>
            </w:r>
          </w:p>
        </w:tc>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CCC &gt; 0.75 (acceptable for clinical-grade agreement)</w:t>
            </w:r>
          </w:p>
        </w:tc>
        <w:tc>
          <w:tcPr>
            <w:tcW w:type="dxa" w:w="216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Year 2; submit to journal of clinical HRV (Frontiers CV Medicine)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Therapy Response Phenotyping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 = 300 users; classify users by HSAI response pattern to cryotherapy over 10 sessions; identify sub-phenotypes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Cluster analysis + phenotype stability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 stable phenotypes identifiable; phenotypes differ in 12-month health trajectory (primary outcome)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 3; target Nature Digital Medicine (novel finding: no such dataset exists currently)</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B2A3E"/>
          <w:sz w:val="36"/>
          <w:szCs w:val="36"/>
        </w:rPr>
        <w:t xml:space="preserve">Part 6: Novel Research Output Plan — The Groundbreaking Studies</w:t>
      </w:r>
    </w:p>
    <w:p>
      <w:pPr>
        <w:pStyle w:val="Heading2"/>
        <w:spacing w:before="300" w:after="140"/>
      </w:pPr>
      <w:r>
        <w:rPr>
          <w:rFonts w:ascii="Arial" w:cs="Arial" w:eastAsia="Arial" w:hAnsi="Arial"/>
          <w:b/>
          <w:bCs/>
          <w:color w:val="1A4A6B"/>
          <w:sz w:val="28"/>
          <w:szCs w:val="28"/>
        </w:rPr>
        <w:t xml:space="preserve">6.1 Why Echo OS Will Produce Novel Science</w:t>
      </w:r>
    </w:p>
    <w:p>
      <w:pPr>
        <w:spacing w:before="60" w:after="60"/>
      </w:pPr>
      <w:r>
        <w:rPr>
          <w:rFonts w:ascii="Arial" w:cs="Arial" w:eastAsia="Arial" w:hAnsi="Arial"/>
          <w:sz w:val="20"/>
          <w:szCs w:val="20"/>
        </w:rPr>
        <w:t xml:space="preserve">Echo OS occupies a unique position in the research landscape. It will be the first platform to collect:</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Controlled therapeutic stressor data (cryo, HBOT, sauna) under standardised conditions at wellness centres</w:t>
      </w:r>
    </w:p>
    <w:p>
      <w:pPr>
        <w:spacing w:before="40" w:after="40"/>
        <w:ind w:left="540" w:hanging="220"/>
      </w:pPr>
      <w:r>
        <w:rPr>
          <w:rFonts w:ascii="Arial" w:cs="Arial" w:eastAsia="Arial" w:hAnsi="Arial"/>
          <w:sz w:val="20"/>
          <w:szCs w:val="20"/>
        </w:rPr>
        <w:t xml:space="preserve">•  Simultaneous multi-modal physiological response (ECG, PPG, BioZ, skin temp, EDA, voice) from the same session</w:t>
      </w:r>
    </w:p>
    <w:p>
      <w:pPr>
        <w:spacing w:before="40" w:after="40"/>
        <w:ind w:left="540" w:hanging="220"/>
      </w:pPr>
      <w:r>
        <w:rPr>
          <w:rFonts w:ascii="Arial" w:cs="Arial" w:eastAsia="Arial" w:hAnsi="Arial"/>
          <w:sz w:val="20"/>
          <w:szCs w:val="20"/>
        </w:rPr>
        <w:t xml:space="preserve">•  Longitudinal follow-up (months to years) in the same individuals</w:t>
      </w:r>
    </w:p>
    <w:p>
      <w:pPr>
        <w:spacing w:before="40" w:after="40"/>
        <w:ind w:left="540" w:hanging="220"/>
      </w:pPr>
      <w:r>
        <w:rPr>
          <w:rFonts w:ascii="Arial" w:cs="Arial" w:eastAsia="Arial" w:hAnsi="Arial"/>
          <w:sz w:val="20"/>
          <w:szCs w:val="20"/>
        </w:rPr>
        <w:t xml:space="preserve">•  Medical record correlation (HbA1c, lipid panels) through the report repository</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No existing academic or commercial dataset combines all four of these features. This creates a research advantage that cannot be replicated by competitors who do not have wellness centre access, and cannot be replicated by academic labs who do not have the scale.</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A4A6B"/>
          <w:sz w:val="28"/>
          <w:szCs w:val="28"/>
        </w:rPr>
        <w:t xml:space="preserve">6.2 Three Landmark Studies</w:t>
      </w:r>
    </w:p>
    <w:p>
      <w:pPr>
        <w:pStyle w:val="Heading3"/>
        <w:spacing w:before="200" w:after="100"/>
      </w:pPr>
      <w:r>
        <w:rPr>
          <w:rFonts w:ascii="Arial" w:cs="Arial" w:eastAsia="Arial" w:hAnsi="Arial"/>
          <w:b/>
          <w:bCs/>
          <w:color w:val="205070"/>
          <w:sz w:val="23"/>
          <w:szCs w:val="23"/>
        </w:rPr>
        <w:t xml:space="preserve">Study 1: The Therapy Response Phenotype Study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70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Research question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Are there distinct physiological phenotypes in how individuals respond to whole-body cryotherapy, HBOT, and sauna therapy? And do these phenotypes predict long-term health outcomes?</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Why novel</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No existing dataset has n &gt; 100 with standardised cryo + HBOT + sauna exposure + longitudinal follow-up. Most studies are n = 20-40, single session, single therapy.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Dataset required</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 = 500 users; 10+ sessions per user per therapy; 12+ months follow-up; paired with annual lab biomarkers. Achievable in Year 2-3 of pilot deployment.</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Methodology</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Unsupervised clustering of PINN-derived therapy response trajectories. K-means + UMAP visualisation. Phenotype stability tested with 80/20 train/test split. Phenotype-outcome correlation: Cox regression for lab biomarker deterioration.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Target journal</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Nature Digital Medicine; npj Digital Medicine; JAMA Internal Medicine</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Commercial value</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First published paper establishes Echo OS as a scientific platform, not a consumer device. Opens pharma partnership discussions. Supports CDSCO clinical decision support classification.</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205070"/>
          <w:sz w:val="23"/>
          <w:szCs w:val="23"/>
        </w:rPr>
        <w:t xml:space="preserve">Study 2: Voice-HRV Cross-Modal Validation Study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70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Research question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 longitudinal voice biomarker trajectories (jitter, shimmer, HNR, prosody entropy) correlate with HRV-based autonomic decline in the same individuals? Does the correlation predict lab biomarker changes?</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Why novel</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No dataset exists with simultaneous longitudinal voice + HRV + lab biomarkers in healthy adult population. Academic studies either lack the wearable HRV component or lack the longitudinal depth.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Dataset required</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 = 200 users; ≥ 2 voice samples/week; continuous HRV from band; biannual HbA1c + CRP. Achievable in Year 2.</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Methodology</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Pearson/Spearman correlation between voice slope and HRV slope. Granger causality testing (does voice predict HRV better than HRV predicts voice, or are they co-varying?). Mixed-effects longitudinal model for lab outcome prediction.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Target journal</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npj Digital Medicine; PLOS One; Frontiers in Neuroscience</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Commercial value</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First validation of combined voice + HRV as health biomarker composite. Establishes scientific credibility for VIE. Enables voice biomarker patent application.</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205070"/>
          <w:sz w:val="23"/>
          <w:szCs w:val="23"/>
        </w:rPr>
        <w:t xml:space="preserve">Study 3: HSAI vs Standard Clinical Biomarkers — Prospective Cohort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7000"/>
            <w:tcBorders>
              <w:top w:val="single" w:color="1B2A3E" w:sz="2"/>
              <w:left w:val="single" w:color="1B2A3E" w:sz="2"/>
              <w:bottom w:val="single" w:color="1B2A3E" w:sz="2"/>
              <w:right w:val="single" w:color="1B2A3E" w:sz="2"/>
            </w:tcBorders>
            <w:shd w:fill="1B2A3E"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Research question</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Does the HSAI score at baseline predict changes in standard clinical biomarkers (HbA1c, CRP, lipid panel, BP) at 6, 12, and 24 months in otherwise healthy adults?</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Why novel</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This is the study that, if positive, fundamentally repositions Echo OS from wellness device to clinical decision support tool. No prospective cohort study has used an autonomic adaptability composite score as the predictor variable against standard biomarker outcomes.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Dataset required</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 = 500 users; baseline HSAI at enrolment; lab biomarkers at 6, 12, 24 months; no major health events at baseline. Multi-site (5+ wellness centres). IRB approval required.</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Methodology</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Primary outcome: AUC for HSAI &lt; 50 predicting HbA1c ≥ 5.7 at 24 months. Secondary: HSAI trend at 6 months predicting CRP elevation at 12 months. Propensity score matching for age, sex, BMI. Cox regression for time-to-event analysis.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Target journal</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JAMA Internal Medicine; Lancet Digital Health; New England Journal of Medicine (if AUC &gt; 0.78)</w:t>
            </w:r>
          </w:p>
        </w:tc>
      </w:tr>
      <w:tr>
        <w:tc>
          <w:tcPr>
            <w:tcW w:type="dxa" w:w="24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Commercial value</w:t>
            </w:r>
          </w:p>
        </w:tc>
        <w:tc>
          <w:tcPr>
            <w:tcW w:type="dxa" w:w="7000"/>
            <w:tcBorders>
              <w:top w:val="single" w:color="CCCCCC" w:sz="1"/>
              <w:left w:val="single" w:color="CCCCCC" w:sz="1"/>
              <w:bottom w:val="single" w:color="CCCCCC" w:sz="1"/>
              <w:right w:val="single" w:color="CCCCCC" w:sz="1"/>
            </w:tcBorders>
            <w:shd w:fill="E8EFF8" w:val="clear"/>
            <w:tcMar>
              <w:top w:type="dxa" w:w="60"/>
              <w:left w:type="dxa" w:w="120"/>
              <w:bottom w:type="dxa" w:w="60"/>
              <w:right w:type="dxa" w:w="120"/>
            </w:tcMar>
          </w:tcPr>
          <w:p>
            <w:r>
              <w:rPr>
                <w:rFonts w:ascii="Arial" w:cs="Arial" w:eastAsia="Arial" w:hAnsi="Arial"/>
                <w:sz w:val="19"/>
                <w:szCs w:val="19"/>
              </w:rPr>
              <w:t xml:space="preserve">Publication in NEJM/Lancet caliber journal changes everything: pharma partnerships, insurance partnerships, CDSCO Class B → Class C reclassification, valuation step-change at Series B.</w:t>
            </w:r>
          </w:p>
        </w:tc>
      </w:tr>
    </w:tbl>
    <w:p>
      <w:pPr>
        <w:spacing w:before="80" w:after="80"/>
      </w:pPr>
      <w:r>
        <w:rPr>
          <w:rFonts w:ascii="Arial" w:cs="Arial" w:eastAsia="Arial" w:hAnsi="Arial"/>
          <w:sz w:val="20"/>
          <w:szCs w:val="20"/>
        </w:rPr>
        <w:t xml:space="preserve"/>
      </w:r>
    </w:p>
    <w:p>
      <w:pPr>
        <w:pBdr>
          <w:bottom w:val="single" w:color="1A4A6B" w:sz="4" w:space="4"/>
        </w:pBdr>
        <w:spacing w:before="180" w:after="1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Echo OS Disease Prediction Framework is built on three decades of published physiology, 40 years of HRV research, and a new generation of voice biomarker science. Every algorithm has a named, cited evidence base. Every threshold has a published reference range. The HSAI is mathematically complete with uncertainty quantification. The validation roadmap is realistic, staged, and targeted at journals commensurate with the scientific ambition. Most critically, the regulatory language framework ensures that every one of these capabilities can be delivered without the liability of medical device claims before clinical validation is complete.</w:t>
      </w:r>
      <italics>true</italics>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framework is not complete. It will never be complete. That is the point. Every session, every user, and every wellness centre makes it more accurate. The disease prediction framework is the living, improving heart of Echo OS — and it is the reason no competitor can replicate Echo OS without building the same network from scratch.</w:t>
      </w:r>
      <italics>true</italics>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2026-03-18T19:07:23.859Z</dcterms:created>
  <dcterms:modified xsi:type="dcterms:W3CDTF">2026-03-18T19:07:23.860Z</dcterms:modified>
</cp:coreProperties>
</file>

<file path=docProps/custom.xml><?xml version="1.0" encoding="utf-8"?>
<Properties xmlns="http://schemas.openxmlformats.org/officeDocument/2006/custom-properties" xmlns:vt="http://schemas.openxmlformats.org/officeDocument/2006/docPropsVTypes"/>
</file>