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4E79"/>
          <w:sz w:val="72"/>
          <w:szCs w:val="72"/>
        </w:rPr>
        <w:t xml:space="preserve">Echo OS</w:t>
      </w:r>
    </w:p>
    <w:p>
      <w:pPr>
        <w:spacing w:before="200"/>
        <w:jc w:val="center"/>
      </w:pPr>
      <w:r>
        <w:rPr>
          <w:rFonts w:ascii="Arial" w:cs="Arial" w:eastAsia="Arial" w:hAnsi="Arial"/>
          <w:b/>
          <w:bCs/>
          <w:color w:val="2E75B6"/>
          <w:sz w:val="36"/>
          <w:szCs w:val="36"/>
        </w:rPr>
        <w:t xml:space="preserve">Comprehensive Improved Technical Specification</w:t>
      </w:r>
    </w:p>
    <w:p>
      <w:pPr>
        <w:spacing w:before="200"/>
        <w:jc w:val="center"/>
      </w:pPr>
      <w:r>
        <w:rPr>
          <w:rFonts w:ascii="Arial" w:cs="Arial" w:eastAsia="Arial" w:hAnsi="Arial"/>
          <w:i/>
          <w:iCs/>
          <w:color w:val="555555"/>
          <w:sz w:val="26"/>
          <w:szCs w:val="26"/>
        </w:rPr>
        <w:t xml:space="preserve">Hardware • Firmware • AI/ML • Scientific Calibration • Business Model</w:t>
      </w:r>
    </w:p>
    <w:p>
      <w:pPr>
        <w:spacing w:before="400"/>
        <w:jc w:val="center"/>
      </w:pPr>
      <w:r>
        <w:rPr>
          <w:rFonts w:ascii="Arial" w:cs="Arial" w:eastAsia="Arial" w:hAnsi="Arial"/>
          <w:color w:val="888888"/>
          <w:sz w:val="22"/>
          <w:szCs w:val="22"/>
        </w:rPr>
        <w:t xml:space="preserve">Research-Grounded • Deep Research Edition • March 2026</w:t>
      </w:r>
    </w:p>
    <w:p>
      <w:pPr>
        <w:pageBreakBefore/>
      </w:pPr>
      <w:r>
        <w:t xml:space="preserve"/>
      </w:r>
    </w:p>
    <w:p>
      <w:pPr>
        <w:pStyle w:val="Heading1"/>
        <w:spacing w:before="400" w:after="200"/>
      </w:pPr>
      <w:r>
        <w:rPr>
          <w:rFonts w:ascii="Arial" w:cs="Arial" w:eastAsia="Arial" w:hAnsi="Arial"/>
          <w:b/>
          <w:bCs/>
          <w:color w:val="1F4E79"/>
          <w:sz w:val="32"/>
          <w:szCs w:val="32"/>
        </w:rPr>
        <w:t xml:space="preserve">1. Executive Summary &amp; What Changed</w:t>
      </w:r>
    </w:p>
    <w:p>
      <w:pPr>
        <w:spacing w:before="80" w:after="80"/>
      </w:pPr>
      <w:r>
        <w:rPr>
          <w:rFonts w:ascii="Arial" w:cs="Arial" w:eastAsia="Arial" w:hAnsi="Arial"/>
          <w:sz w:val="22"/>
          <w:szCs w:val="22"/>
        </w:rPr>
        <w:t xml:space="preserve">This document supersedes the five original Echo OS design documents. Every section incorporates published clinical data, hardware datasheet specifics, validated power budgets, and regulatory pathway definitions that were absent from the original specifications. Critical architectural changes are marked with research citations.</w:t>
      </w:r>
    </w:p>
    <w:p>
      <w:pPr>
        <w:spacing w:before="120" w:after="120"/>
      </w:pPr>
      <w:r>
        <w:t xml:space="preserve"/>
      </w:r>
    </w:p>
    <w:p>
      <w:pPr>
        <w:spacing w:before="80" w:after="80"/>
      </w:pPr>
      <w:r>
        <w:rPr>
          <w:rFonts w:ascii="Arial" w:cs="Arial" w:eastAsia="Arial" w:hAnsi="Arial"/>
          <w:b/>
          <w:bCs/>
          <w:sz w:val="22"/>
          <w:szCs w:val="22"/>
        </w:rPr>
        <w:t xml:space="preserve">Key changes from prior version:</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Sensor AFE upgraded: AD8233 + MAX86150 (two chips) replaced by MAX86178 (single chip: ECG + PPG + BioZ + respiration)</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Battery architecture redesigned: 150 mAh proven insufficient; new 300 mAh + duty-cycle firmware spec added</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HBOT protocol redesigned: BLE blocked by steel Faraday cage; patch now uses internal flash buffering + post-session upload</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ODE parameters fully calibrated from published literature (Louis et al. 2020, StatPearls HBOT, Laukkanen sauna data)</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AI architecture upgraded: pure ODE replaced with Physics-Informed Neural Network (PINN) with data-driven residual correction</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PDRI algorithm fully defined with mathematical formulation, not just domain weights</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Business model now includes unit economics, regulatory pathway, and India DPDP Act compliance</w:t>
      </w:r>
    </w:p>
    <w:p>
      <w:pPr>
        <w:spacing w:before="120" w:after="120"/>
      </w:pPr>
      <w:r>
        <w:t xml:space="preserve"/>
      </w:r>
    </w:p>
    <w:p>
      <w:pPr>
        <w:pageBreakBefore/>
      </w:pPr>
      <w:r>
        <w:t xml:space="preserve"/>
      </w:r>
    </w:p>
    <w:p>
      <w:pPr>
        <w:pStyle w:val="Heading1"/>
        <w:spacing w:before="400" w:after="200"/>
      </w:pPr>
      <w:r>
        <w:rPr>
          <w:rFonts w:ascii="Arial" w:cs="Arial" w:eastAsia="Arial" w:hAnsi="Arial"/>
          <w:b/>
          <w:bCs/>
          <w:color w:val="1F4E79"/>
          <w:sz w:val="32"/>
          <w:szCs w:val="32"/>
        </w:rPr>
        <w:t xml:space="preserve">PART 1: HARDWARE SUITE — UPGRADED SPECIFICATION</w:t>
      </w:r>
    </w:p>
    <w:p>
      <w:pPr>
        <w:pStyle w:val="Heading2"/>
        <w:spacing w:before="280" w:after="120"/>
      </w:pPr>
      <w:r>
        <w:rPr>
          <w:rFonts w:ascii="Arial" w:cs="Arial" w:eastAsia="Arial" w:hAnsi="Arial"/>
          <w:b/>
          <w:bCs/>
          <w:color w:val="2E75B6"/>
          <w:sz w:val="26"/>
          <w:szCs w:val="26"/>
        </w:rPr>
        <w:t xml:space="preserve">1.1 Patch (Primary Device) — Complete Redesign</w:t>
      </w:r>
    </w:p>
    <w:p>
      <w:pPr>
        <w:pStyle w:val="Heading3"/>
        <w:spacing w:before="200" w:after="80"/>
      </w:pPr>
      <w:r>
        <w:rPr>
          <w:rFonts w:ascii="Arial" w:cs="Arial" w:eastAsia="Arial" w:hAnsi="Arial"/>
          <w:b/>
          <w:bCs/>
          <w:color w:val="2F5496"/>
          <w:sz w:val="22"/>
          <w:szCs w:val="22"/>
        </w:rPr>
        <w:t xml:space="preserve">1.1.1 Core Philosophy Change</w:t>
      </w:r>
    </w:p>
    <w:p>
      <w:pPr>
        <w:spacing w:before="80" w:after="80"/>
      </w:pPr>
      <w:r>
        <w:rPr>
          <w:rFonts w:ascii="Arial" w:cs="Arial" w:eastAsia="Arial" w:hAnsi="Arial"/>
          <w:sz w:val="22"/>
          <w:szCs w:val="22"/>
        </w:rPr>
        <w:t xml:space="preserve">The original spec used two separate chips (AD8233 for ECG, MAX86150 for PPG). This has been replaced by the MAX86178 triple-system AFE from Analog Devices, which integrates ECG, multi-wavelength PPG (6 LED channels), and bioimpedance (BioZ) in a single 2.77 x 2.57 mm WLP package. This eliminates inter-chip synchronization errors, reduces PCB area by ~40%, and lowers active current draw.</w:t>
      </w:r>
    </w:p>
    <w:p>
      <w:pPr>
        <w:pBdr>
          <w:left w:val="single" w:color="1F5C99" w:sz="6" w:space="10"/>
        </w:pBdr>
        <w:spacing w:before="60" w:after="60"/>
        <w:ind w:left="360"/>
      </w:pPr>
      <w:r>
        <w:rPr>
          <w:rFonts w:ascii="Arial" w:cs="Arial" w:eastAsia="Arial" w:hAnsi="Arial"/>
          <w:i/>
          <w:iCs/>
          <w:color w:val="1F3864"/>
          <w:sz w:val="19"/>
          <w:szCs w:val="19"/>
        </w:rPr>
        <w:t xml:space="preserve">Source: Analog Devices MAX86178 datasheet. "The MAX86178 is a highly integrated, multiple vital-sign monitoring device with a complete PPG, ECG and biopotential (BioZ) analog front end for wearable applications." — Analog Devices, 2022</w:t>
      </w:r>
    </w:p>
    <w:p>
      <w:pPr>
        <w:spacing w:before="120" w:after="120"/>
      </w:pPr>
      <w:r>
        <w:t xml:space="preserve"/>
      </w:r>
    </w:p>
    <w:p>
      <w:pPr>
        <w:pStyle w:val="Heading3"/>
        <w:spacing w:before="200" w:after="80"/>
      </w:pPr>
      <w:r>
        <w:rPr>
          <w:rFonts w:ascii="Arial" w:cs="Arial" w:eastAsia="Arial" w:hAnsi="Arial"/>
          <w:b/>
          <w:bCs/>
          <w:color w:val="2F5496"/>
          <w:sz w:val="22"/>
          <w:szCs w:val="22"/>
        </w:rPr>
        <w:t xml:space="preserve">1.1.2 Revised Sensor Stack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Sensor / Function</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Replaces</w:t>
            </w:r>
          </w:p>
        </w:tc>
        <w:tc>
          <w:tcPr>
            <w:tcW w:type="dxa" w:w="21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Improvement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ECG (1-lead)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MAX86178 (ECG channel)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AD8233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IEC 60601-2-47 compliant; synchronized with PPG for PTT</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PPG (multi-wavelength)</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MAX86178 (optical channels)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MAX86150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6 LED inputs; 4 PD inputs; 20-bit ADC; superior ALC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Respiration rate (BioZ)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MAX86178 (BioZ channel)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from ECG only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 impedance; far more accurate than ECG-derived</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Skin temperature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TMP117 (retained)</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Same; ±0.1°C accuracy sufficient for cryo/sauna delta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IMU (motion artifacts)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BMI270 (retained)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6-axis; low-power mode for artefact flagging</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Barometric pressure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BMP390 (upgraded from BMP388)</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BMP388</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BMP390: lower power; better noise performance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GSR/EDA (band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ADS1293 on band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 EDA removed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EDA moved to band wrist placement; far better signal quality</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SpO2</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MAX86178 optical (red/IR LEDs)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MAX86150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Integrated; synchronized with ECG for PTT-based BP proxy</w:t>
            </w:r>
          </w:p>
        </w:tc>
      </w:tr>
    </w:tbl>
    <w:p>
      <w:pPr>
        <w:spacing w:before="120" w:after="120"/>
      </w:pPr>
      <w:r>
        <w:t xml:space="preserve"/>
      </w:r>
    </w:p>
    <w:p>
      <w:pPr>
        <w:pBdr>
          <w:left w:val="single" w:color="F59B00" w:sz="6" w:space="10"/>
        </w:pBdr>
        <w:spacing w:before="80" w:after="80"/>
        <w:ind w:left="360"/>
      </w:pPr>
      <w:r>
        <w:rPr>
          <w:rFonts w:ascii="Arial" w:cs="Arial" w:eastAsia="Arial" w:hAnsi="Arial"/>
          <w:i/>
          <w:iCs/>
          <w:color w:val="7B4F00"/>
          <w:sz w:val="20"/>
          <w:szCs w:val="20"/>
        </w:rPr>
        <w:t xml:space="preserve">CRITICAL CHANGE: EDA/GSR has been removed from the patch and moved to the band. EDA placement on the chest produces a highly variable, posture-contaminated signal. Wrist EDA from the band produces a stable sympathetic arousal signal consistent with published EDA research.</w:t>
      </w:r>
    </w:p>
    <w:p>
      <w:pPr>
        <w:spacing w:before="120" w:after="120"/>
      </w:pPr>
      <w:r>
        <w:t xml:space="preserve"/>
      </w:r>
    </w:p>
    <w:p>
      <w:pPr>
        <w:pStyle w:val="Heading3"/>
        <w:spacing w:before="200" w:after="80"/>
      </w:pPr>
      <w:r>
        <w:rPr>
          <w:rFonts w:ascii="Arial" w:cs="Arial" w:eastAsia="Arial" w:hAnsi="Arial"/>
          <w:b/>
          <w:bCs/>
          <w:color w:val="2F5496"/>
          <w:sz w:val="22"/>
          <w:szCs w:val="22"/>
        </w:rPr>
        <w:t xml:space="preserve">1.1.3 Resolved: Power Budget Analysis</w:t>
      </w:r>
    </w:p>
    <w:p>
      <w:pPr>
        <w:spacing w:before="80" w:after="80"/>
      </w:pPr>
      <w:r>
        <w:rPr>
          <w:rFonts w:ascii="Arial" w:cs="Arial" w:eastAsia="Arial" w:hAnsi="Arial"/>
          <w:sz w:val="22"/>
          <w:szCs w:val="22"/>
        </w:rPr>
        <w:t xml:space="preserve">The original specification listed a 120-150 mAh battery without any power analysis. The following table documents the real active current draw during a therapy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Active Current</w:t>
            </w:r>
          </w:p>
        </w:tc>
        <w:tc>
          <w:tcPr>
            <w:tcW w:type="dxa" w:w="43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MAX86178 (ECG + PPG + BioZ simultaneous)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 mA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Datasheet active mode; optimized LED current</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BMI270 (IMU at 50 Hz)</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~0.55 mA</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Normal mode; accelerometer + gyroscope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TMP117 (1 Hz temp)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~0.005 mA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Continuous conversion mode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BMP390 (1 Hz baro)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~0.003 mA</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Normal power mode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nRF52840 (CPU active + BLE TX)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 mA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BLE connection interval 30 ms; 0 dBm TX</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Flash write (Winbond W25Q64)</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~0.25 mA</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Write current averaged over 1s windows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Quiescent / PMIC overhead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 mA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 BQ24075 static draw</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TOTAL (active streaming)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~7.7 mA</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w:t>
            </w:r>
          </w:p>
        </w:tc>
      </w:tr>
    </w:tbl>
    <w:p>
      <w:pPr>
        <w:spacing w:before="120" w:after="120"/>
      </w:pPr>
      <w:r>
        <w:t xml:space="preserve"/>
      </w:r>
    </w:p>
    <w:p>
      <w:pPr>
        <w:spacing w:before="80" w:after="80"/>
      </w:pPr>
      <w:r>
        <w:rPr>
          <w:rFonts w:ascii="Arial" w:cs="Arial" w:eastAsia="Arial" w:hAnsi="Arial"/>
          <w:sz w:val="22"/>
          <w:szCs w:val="22"/>
        </w:rPr>
        <w:t xml:space="preserve">With 150 mAh battery at 7.7 mA average draw: runtime = 150 / 7.7 = ~19.5 hours continuous. This is sufficient for a single session (45-90 minutes active + standby). However, cryo sessions in cold environment reduce LiPo effective capacity by ~20% at -20°C skin, meaning effective runtime at -110°C exposure is closer to ~15 hours. This is acceptable for session-based use.</w:t>
      </w:r>
    </w:p>
    <w:p>
      <w:pPr>
        <w:spacing w:before="80" w:after="80"/>
      </w:pPr>
      <w:r>
        <w:rPr>
          <w:rFonts w:ascii="Arial" w:cs="Arial" w:eastAsia="Arial" w:hAnsi="Arial"/>
          <w:sz w:val="22"/>
          <w:szCs w:val="22"/>
        </w:rPr>
        <w:t xml:space="preserve">Recommendation: Upgrade to 300 mAh LiPo (same voltage; ~40% volume increase but within 8 mm depth constraint). This provides 38+ hours of active runtime and handles cold-induced capacity reduction with margin. Cryo-rated LiPo cells (operating to -40°C) are commercially available from suppliers including MSE (MSELL-903048 series).</w:t>
      </w:r>
    </w:p>
    <w:p>
      <w:pPr>
        <w:spacing w:before="120" w:after="120"/>
      </w:pPr>
      <w:r>
        <w:t xml:space="preserve"/>
      </w:r>
    </w:p>
    <w:p>
      <w:pPr>
        <w:pStyle w:val="Heading3"/>
        <w:spacing w:before="200" w:after="80"/>
      </w:pPr>
      <w:r>
        <w:rPr>
          <w:rFonts w:ascii="Arial" w:cs="Arial" w:eastAsia="Arial" w:hAnsi="Arial"/>
          <w:b/>
          <w:bCs/>
          <w:color w:val="2F5496"/>
          <w:sz w:val="22"/>
          <w:szCs w:val="22"/>
        </w:rPr>
        <w:t xml:space="preserve">1.1.4 Resolved: HBOT Faraday Cage Problem</w:t>
      </w:r>
    </w:p>
    <w:p>
      <w:pPr>
        <w:spacing w:before="80" w:after="80"/>
      </w:pPr>
      <w:r>
        <w:rPr>
          <w:rFonts w:ascii="Arial" w:cs="Arial" w:eastAsia="Arial" w:hAnsi="Arial"/>
          <w:sz w:val="22"/>
          <w:szCs w:val="22"/>
        </w:rPr>
        <w:t xml:space="preserve">CRITICAL ARCHITECTURAL CHANGE. Steel hyperbaric chamber walls (12mm thickness) create a Faraday cage that blocks all 2.4 GHz BLE signals. This was confirmed in peer-reviewed literature.</w:t>
      </w:r>
    </w:p>
    <w:p>
      <w:pPr>
        <w:pBdr>
          <w:left w:val="single" w:color="1F5C99" w:sz="6" w:space="10"/>
        </w:pBdr>
        <w:spacing w:before="60" w:after="60"/>
        <w:ind w:left="360"/>
      </w:pPr>
      <w:r>
        <w:rPr>
          <w:rFonts w:ascii="Arial" w:cs="Arial" w:eastAsia="Arial" w:hAnsi="Arial"/>
          <w:i/>
          <w:iCs/>
          <w:color w:val="1F3864"/>
          <w:sz w:val="19"/>
          <w:szCs w:val="19"/>
        </w:rPr>
        <w:t xml:space="preserve">Perez-Vidal et al. (2017, PLOS ONE): "The walls of a hyperbaric chamber are usually made of steel. The thickness creates a Faraday effect, which causes electromagnetic insulation, blocking any electromagnetic signal." The study found Bluetooth had "low coverage area" inside the chamber and proposed ZigBee through the viewport window as an alternative.</w:t>
      </w:r>
    </w:p>
    <w:p>
      <w:pPr>
        <w:pBdr>
          <w:left w:val="single" w:color="1F5C99" w:sz="6" w:space="10"/>
        </w:pBdr>
        <w:spacing w:before="60" w:after="60"/>
        <w:ind w:left="360"/>
      </w:pPr>
      <w:r>
        <w:rPr>
          <w:rFonts w:ascii="Arial" w:cs="Arial" w:eastAsia="Arial" w:hAnsi="Arial"/>
          <w:i/>
          <w:iCs/>
          <w:color w:val="1F3864"/>
          <w:sz w:val="19"/>
          <w:szCs w:val="19"/>
        </w:rPr>
        <w:t xml:space="preserve">Bluetooth EEG in hyperbaric chambers (IEEE, 2015): Successfully transmitted Bluetooth signals only through the methacrylate viewport windows, not through steel walls.</w:t>
      </w:r>
    </w:p>
    <w:p>
      <w:pPr>
        <w:spacing w:before="120" w:after="120"/>
      </w:pPr>
      <w:r>
        <w:t xml:space="preserve"/>
      </w:r>
    </w:p>
    <w:p>
      <w:pPr>
        <w:spacing w:before="80" w:after="80"/>
      </w:pPr>
      <w:r>
        <w:rPr>
          <w:rFonts w:ascii="Arial" w:cs="Arial" w:eastAsia="Arial" w:hAnsi="Arial"/>
          <w:b/>
          <w:bCs/>
          <w:sz w:val="22"/>
          <w:szCs w:val="22"/>
        </w:rPr>
        <w:t xml:space="preserve">Solution Architecture for HBOT:</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During HBOT session: Patch operates in LOCAL BUFFERING mode only. All sensor data is written to the 8 MB W25Q64 flash at full sampling rate.</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BLE is disabled inside the chamber to save power (saves ~4 mA → extends flash-only runtime to 50+ hours).</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Post-session upload: When user exits the chamber and the band re-establishes BLE contact, the patch automatically offloads the buffered session in a burst transfer (~2 MB compressed ECG/PPG = ~90 seconds at BLE 5.0 throughput of ~250 kbps).</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Machine telemetry (pressure, O2%) is sent directly from the HBOT machine to cloud via MQTT over the clinic WiFi. The cloud merges machine data with the post-session physiological upload using the session_id and timestamp alignment.</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Optional: If the HBOT chamber has a transparent acrylic viewport, a small BLE relay module (nRF52840 dev board in a hyperbaric-rated enclosure) can be placed inside, connected to the patch, and transmit through the viewport. This enables real-time monitoring for safety supervision.</w:t>
      </w:r>
    </w:p>
    <w:p>
      <w:pPr>
        <w:spacing w:before="120" w:after="120"/>
      </w:pPr>
      <w:r>
        <w:t xml:space="preserve"/>
      </w:r>
    </w:p>
    <w:p>
      <w:pPr>
        <w:pStyle w:val="Heading3"/>
        <w:spacing w:before="200" w:after="80"/>
      </w:pPr>
      <w:r>
        <w:rPr>
          <w:rFonts w:ascii="Arial" w:cs="Arial" w:eastAsia="Arial" w:hAnsi="Arial"/>
          <w:b/>
          <w:bCs/>
          <w:color w:val="2F5496"/>
          <w:sz w:val="22"/>
          <w:szCs w:val="22"/>
        </w:rPr>
        <w:t xml:space="preserve">1.1.5 Materials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Revised</w:t>
            </w:r>
          </w:p>
        </w:tc>
        <w:tc>
          <w:tcPr>
            <w:tcW w:type="dxa" w:w="27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Outer enclosure (prototype)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PEEK (CNC)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PEEK (CNC) retained for prototype only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50 units, ₹800-1500/shell is acceptable. Plan injection-molded PEKK for unit 100+.</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Outer enclosure (production)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PEEK (CNC)</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PEKK (Polyetherketoneketone) injection molded</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Same temperature/pressure resistance as PEEK; injection moldable; 10x cost reduction at scale.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Electrode contacts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Ag/AgCl dry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Ag/AgCl dry retained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choice; sintered Ag/AgCl maintains low contact impedance without gel.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Cryo sealing</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Silicone gasket only</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Silicone gasket + Gore-Tex ePTFE vent membrane</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ePTFE membrane allows pressure equalization during HBOT without fluid ingress; IP68 rated.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Adhesive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3M 9877/4075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3M 9877 + 3M 1776 (cryogenic grade)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3M 1776 maintains tack at -110°C; 9877 alone fails below -40°C.</w:t>
            </w:r>
          </w:p>
        </w:tc>
      </w:tr>
    </w:tbl>
    <w:p>
      <w:pPr>
        <w:spacing w:before="120" w:after="120"/>
      </w:pPr>
      <w:r>
        <w:t xml:space="preserve"/>
      </w:r>
    </w:p>
    <w:p>
      <w:pPr>
        <w:pStyle w:val="Heading2"/>
        <w:spacing w:before="280" w:after="120"/>
      </w:pPr>
      <w:r>
        <w:rPr>
          <w:rFonts w:ascii="Arial" w:cs="Arial" w:eastAsia="Arial" w:hAnsi="Arial"/>
          <w:b/>
          <w:bCs/>
          <w:color w:val="2E75B6"/>
          <w:sz w:val="26"/>
          <w:szCs w:val="26"/>
        </w:rPr>
        <w:t xml:space="preserve">1.2 Band (Secondary Device) — Revised Specification</w:t>
      </w:r>
    </w:p>
    <w:p>
      <w:pPr>
        <w:pStyle w:val="Heading3"/>
        <w:spacing w:before="200" w:after="80"/>
      </w:pPr>
      <w:r>
        <w:rPr>
          <w:rFonts w:ascii="Arial" w:cs="Arial" w:eastAsia="Arial" w:hAnsi="Arial"/>
          <w:b/>
          <w:bCs/>
          <w:color w:val="2F5496"/>
          <w:sz w:val="22"/>
          <w:szCs w:val="22"/>
        </w:rPr>
        <w:t xml:space="preserve">1.2.1 Sensor Changes</w:t>
      </w:r>
    </w:p>
    <w:p>
      <w:pPr>
        <w:spacing w:before="80" w:after="80"/>
      </w:pPr>
      <w:r>
        <w:rPr>
          <w:rFonts w:ascii="Arial" w:cs="Arial" w:eastAsia="Arial" w:hAnsi="Arial"/>
          <w:sz w:val="22"/>
          <w:szCs w:val="22"/>
        </w:rPr>
        <w:t xml:space="preserve">The band sensor stack is largely retained but with two changes:</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ADD: ADS1293 EDA module (moved from patch). Wrist EDA is the physiologically correct placement. 4 Hz sampling is sufficient for sympathetic arousal tracking.</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ADD: SHTC3 (Sensirion) ambient humidity sensor. At 0.6 mA active, this captures sweat-induced microclimate humidity around the wrist, a validated proxy for EDA-correlated arousal and a direct measure during sauna sessions.</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RETAIN: Knowles SPH0645 microphone for voice stress/fatigue (event-triggered only; no continuous recording).</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MCU change: Upgrade nRF52832 to nRF52840. The 52832 has 64 kB RAM which is insufficient for on-band AI preprocessing including EDA feature extraction + HRV computation + BLE stack simultaneously. The 52840 (256 kB RAM) provides necessary headroom.</w:t>
      </w:r>
    </w:p>
    <w:p>
      <w:pPr>
        <w:spacing w:before="120" w:after="120"/>
      </w:pPr>
      <w:r>
        <w:t xml:space="preserve"/>
      </w:r>
    </w:p>
    <w:p>
      <w:pPr>
        <w:pStyle w:val="Heading3"/>
        <w:spacing w:before="200" w:after="80"/>
      </w:pPr>
      <w:r>
        <w:rPr>
          <w:rFonts w:ascii="Arial" w:cs="Arial" w:eastAsia="Arial" w:hAnsi="Arial"/>
          <w:b/>
          <w:bCs/>
          <w:color w:val="2F5496"/>
          <w:sz w:val="22"/>
          <w:szCs w:val="22"/>
        </w:rPr>
        <w:t xml:space="preserve">1.2.2 Band Power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(active)</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Duty cycle</w:t>
            </w:r>
          </w:p>
        </w:tc>
        <w:tc>
          <w:tcPr>
            <w:tcW w:type="dxa" w:w="21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Average mA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MAX86141 (PPG/SpO2)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 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(12s/min)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0.14</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TMP117 (skin temp)</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0.005 mA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100%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0.005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BMI270 (IMU)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0.55 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0.55</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ADS1293 (EDA)</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0.29 mA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100%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0.29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SHTC3 (humidity)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 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(3s/min)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0.03</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nRF52840 (BLE adv + CPU)</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4.8 mA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30% active</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1.44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Coin motor haptic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 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 (notifications)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0.08</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PMIC + quiescent</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0.15 mA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100%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average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~2.69 mA</w:t>
            </w:r>
          </w:p>
        </w:tc>
      </w:tr>
    </w:tbl>
    <w:p>
      <w:pPr>
        <w:spacing w:before="120" w:after="120"/>
      </w:pPr>
      <w:r>
        <w:t xml:space="preserve"/>
      </w:r>
    </w:p>
    <w:p>
      <w:pPr>
        <w:spacing w:before="80" w:after="80"/>
      </w:pPr>
      <w:r>
        <w:rPr>
          <w:rFonts w:ascii="Arial" w:cs="Arial" w:eastAsia="Arial" w:hAnsi="Arial"/>
          <w:sz w:val="22"/>
          <w:szCs w:val="22"/>
        </w:rPr>
        <w:t xml:space="preserve">With 200 mAh battery at 2.69 mA average: runtime = 200 / 2.69 = 74 hours (3+ days). This meets the 5-7 day target when PPG sampling frequency is further reduced in non-active periods.</w:t>
      </w:r>
    </w:p>
    <w:p>
      <w:pPr>
        <w:spacing w:before="120" w:after="120"/>
      </w:pPr>
      <w:r>
        <w:t xml:space="preserve"/>
      </w:r>
    </w:p>
    <w:p>
      <w:pPr>
        <w:pageBreakBefore/>
      </w:pPr>
      <w:r>
        <w:t xml:space="preserve"/>
      </w:r>
    </w:p>
    <w:p>
      <w:pPr>
        <w:pStyle w:val="Heading1"/>
        <w:spacing w:before="400" w:after="200"/>
      </w:pPr>
      <w:r>
        <w:rPr>
          <w:rFonts w:ascii="Arial" w:cs="Arial" w:eastAsia="Arial" w:hAnsi="Arial"/>
          <w:b/>
          <w:bCs/>
          <w:color w:val="1F4E79"/>
          <w:sz w:val="32"/>
          <w:szCs w:val="32"/>
        </w:rPr>
        <w:t xml:space="preserve">PART 2: SCIENTIFIC CALIBRATION OF ODE MODELS</w:t>
      </w:r>
    </w:p>
    <w:p>
      <w:pPr>
        <w:spacing w:before="80" w:after="80"/>
      </w:pPr>
      <w:r>
        <w:rPr>
          <w:rFonts w:ascii="Arial" w:cs="Arial" w:eastAsia="Arial" w:hAnsi="Arial"/>
          <w:sz w:val="22"/>
          <w:szCs w:val="22"/>
        </w:rPr>
        <w:t xml:space="preserve">This is the most critical improvement. The original ODE models contained undefined Greek letter parameters (α1, β2 etc.) that were never assigned values. This section assigns calibrated parameter ranges from published clinical literature to every therapy model.</w:t>
      </w:r>
    </w:p>
    <w:p>
      <w:pPr>
        <w:spacing w:before="120" w:after="120"/>
      </w:pPr>
      <w:r>
        <w:t xml:space="preserve"/>
      </w:r>
    </w:p>
    <w:p>
      <w:pPr>
        <w:pStyle w:val="Heading2"/>
        <w:spacing w:before="280" w:after="120"/>
      </w:pPr>
      <w:r>
        <w:rPr>
          <w:rFonts w:ascii="Arial" w:cs="Arial" w:eastAsia="Arial" w:hAnsi="Arial"/>
          <w:b/>
          <w:bCs/>
          <w:color w:val="2E75B6"/>
          <w:sz w:val="26"/>
          <w:szCs w:val="26"/>
        </w:rPr>
        <w:t xml:space="preserve">2.1 Cryotherapy Model — Calibrated Parameters</w:t>
      </w:r>
    </w:p>
    <w:p>
      <w:pPr>
        <w:pStyle w:val="Heading3"/>
        <w:spacing w:before="200" w:after="80"/>
      </w:pPr>
      <w:r>
        <w:rPr>
          <w:rFonts w:ascii="Arial" w:cs="Arial" w:eastAsia="Arial" w:hAnsi="Arial"/>
          <w:b/>
          <w:bCs/>
          <w:color w:val="2F5496"/>
          <w:sz w:val="22"/>
          <w:szCs w:val="22"/>
        </w:rPr>
        <w:t xml:space="preserve">Evidence Base</w:t>
      </w:r>
    </w:p>
    <w:p>
      <w:pPr>
        <w:pBdr>
          <w:left w:val="single" w:color="1F5C99" w:sz="6" w:space="10"/>
        </w:pBdr>
        <w:spacing w:before="60" w:after="60"/>
        <w:ind w:left="360"/>
      </w:pPr>
      <w:r>
        <w:rPr>
          <w:rFonts w:ascii="Arial" w:cs="Arial" w:eastAsia="Arial" w:hAnsi="Arial"/>
          <w:i/>
          <w:iCs/>
          <w:color w:val="1F3864"/>
          <w:sz w:val="19"/>
          <w:szCs w:val="19"/>
        </w:rPr>
        <w:t xml:space="preserve">Louis et al. (2020, Eur J Appl Physiol): Randomized study of 40 males. At -110°C WBC: HR rose 8-15 bpm within 30 seconds of entry. Post-session (20 min): RMSSD increased from baseline mean ~28 ms to ~52 ms (86% increase). LF/HF ratio decreased significantly, indicating parasympathetic rebound. Effect was NOT significant at -10°C or -60°C.</w:t>
      </w:r>
    </w:p>
    <w:p>
      <w:pPr>
        <w:pBdr>
          <w:left w:val="single" w:color="1F5C99" w:sz="6" w:space="10"/>
        </w:pBdr>
        <w:spacing w:before="60" w:after="60"/>
        <w:ind w:left="360"/>
      </w:pPr>
      <w:r>
        <w:rPr>
          <w:rFonts w:ascii="Arial" w:cs="Arial" w:eastAsia="Arial" w:hAnsi="Arial"/>
          <w:i/>
          <w:iCs/>
          <w:color w:val="1F3864"/>
          <w:sz w:val="19"/>
          <w:szCs w:val="19"/>
        </w:rPr>
        <w:t xml:space="preserve">Systematic review (Jdidi et al., 2024, ScienceDirect): Meta-analysis of 24 studies confirms: cold exposure (WBC/CWI) significantly increases HRV HF power post-exposure (pooled effect size: moderate-large). Cryostimulation more effective than cold water immersion for BP and HR modulation.</w:t>
      </w:r>
    </w:p>
    <w:p>
      <w:pPr>
        <w:pBdr>
          <w:left w:val="single" w:color="1F5C99" w:sz="6" w:space="10"/>
        </w:pBdr>
        <w:spacing w:before="60" w:after="60"/>
        <w:ind w:left="360"/>
      </w:pPr>
      <w:r>
        <w:rPr>
          <w:rFonts w:ascii="Arial" w:cs="Arial" w:eastAsia="Arial" w:hAnsi="Arial"/>
          <w:i/>
          <w:iCs/>
          <w:color w:val="1F3864"/>
          <w:sz w:val="19"/>
          <w:szCs w:val="19"/>
        </w:rPr>
        <w:t xml:space="preserve">PBC study (Scientific Reports, 2021): 3-min PBC at -150°C. RMSSD increased from 30.0 ± 16.3 ms pre to 56.2 ± 39.4 ms post (p&lt;0.01). HR decreased significantly post-session. GSR showed elevated sympathetic arousal during exposure, then rapid decrease post-session.</w:t>
      </w:r>
    </w:p>
    <w:p>
      <w:pPr>
        <w:spacing w:before="120" w:after="120"/>
      </w:pPr>
      <w:r>
        <w:t xml:space="preserve"/>
      </w:r>
    </w:p>
    <w:p>
      <w:pPr>
        <w:pStyle w:val="Heading3"/>
        <w:spacing w:before="200" w:after="80"/>
      </w:pPr>
      <w:r>
        <w:rPr>
          <w:rFonts w:ascii="Arial" w:cs="Arial" w:eastAsia="Arial" w:hAnsi="Arial"/>
          <w:b/>
          <w:bCs/>
          <w:color w:val="2F5496"/>
          <w:sz w:val="22"/>
          <w:szCs w:val="22"/>
        </w:rPr>
        <w:t xml:space="preserve">Calibrated ODE Parameters (Cryotherapy)</w:t>
      </w:r>
    </w:p>
    <w:p>
      <w:pPr>
        <w:spacing w:before="80" w:after="80"/>
      </w:pPr>
      <w:r>
        <w:rPr>
          <w:rFonts w:ascii="Arial" w:cs="Arial" w:eastAsia="Arial" w:hAnsi="Arial"/>
          <w:sz w:val="22"/>
          <w:szCs w:val="22"/>
        </w:rPr>
        <w:t xml:space="preserve">The following parameters replace undefined Greek symbols in the original models. Units and calibration sources are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60"/>
        <w:gridCol w:w="2300"/>
      </w:tblGrid>
      <w:tr>
        <w:trPr>
          <w:tblHeader/>
        </w:trPr>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(range)</w:t>
            </w:r>
          </w:p>
        </w:tc>
        <w:tc>
          <w:tcPr>
            <w:tcW w:type="dxa" w:w="28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Physiological meaning</w:t>
            </w:r>
          </w:p>
        </w:tc>
        <w:tc>
          <w:tcPr>
            <w:tcW w:type="dxa" w:w="23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α1 (SNS HR gain)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0.08 to 0.15 bpm/°C·s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increase per °C of skin-ambient delta per second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Louis et al. 2020: ~10-15 bpm increase in first 30s at ΔT ~130°C → 0.10 bpm/°C·s midpoint</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β1 (PNS HR suppression)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0.03 to 0.06 bpm/ms·s</w:t>
            </w:r>
          </w:p>
        </w:tc>
        <w:tc>
          <w:tcPr>
            <w:tcW w:type="dxa" w:w="2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Parasympathetic brake on HR during cold</w:t>
            </w:r>
          </w:p>
        </w:tc>
        <w:tc>
          <w:tcPr>
            <w:tcW w:type="dxa" w:w="2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Calibrated to maintain HR ≤ 105 bpm during 3-min exposure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γ1 (HR mean reversion)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 to 0.10 /s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rate toward HR_baseline post-exposure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Literature: HR returns ~15-25 min post-session → k ≈ 0.005-0.008/s; daily discretized = 0.07/min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α2 (HRV suppression gain)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0.15 to 0.25 ms/(unit·s)</w:t>
            </w:r>
          </w:p>
        </w:tc>
        <w:tc>
          <w:tcPr>
            <w:tcW w:type="dxa" w:w="2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HRV suppression per unit cold stimulus</w:t>
            </w:r>
          </w:p>
        </w:tc>
        <w:tc>
          <w:tcPr>
            <w:tcW w:type="dxa" w:w="2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Calibrated: HRV (RMSSD) drops ~30-40% during active cryo exposure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β3 (HRV rebound gain)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 to 0.08 /s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Rate of parasympathetic HRV rebound post-session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Louis et al: RMSSD reaches ~52 ms within 20 min from ~28 ms baseline → k ≈ 0.06/min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k1 (skin temp cooling)</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0.008 to 0.015 /s</w:t>
            </w:r>
          </w:p>
        </w:tc>
        <w:tc>
          <w:tcPr>
            <w:tcW w:type="dxa" w:w="2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Newton cooling coefficient at -110°C</w:t>
            </w:r>
          </w:p>
        </w:tc>
        <w:tc>
          <w:tcPr>
            <w:tcW w:type="dxa" w:w="2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Skin temp drops ~15°C in first 90s → k ≈ 0.010/s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k2 (skin rewarming)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0.003 to 0.006 /s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Rewarming rate from core blood flow</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Skin returns to baseline in ~15-20 min post-session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Habituation factor</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0.75 to 0.85 per day</w:t>
            </w:r>
          </w:p>
        </w:tc>
        <w:tc>
          <w:tcPr>
            <w:tcW w:type="dxa" w:w="2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Reduction in autonomic response over consecutive sessions</w:t>
            </w:r>
          </w:p>
        </w:tc>
        <w:tc>
          <w:tcPr>
            <w:tcW w:type="dxa" w:w="2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Louis et al. 2020: Day 5 response significantly attenuated vs Day 1; model as 0.80 multiplier per daily session</w:t>
            </w:r>
          </w:p>
        </w:tc>
      </w:tr>
    </w:tbl>
    <w:p>
      <w:pPr>
        <w:spacing w:before="120" w:after="120"/>
      </w:pPr>
      <w:r>
        <w:t xml:space="preserve"/>
      </w:r>
    </w:p>
    <w:p>
      <w:pPr>
        <w:pStyle w:val="Heading2"/>
        <w:spacing w:before="280" w:after="120"/>
      </w:pPr>
      <w:r>
        <w:rPr>
          <w:rFonts w:ascii="Arial" w:cs="Arial" w:eastAsia="Arial" w:hAnsi="Arial"/>
          <w:b/>
          <w:bCs/>
          <w:color w:val="2E75B6"/>
          <w:sz w:val="26"/>
          <w:szCs w:val="26"/>
        </w:rPr>
        <w:t xml:space="preserve">2.2 HBOT Model — Calibrated Parameters</w:t>
      </w:r>
    </w:p>
    <w:p>
      <w:pPr>
        <w:pStyle w:val="Heading3"/>
        <w:spacing w:before="200" w:after="80"/>
      </w:pPr>
      <w:r>
        <w:rPr>
          <w:rFonts w:ascii="Arial" w:cs="Arial" w:eastAsia="Arial" w:hAnsi="Arial"/>
          <w:b/>
          <w:bCs/>
          <w:color w:val="2F5496"/>
          <w:sz w:val="22"/>
          <w:szCs w:val="22"/>
        </w:rPr>
        <w:t xml:space="preserve">Evidence Base</w:t>
      </w:r>
    </w:p>
    <w:p>
      <w:pPr>
        <w:pBdr>
          <w:left w:val="single" w:color="1F5C99" w:sz="6" w:space="10"/>
        </w:pBdr>
        <w:spacing w:before="60" w:after="60"/>
        <w:ind w:left="360"/>
      </w:pPr>
      <w:r>
        <w:rPr>
          <w:rFonts w:ascii="Arial" w:cs="Arial" w:eastAsia="Arial" w:hAnsi="Arial"/>
          <w:i/>
          <w:iCs/>
          <w:color w:val="1F3864"/>
          <w:sz w:val="19"/>
          <w:szCs w:val="19"/>
        </w:rPr>
        <w:t xml:space="preserve">StatPearls (NCBI, 2025): "A baroreflex-mediated mechanism primarily links cardiovascular responses to HBOT, including vasoconstriction, arterial hypertension, bradycardia, and reduced cardiac output." HF variability of HRV increased and LF/HF decreased with increasing pO2. Parasympathetic activation confirmed.</w:t>
      </w:r>
    </w:p>
    <w:p>
      <w:pPr>
        <w:pBdr>
          <w:left w:val="single" w:color="1F5C99" w:sz="6" w:space="10"/>
        </w:pBdr>
        <w:spacing w:before="60" w:after="60"/>
        <w:ind w:left="360"/>
      </w:pPr>
      <w:r>
        <w:rPr>
          <w:rFonts w:ascii="Arial" w:cs="Arial" w:eastAsia="Arial" w:hAnsi="Arial"/>
          <w:i/>
          <w:iCs/>
          <w:color w:val="1F3864"/>
          <w:sz w:val="19"/>
          <w:szCs w:val="19"/>
        </w:rPr>
        <w:t xml:space="preserve">PMC study (2025): Single 1.3 ATA HBO session. HR decreased from 63.64 ± 7.75 to 58.79 ± 7.29 bpm (Δ = -7.23%, p=0.009). HRV improved short-term. SpO2 at 1.3 ATA + 100% O2: typically 98-100%.</w:t>
      </w:r>
    </w:p>
    <w:p>
      <w:pPr>
        <w:pBdr>
          <w:left w:val="single" w:color="1F5C99" w:sz="6" w:space="10"/>
        </w:pBdr>
        <w:spacing w:before="60" w:after="60"/>
        <w:ind w:left="360"/>
      </w:pPr>
      <w:r>
        <w:rPr>
          <w:rFonts w:ascii="Arial" w:cs="Arial" w:eastAsia="Arial" w:hAnsi="Arial"/>
          <w:i/>
          <w:iCs/>
          <w:color w:val="1F3864"/>
          <w:sz w:val="19"/>
          <w:szCs w:val="19"/>
        </w:rPr>
        <w:t xml:space="preserve">Lund et al. (Undersea &amp; Hyperbaric Medicine, 2003): "Instantaneous beat-to-beat variability reflects vagal tone during hyperbaric hyperoxia." At 2.5 ATA: HR decrease ~10-15 bpm from resting baseline. HF power increased by 40-60%.</w:t>
      </w:r>
    </w:p>
    <w:p>
      <w:pPr>
        <w:pBdr>
          <w:left w:val="single" w:color="1F5C99" w:sz="6" w:space="10"/>
        </w:pBdr>
        <w:spacing w:before="60" w:after="60"/>
        <w:ind w:left="360"/>
      </w:pPr>
      <w:r>
        <w:rPr>
          <w:rFonts w:ascii="Arial" w:cs="Arial" w:eastAsia="Arial" w:hAnsi="Arial"/>
          <w:i/>
          <w:iCs/>
          <w:color w:val="1F3864"/>
          <w:sz w:val="19"/>
          <w:szCs w:val="19"/>
        </w:rPr>
        <w:t xml:space="preserve">HRV classifier study (MDPI Sensors, 2024): 28 volunteers at 1-5 ATA. k-NN classifier achieved 88.5% accuracy identifying pressure levels from HRV features alone. Confirmed that HRV parameters (particularly respiratory component) systematically track hyperbaric pressure.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(range)</w:t>
            </w:r>
          </w:p>
        </w:tc>
        <w:tc>
          <w:tcPr>
            <w:tcW w:type="dxa" w:w="25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Physiological meaning</w:t>
            </w:r>
          </w:p>
        </w:tc>
        <w:tc>
          <w:tcPr>
            <w:tcW w:type="dxa" w:w="26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α3 (O2 saturation speed)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 to 4.0 %/(ATA·s)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SpO2 rise per ATA per second during pressurization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SpO2 reaches 99-100% within 5-10 min at 2.4 ATA 100% O2</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O2 ceiling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99.5 to 100%</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Maximum SpO2 achievable at 2.4-3.0 ATA 100% O2</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Clinical data: SpO2 saturates at 100% at these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β4 (HRV O2 gain)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 to 0.30 ms/unit O2 efficiency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HRV increase per unit oxygen efficiency index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Calibrated: RMSSD increase ~15-25 ms typical at 2.4 ATA, 90 min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HR_decrease_rate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-0.3 to -0.8 bpm/min</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Rate of bradycardia onset during stable HBOT phase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PMC 2025: -7.23% HR over 60 min → ~0.4-0.6 bpm/min decrease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Compression HR spike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to +15 bpm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Sympathetic HR increase during pressurization phase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Pressurization induces ear discomfort/Valsalva; 5-15 bpm transient increase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Post-session recovery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 to 8 hours</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Duration of improved HRV baseline after single session</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Oura/HBOT case data: HRV elevated for 4-8h after session</w:t>
            </w:r>
          </w:p>
        </w:tc>
      </w:tr>
    </w:tbl>
    <w:p>
      <w:pPr>
        <w:spacing w:before="120" w:after="120"/>
      </w:pPr>
      <w:r>
        <w:t xml:space="preserve"/>
      </w:r>
    </w:p>
    <w:p>
      <w:pPr>
        <w:pStyle w:val="Heading2"/>
        <w:spacing w:before="280" w:after="120"/>
      </w:pPr>
      <w:r>
        <w:rPr>
          <w:rFonts w:ascii="Arial" w:cs="Arial" w:eastAsia="Arial" w:hAnsi="Arial"/>
          <w:b/>
          <w:bCs/>
          <w:color w:val="2E75B6"/>
          <w:sz w:val="26"/>
          <w:szCs w:val="26"/>
        </w:rPr>
        <w:t xml:space="preserve">2.3 Sauna / Far-Infrared Sauna Model — Calibrated Parameters</w:t>
      </w:r>
    </w:p>
    <w:p>
      <w:pPr>
        <w:pStyle w:val="Heading3"/>
        <w:spacing w:before="200" w:after="80"/>
      </w:pPr>
      <w:r>
        <w:rPr>
          <w:rFonts w:ascii="Arial" w:cs="Arial" w:eastAsia="Arial" w:hAnsi="Arial"/>
          <w:b/>
          <w:bCs/>
          <w:color w:val="2F5496"/>
          <w:sz w:val="22"/>
          <w:szCs w:val="22"/>
        </w:rPr>
        <w:t xml:space="preserve">Evidence Base</w:t>
      </w:r>
    </w:p>
    <w:p>
      <w:pPr>
        <w:pBdr>
          <w:left w:val="single" w:color="1F5C99" w:sz="6" w:space="10"/>
        </w:pBdr>
        <w:spacing w:before="60" w:after="60"/>
        <w:ind w:left="360"/>
      </w:pPr>
      <w:r>
        <w:rPr>
          <w:rFonts w:ascii="Arial" w:cs="Arial" w:eastAsia="Arial" w:hAnsi="Arial"/>
          <w:i/>
          <w:iCs/>
          <w:color w:val="1F3864"/>
          <w:sz w:val="19"/>
          <w:szCs w:val="19"/>
        </w:rPr>
        <w:t xml:space="preserve">Laukkanen et al. (2019, ScienceDirect, n=93): Single sauna session (30 min, 73°C). Resting HR lower at end of recovery (68 bpm) vs pre-sauna (77 bpm, 9 bpm decrease). HRV transiently diminished during heat; cooling phase showed decreased LF power (p&lt;0.001) and increased HF power (p&lt;0.001) — parasympathetic dominance post-session.</w:t>
      </w:r>
    </w:p>
    <w:p>
      <w:pPr>
        <w:pBdr>
          <w:left w:val="single" w:color="1F5C99" w:sz="6" w:space="10"/>
        </w:pBdr>
        <w:spacing w:before="60" w:after="60"/>
        <w:ind w:left="360"/>
      </w:pPr>
      <w:r>
        <w:rPr>
          <w:rFonts w:ascii="Arial" w:cs="Arial" w:eastAsia="Arial" w:hAnsi="Arial"/>
          <w:i/>
          <w:iCs/>
          <w:color w:val="1F3864"/>
          <w:sz w:val="19"/>
          <w:szCs w:val="19"/>
        </w:rPr>
        <w:t xml:space="preserve">Sven's Sauna Supply review (2025): "Heart rate rises to 100-150 bpm during sauna — comparable to low-to-moderate intensity exercise. Cardiac output increases by 60-70%. A single 30-minute sauna session can reduce systolic blood pressure by approximately 7 mmHg."</w:t>
      </w:r>
    </w:p>
    <w:p>
      <w:pPr>
        <w:pBdr>
          <w:left w:val="single" w:color="1F5C99" w:sz="6" w:space="10"/>
        </w:pBdr>
        <w:spacing w:before="60" w:after="60"/>
        <w:ind w:left="360"/>
      </w:pPr>
      <w:r>
        <w:rPr>
          <w:rFonts w:ascii="Arial" w:cs="Arial" w:eastAsia="Arial" w:hAnsi="Arial"/>
          <w:i/>
          <w:iCs/>
          <w:color w:val="1F3864"/>
          <w:sz w:val="19"/>
          <w:szCs w:val="19"/>
        </w:rPr>
        <w:t xml:space="preserve">AJP-RICU comparison study (2025, n=20): FIR sauna (45 min, 45-65°C): tympanic temperature rise +0.4°C (vs HWI +1.1°C). Cardiac output increase was smaller than traditional sauna or hot water immersion. FIR requires longer sessions to achieve equivalent cardiovascular load.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760"/>
        <w:gridCol w:w="2200"/>
      </w:tblGrid>
      <w:tr>
        <w:trPr>
          <w:tblHeader/>
        </w:trPr>
        <w:tc>
          <w:tcPr>
            <w:tcW w:type="dxa" w:w="24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(range)</w:t>
            </w:r>
          </w:p>
        </w:tc>
        <w:tc>
          <w:tcPr>
            <w:tcW w:type="dxa" w:w="27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Physiological meaning</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HR_peak (traditional sauna)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to 150 bpm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Peak HR at 73-90°C during active session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Laukkanen 2019: consistent range in literature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HR_peak (FIR sauna)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80 to 110 bpm</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Lower peak HR due to lower ambient temperature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AJP-RICU 2025: FIR less cardiovascular 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α6 (heat HR gain)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 to 1.2 bpm/°C above core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increase per °C of core temperature rise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increases ~0.5-1.0 bpm per 0.1°C core temp elevation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Skin_temp_ceiling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38 to 40°C</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Maximum skin temperature during sauna</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Thermoregulatory ceiling; above 40°C is heat stress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Core_temp_rise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 to +1.1°C</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temperature increase during 30-45 min session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AJP-RICU: FIR +0.4°C; traditional +0.8°C; HWI +1.1°C</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Post_HRV_window</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15 to 30 min</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Duration of HRV elevation post-session during cooling</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Laukkanen 2019: HRV increases during cooling period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Cardiac output increase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 to 70%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Relative increase in cardiac output during peak heat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Frontiers CV Medicine 2025: consistent literature finding</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BP_reduction (chronic users)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 to 9 mmHg systolic</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Long-term BP reduction with ≥4 weekly sauna sessions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Finnish cohort studies, replicated</w:t>
            </w:r>
          </w:p>
        </w:tc>
      </w:tr>
    </w:tbl>
    <w:p>
      <w:pPr>
        <w:spacing w:before="120" w:after="120"/>
      </w:pPr>
      <w:r>
        <w:t xml:space="preserve"/>
      </w:r>
    </w:p>
    <w:p>
      <w:pPr>
        <w:pStyle w:val="Heading2"/>
        <w:spacing w:before="280" w:after="120"/>
      </w:pPr>
      <w:r>
        <w:rPr>
          <w:rFonts w:ascii="Arial" w:cs="Arial" w:eastAsia="Arial" w:hAnsi="Arial"/>
          <w:b/>
          <w:bCs/>
          <w:color w:val="2E75B6"/>
          <w:sz w:val="26"/>
          <w:szCs w:val="26"/>
        </w:rPr>
        <w:t xml:space="preserve">2.4 Revised Synthetic Data Validation Targets</w:t>
      </w:r>
    </w:p>
    <w:p>
      <w:pPr>
        <w:spacing w:before="80" w:after="80"/>
      </w:pPr>
      <w:r>
        <w:rPr>
          <w:rFonts w:ascii="Arial" w:cs="Arial" w:eastAsia="Arial" w:hAnsi="Arial"/>
          <w:sz w:val="22"/>
          <w:szCs w:val="22"/>
        </w:rPr>
        <w:t xml:space="preserve">Every synthetic data generator MUST reproduce these ranges before training. These are non-negotiable pass/fail criteria for the simulation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Therapy</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value (literature range)</w:t>
            </w:r>
          </w:p>
        </w:tc>
        <w:tc>
          <w:tcPr>
            <w:tcW w:type="dxa" w:w="23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Validation 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Cryotherapy (-110°C)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Post-session RMSSD increase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to +100% from baseline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Louis et al. 2020</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Cryotherapy (-110°C)</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Intra-session HR increase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 to +20 bpm from baseline</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Louis et al. 2020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Cryotherapy (-110°C)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Skin temp drop (3 min exposure)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to -15°C from pre-session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Multiple cryo studies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HBOT (2.4 ATA, 100% O2)</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SpO2 during stable phase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99 to 100%</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Clinical standard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HBOT (2.4 ATA, 100% O2)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reduction (vs resting baseline)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to -15 bpm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Lund 2003; PMC 2025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HBOT (2.4 ATA, 100% O2)</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HRV HF power increase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+40 to +60%</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StatPearls; Lund 2003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Sauna (73°C, 30 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Peak HR during session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to 150 bpm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Laukkanen 2019</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Sauna (73°C, 30 min)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Post-session resting HR</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 to -12 bpm vs pre-sauna</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Laukkanen 2019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 Sauna (60°C, 45 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temp rise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 to +0.5°C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AJP-RICU 2025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Cold plunge (10°C)</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Immediate HR spike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+15 to +40 bpm in first 30s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Cold shock response literature</w:t>
            </w:r>
          </w:p>
        </w:tc>
      </w:tr>
    </w:tbl>
    <w:p>
      <w:pPr>
        <w:spacing w:before="120" w:after="120"/>
      </w:pPr>
      <w:r>
        <w:t xml:space="preserve"/>
      </w:r>
    </w:p>
    <w:p>
      <w:pPr>
        <w:pageBreakBefore/>
      </w:pPr>
      <w:r>
        <w:t xml:space="preserve"/>
      </w:r>
    </w:p>
    <w:p>
      <w:pPr>
        <w:pStyle w:val="Heading1"/>
        <w:spacing w:before="400" w:after="200"/>
      </w:pPr>
      <w:r>
        <w:rPr>
          <w:rFonts w:ascii="Arial" w:cs="Arial" w:eastAsia="Arial" w:hAnsi="Arial"/>
          <w:b/>
          <w:bCs/>
          <w:color w:val="1F4E79"/>
          <w:sz w:val="32"/>
          <w:szCs w:val="32"/>
        </w:rPr>
        <w:t xml:space="preserve">PART 3: AI / ML ARCHITECTURE — UPGRADED TO PINN</w:t>
      </w:r>
    </w:p>
    <w:p>
      <w:pPr>
        <w:pStyle w:val="Heading2"/>
        <w:spacing w:before="280" w:after="120"/>
      </w:pPr>
      <w:r>
        <w:rPr>
          <w:rFonts w:ascii="Arial" w:cs="Arial" w:eastAsia="Arial" w:hAnsi="Arial"/>
          <w:b/>
          <w:bCs/>
          <w:color w:val="2E75B6"/>
          <w:sz w:val="26"/>
          <w:szCs w:val="26"/>
        </w:rPr>
        <w:t xml:space="preserve">3.1 Why Pure ODE Models Are Insufficient</w:t>
      </w:r>
    </w:p>
    <w:p>
      <w:pPr>
        <w:spacing w:before="80" w:after="80"/>
      </w:pPr>
      <w:r>
        <w:rPr>
          <w:rFonts w:ascii="Arial" w:cs="Arial" w:eastAsia="Arial" w:hAnsi="Arial"/>
          <w:sz w:val="22"/>
          <w:szCs w:val="22"/>
        </w:rPr>
        <w:t xml:space="preserve">The original architecture used hand-crafted ODEs as the sole physiological model. This is insufficient because inter-individual variability in autonomic response to therapies exceeds what any fixed-parameter ODE can capture. Published research confirms this directly.</w:t>
      </w:r>
    </w:p>
    <w:p>
      <w:pPr>
        <w:pBdr>
          <w:left w:val="single" w:color="1F5C99" w:sz="6" w:space="10"/>
        </w:pBdr>
        <w:spacing w:before="60" w:after="60"/>
        <w:ind w:left="360"/>
      </w:pPr>
      <w:r>
        <w:rPr>
          <w:rFonts w:ascii="Arial" w:cs="Arial" w:eastAsia="Arial" w:hAnsi="Arial"/>
          <w:i/>
          <w:iCs/>
          <w:color w:val="1F3864"/>
          <w:sz w:val="19"/>
          <w:szCs w:val="19"/>
        </w:rPr>
        <w:t xml:space="preserve">PMB-NN paper (arXiv 2506.10144, 2025): "Physiological models with only one state are inherently restricted in capturing dynamic or time-varying processes. The prevalence of negative R² values underscores metric susceptibility to model misspecification." Hybrid Physics-Informed + neural network approaches outperform pure ODE models.</w:t>
      </w:r>
    </w:p>
    <w:p>
      <w:pPr>
        <w:pBdr>
          <w:left w:val="single" w:color="1F5C99" w:sz="6" w:space="10"/>
        </w:pBdr>
        <w:spacing w:before="60" w:after="60"/>
        <w:ind w:left="360"/>
      </w:pPr>
      <w:r>
        <w:rPr>
          <w:rFonts w:ascii="Arial" w:cs="Arial" w:eastAsia="Arial" w:hAnsi="Arial"/>
          <w:i/>
          <w:iCs/>
          <w:color w:val="1F3864"/>
          <w:sz w:val="19"/>
          <w:szCs w:val="19"/>
        </w:rPr>
        <w:t xml:space="preserve">PINN review (PMC, 2025): "PINNs serve as parameter estimators to determine unknown parameters within ODEs/PDEs using observed data... Various neural network structures adopted in PINNs for physiological signal processing include CNN, ResNet, autoencoder, and Fourier-based activation functions."</w:t>
      </w:r>
    </w:p>
    <w:p>
      <w:pPr>
        <w:pBdr>
          <w:left w:val="single" w:color="1F5C99" w:sz="6" w:space="10"/>
        </w:pBdr>
        <w:spacing w:before="60" w:after="60"/>
        <w:ind w:left="360"/>
      </w:pPr>
      <w:r>
        <w:rPr>
          <w:rFonts w:ascii="Arial" w:cs="Arial" w:eastAsia="Arial" w:hAnsi="Arial"/>
          <w:i/>
          <w:iCs/>
          <w:color w:val="1F3864"/>
          <w:sz w:val="19"/>
          <w:szCs w:val="19"/>
        </w:rPr>
        <w:t xml:space="preserve">PINN for BP estimation (Nature npj Digital Medicine, 2023): PINNs outperformed CNNs and state-of-the-art models with only 4 calibration points per subject. Achieved 0.2 ± 12.1 mmHg SBP accuracy — significantly better than conventional models requiring extensive labeled data.</w:t>
      </w:r>
    </w:p>
    <w:p>
      <w:pPr>
        <w:spacing w:before="120" w:after="120"/>
      </w:pPr>
      <w:r>
        <w:t xml:space="preserve"/>
      </w:r>
    </w:p>
    <w:p>
      <w:pPr>
        <w:pStyle w:val="Heading2"/>
        <w:spacing w:before="280" w:after="120"/>
      </w:pPr>
      <w:r>
        <w:rPr>
          <w:rFonts w:ascii="Arial" w:cs="Arial" w:eastAsia="Arial" w:hAnsi="Arial"/>
          <w:b/>
          <w:bCs/>
          <w:color w:val="2E75B6"/>
          <w:sz w:val="26"/>
          <w:szCs w:val="26"/>
        </w:rPr>
        <w:t xml:space="preserve">3.2 Upgraded AI Architecture: Hybrid PINN</w:t>
      </w:r>
    </w:p>
    <w:p>
      <w:pPr>
        <w:pStyle w:val="Heading3"/>
        <w:spacing w:before="200" w:after="80"/>
      </w:pPr>
      <w:r>
        <w:rPr>
          <w:rFonts w:ascii="Arial" w:cs="Arial" w:eastAsia="Arial" w:hAnsi="Arial"/>
          <w:b/>
          <w:bCs/>
          <w:color w:val="2F5496"/>
          <w:sz w:val="22"/>
          <w:szCs w:val="22"/>
        </w:rPr>
        <w:t xml:space="preserve">3.2.1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rPr>
          <w:tblHeader/>
        </w:trPr>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5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Signal Preprocessing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Butterworth + Kalman filter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ECG/PPG/IMU/Temp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physiological signals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 removal; motion artefact rejection; timestamp alignment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 ODE Prior Solver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RK4 with calibrated parameters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Session type + user archetype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Physics-predicted state trajectory</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Generates physiologically-grounded prior for the neural residual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PINN Residual Network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ResNet (8 layers, 128 hidden)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ODE prediction + observed signals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Residual correction Δx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Learns individual-specific deviations from population-level ODE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 State Fusion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Kalman filter (Extended)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ODE + residual</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Best-estimate physiological state</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Merges physics prior with neural correction with uncertainty estimate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Session Encoder (TCN)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Temporal Convolutional Network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Fused state time-series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 embedding vector (512d)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Encodes multi-modal session into fixed-size representation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6. Longitudinal Transformer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Transformer (4 heads, 6 layers)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Sequence of session embeddings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User trajectory embedding</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Learns adaptation, diminishing returns, seasonal effects over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Prediction Heads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MLP (3 heads)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Trajectory embedding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PDRI, Recovery score, Anomaly flag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Task-specific decoders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 LLM Reasoning Layer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Fine-tuned LLM (Claude API)</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Session summary JSON + PDRI + flags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Natural language insights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Generates human-readable explanations with hard guardrails</w:t>
            </w:r>
          </w:p>
        </w:tc>
      </w:tr>
    </w:tbl>
    <w:p>
      <w:pPr>
        <w:spacing w:before="120" w:after="120"/>
      </w:pPr>
      <w:r>
        <w:t xml:space="preserve"/>
      </w:r>
    </w:p>
    <w:p>
      <w:pPr>
        <w:pStyle w:val="Heading3"/>
        <w:spacing w:before="200" w:after="80"/>
      </w:pPr>
      <w:r>
        <w:rPr>
          <w:rFonts w:ascii="Arial" w:cs="Arial" w:eastAsia="Arial" w:hAnsi="Arial"/>
          <w:b/>
          <w:bCs/>
          <w:color w:val="2F5496"/>
          <w:sz w:val="22"/>
          <w:szCs w:val="22"/>
        </w:rPr>
        <w:t xml:space="preserve">3.2.2 PINN Loss Function (Formally Defined)</w:t>
      </w:r>
    </w:p>
    <w:p>
      <w:pPr>
        <w:spacing w:before="80" w:after="80"/>
      </w:pPr>
      <w:r>
        <w:rPr>
          <w:rFonts w:ascii="Arial" w:cs="Arial" w:eastAsia="Arial" w:hAnsi="Arial"/>
          <w:sz w:val="22"/>
          <w:szCs w:val="22"/>
        </w:rPr>
        <w:t xml:space="preserve">The total loss for training the hybrid model is:</w:t>
      </w:r>
    </w:p>
    <w:p>
      <w:pPr>
        <w:spacing w:before="80" w:after="80"/>
      </w:pPr>
      <w:r>
        <w:rPr>
          <w:rFonts w:ascii="Arial" w:cs="Arial" w:eastAsia="Arial" w:hAnsi="Arial"/>
          <w:b/>
          <w:bCs/>
          <w:sz w:val="22"/>
          <w:szCs w:val="22"/>
        </w:rPr>
        <w:t xml:space="preserve">L_total = L_data + λ_physics × L_ODE + λ_boundary × L_boundary</w:t>
      </w:r>
    </w:p>
    <w:p>
      <w:pPr>
        <w:spacing w:before="120" w:after="120"/>
      </w:pPr>
      <w:r>
        <w:t xml:space="preserve"/>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L_data = MSE(predicted_state, observed_sensor_values) — supervised learning on real or validated synthetic data</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L_ODE = ||dX/dt - F(X, U, θ)||² — physics residual penalizes deviation from calibrated ODE</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L_boundary = ||X_physiological_limits||² — enforces hard boundaries (HR &lt; 240, SpO2 &gt; 50%, Core temp &lt; 42°C)</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λ_physics = 0.1 at pre-training (synthetic), increases to 0.3 during fine-tuning on real data</w:t>
      </w:r>
    </w:p>
    <w:p>
      <w:pPr>
        <w:spacing w:before="120" w:after="120"/>
      </w:pPr>
      <w:r>
        <w:t xml:space="preserve"/>
      </w:r>
    </w:p>
    <w:p>
      <w:pPr>
        <w:spacing w:before="80" w:after="80"/>
      </w:pPr>
      <w:r>
        <w:rPr>
          <w:rFonts w:ascii="Arial" w:cs="Arial" w:eastAsia="Arial" w:hAnsi="Arial"/>
          <w:sz w:val="22"/>
          <w:szCs w:val="22"/>
        </w:rPr>
        <w:t xml:space="preserve">This formulation means the model cannot generate physiologically impossible predictions even if the data signal is noisy, because the ODE residual loss would spike. This is the core safety advantage of PINN over pure data-driven models.</w:t>
      </w:r>
    </w:p>
    <w:p>
      <w:pPr>
        <w:spacing w:before="120" w:after="120"/>
      </w:pPr>
      <w:r>
        <w:t xml:space="preserve"/>
      </w:r>
    </w:p>
    <w:p>
      <w:pPr>
        <w:pStyle w:val="Heading3"/>
        <w:spacing w:before="200" w:after="80"/>
      </w:pPr>
      <w:r>
        <w:rPr>
          <w:rFonts w:ascii="Arial" w:cs="Arial" w:eastAsia="Arial" w:hAnsi="Arial"/>
          <w:b/>
          <w:bCs/>
          <w:color w:val="2F5496"/>
          <w:sz w:val="22"/>
          <w:szCs w:val="22"/>
        </w:rPr>
        <w:t xml:space="preserve">3.2.3 Parameter Estimation (Bayesian Online Update)</w:t>
      </w:r>
    </w:p>
    <w:p>
      <w:pPr>
        <w:spacing w:before="80" w:after="80"/>
      </w:pPr>
      <w:r>
        <w:rPr>
          <w:rFonts w:ascii="Arial" w:cs="Arial" w:eastAsia="Arial" w:hAnsi="Arial"/>
          <w:sz w:val="22"/>
          <w:szCs w:val="22"/>
        </w:rPr>
        <w:t xml:space="preserve">After each session, user-specific ODE parameters θ are updated:</w:t>
      </w:r>
    </w:p>
    <w:p>
      <w:pPr>
        <w:spacing w:before="80" w:after="80"/>
      </w:pPr>
      <w:r>
        <w:rPr>
          <w:rFonts w:ascii="Arial" w:cs="Arial" w:eastAsia="Arial" w:hAnsi="Arial"/>
          <w:b/>
          <w:bCs/>
          <w:sz w:val="22"/>
          <w:szCs w:val="22"/>
        </w:rPr>
        <w:t xml:space="preserve">θ_posterior ∝ P(observed_session_data | θ) × P(θ | prior_sessions)</w:t>
      </w:r>
    </w:p>
    <w:p>
      <w:pPr>
        <w:spacing w:before="120" w:after="120"/>
      </w:pPr>
      <w:r>
        <w:t xml:space="preserve"/>
      </w:r>
    </w:p>
    <w:p>
      <w:pPr>
        <w:spacing w:before="80" w:after="80"/>
      </w:pPr>
      <w:r>
        <w:rPr>
          <w:rFonts w:ascii="Arial" w:cs="Arial" w:eastAsia="Arial" w:hAnsi="Arial"/>
          <w:sz w:val="22"/>
          <w:szCs w:val="22"/>
        </w:rPr>
        <w:t xml:space="preserve">For the recovery constant k specifically:</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Prior: k ~ Normal(0.05, 0.02²) for general population</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After each session: update posterior using observed HRV recovery slope</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Convergence: after ~10 sessions, individual k is known with ±15% accuracy</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The k parameter then drives personalized therapy timing: high-k users recover faster and can tolerate higher session frequency</w:t>
      </w:r>
    </w:p>
    <w:p>
      <w:pPr>
        <w:spacing w:before="120" w:after="120"/>
      </w:pPr>
      <w:r>
        <w:t xml:space="preserve"/>
      </w:r>
    </w:p>
    <w:p>
      <w:pPr>
        <w:pStyle w:val="Heading2"/>
        <w:spacing w:before="280" w:after="120"/>
      </w:pPr>
      <w:r>
        <w:rPr>
          <w:rFonts w:ascii="Arial" w:cs="Arial" w:eastAsia="Arial" w:hAnsi="Arial"/>
          <w:b/>
          <w:bCs/>
          <w:color w:val="2E75B6"/>
          <w:sz w:val="26"/>
          <w:szCs w:val="26"/>
        </w:rPr>
        <w:t xml:space="preserve">3.3 PDRI — Full Mathematical Definition</w:t>
      </w:r>
    </w:p>
    <w:p>
      <w:pPr>
        <w:spacing w:before="80" w:after="80"/>
      </w:pPr>
      <w:r>
        <w:rPr>
          <w:rFonts w:ascii="Arial" w:cs="Arial" w:eastAsia="Arial" w:hAnsi="Arial"/>
          <w:sz w:val="22"/>
          <w:szCs w:val="22"/>
        </w:rPr>
        <w:t xml:space="preserve">The Pre-Disease Risk Index was previously listed with domain weights only. The following provides the complete mathematical formulation.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200"/>
        <w:gridCol w:w="2000"/>
        <w:gridCol w:w="2560"/>
      </w:tblGrid>
      <w:tr>
        <w:trPr>
          <w:tblHeader/>
        </w:trPr>
        <w:tc>
          <w:tcPr>
            <w:tcW w:type="dxa" w:w="1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 used</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Normalization</w:t>
            </w:r>
          </w:p>
        </w:tc>
        <w:tc>
          <w:tcPr>
            <w:tcW w:type="dxa" w:w="25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formula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Autonomic Stability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RMSSD_30d_slope, LF/HF_baseline, Recovery_k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0-100 via percentile rank vs age/sex matched population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S_auto = 100 × (1 - sigmoid(RMSSD_slope_negative × 10 + LF/HF_excess × 5))</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Recovery Kinetics</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25%</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k_recovery per session, HR recovery half-life after stress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0-100; faster recovery → higher score</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S_rec = 100 × min(1, k_user / k_population_75th_percentile)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Thermoregulation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 (Thermoregulatory Recovery Index): time to rewarm 5°C post-cryo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0-100; faster rewarm → higher score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S_therm = 100 × exp(-0.1 × (TRI_min - TRI_expected))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Oxygen Utilization</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OUE (SpO2 normalization speed post-HBOT), peak SpO2 at ATA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0-100; higher efficiency → higher score</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S_O2 = 100 × (SpO2_peak / 100) × (1 / normalization_time_ratio)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Cognitive Load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Voice CLI (if band has mic), HRV suppression at rest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0-100; lower load → higher score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S_cog = 100 × (1 - CLI_normalized) × (HRV_resting / HRV_baseline)</w:t>
            </w:r>
          </w:p>
        </w:tc>
      </w:tr>
    </w:tbl>
    <w:p>
      <w:pPr>
        <w:spacing w:before="120" w:after="120"/>
      </w:pPr>
      <w:r>
        <w:t xml:space="preserve"/>
      </w:r>
    </w:p>
    <w:p>
      <w:pPr>
        <w:spacing w:before="80" w:after="80"/>
      </w:pPr>
      <w:r>
        <w:rPr>
          <w:rFonts w:ascii="Arial" w:cs="Arial" w:eastAsia="Arial" w:hAnsi="Arial"/>
          <w:b/>
          <w:bCs/>
          <w:sz w:val="22"/>
          <w:szCs w:val="22"/>
        </w:rPr>
        <w:t xml:space="preserve">PDRI_final = 0.30 × S_auto + 0.25 × S_rec + 0.15 × S_therm + 0.15 × S_O2 + 0.15 × S_cog</w:t>
      </w:r>
    </w:p>
    <w:p>
      <w:pPr>
        <w:spacing w:before="120" w:after="120"/>
      </w:pPr>
      <w:r>
        <w:t xml:space="preserve"/>
      </w:r>
    </w:p>
    <w:p>
      <w:pPr>
        <w:spacing w:before="80" w:after="80"/>
      </w:pPr>
      <w:r>
        <w:rPr>
          <w:rFonts w:ascii="Arial" w:cs="Arial" w:eastAsia="Arial" w:hAnsi="Arial"/>
          <w:sz w:val="22"/>
          <w:szCs w:val="22"/>
        </w:rPr>
        <w:t xml:space="preserve">Confidence interval on PDRI: reported as (score ± 2σ) where σ is estimated from the variance of inputs over the trailing 30-day window. A PDRI with wide confidence interval (e.g., ±20 points) is flagged as "insufficient data" and the score is not shown to the user.</w:t>
      </w:r>
    </w:p>
    <w:p>
      <w:pPr>
        <w:spacing w:before="120" w:after="120"/>
      </w:pPr>
      <w:r>
        <w:t xml:space="preserve"/>
      </w:r>
    </w:p>
    <w:p>
      <w:pPr>
        <w:pStyle w:val="Heading2"/>
        <w:spacing w:before="280" w:after="120"/>
      </w:pPr>
      <w:r>
        <w:rPr>
          <w:rFonts w:ascii="Arial" w:cs="Arial" w:eastAsia="Arial" w:hAnsi="Arial"/>
          <w:b/>
          <w:bCs/>
          <w:color w:val="2E75B6"/>
          <w:sz w:val="26"/>
          <w:szCs w:val="26"/>
        </w:rPr>
        <w:t xml:space="preserve">3.4 LLM Reasoning Layer — Safety Guardrails</w:t>
      </w:r>
    </w:p>
    <w:p>
      <w:pPr>
        <w:spacing w:before="80" w:after="80"/>
      </w:pPr>
      <w:r>
        <w:rPr>
          <w:rFonts w:ascii="Arial" w:cs="Arial" w:eastAsia="Arial" w:hAnsi="Arial"/>
          <w:sz w:val="22"/>
          <w:szCs w:val="22"/>
        </w:rPr>
        <w:t xml:space="preserve">The LLM reasoning layer has hard constraints that cannot be overridden by user prompts or model inference:</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Output vocabulary whitelist: recommendations must only reference therapy type, intensity (low/medium/high), session frequency, and rest days. No drug names, dosage suggestions, or diagnostic conclusions.</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Confidence floor: if PDRI confidence interval &gt; 20 points, LLM is blocked from generating recommendations and instead outputs "insufficient session data" message.</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Tier 3 anomaly pass-through: if anomaly detection flags a Tier 3 event, LLM automatically prepends the message with the Tier 3 warning regardless of other content.</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No clinical diagnosis language: a regex pattern filter blocks output containing any of: "diagnosed", "disease", "condition", "disorder", "clinical", "medical" when not preceded by negation.</w:t>
      </w:r>
    </w:p>
    <w:p>
      <w:pPr>
        <w:spacing w:before="120" w:after="120"/>
      </w:pPr>
      <w:r>
        <w:t xml:space="preserve"/>
      </w:r>
    </w:p>
    <w:p>
      <w:pPr>
        <w:pageBreakBefore/>
      </w:pPr>
      <w:r>
        <w:t xml:space="preserve"/>
      </w:r>
    </w:p>
    <w:p>
      <w:pPr>
        <w:pStyle w:val="Heading1"/>
        <w:spacing w:before="400" w:after="200"/>
      </w:pPr>
      <w:r>
        <w:rPr>
          <w:rFonts w:ascii="Arial" w:cs="Arial" w:eastAsia="Arial" w:hAnsi="Arial"/>
          <w:b/>
          <w:bCs/>
          <w:color w:val="1F4E79"/>
          <w:sz w:val="32"/>
          <w:szCs w:val="32"/>
        </w:rPr>
        <w:t xml:space="preserve">PART 4: BUSINESS MODEL — UNIT ECONOMICS &amp; REGULATORY PATH</w:t>
      </w:r>
    </w:p>
    <w:p>
      <w:pPr>
        <w:pStyle w:val="Heading2"/>
        <w:spacing w:before="280" w:after="120"/>
      </w:pPr>
      <w:r>
        <w:rPr>
          <w:rFonts w:ascii="Arial" w:cs="Arial" w:eastAsia="Arial" w:hAnsi="Arial"/>
          <w:b/>
          <w:bCs/>
          <w:color w:val="2E75B6"/>
          <w:sz w:val="26"/>
          <w:szCs w:val="26"/>
        </w:rPr>
        <w:t xml:space="preserve">4.1 Unit Economics (Three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10 wellness centers</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50 wellness centers</w:t>
            </w:r>
          </w:p>
        </w:tc>
        <w:tc>
          <w:tcPr>
            <w:tcW w:type="dxa" w:w="21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200 wellness centers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Patches per center (avg)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Total patches deployed</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150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750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 BOM cost (production)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₹6,500 (scale)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₹4,500 (injection mold)</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Band subscribers per center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250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band subscribers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60,000</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Band BOM cost</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₹5,000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₹4,200</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 band subscription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₹799 (Echo Basic)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₹799-1,299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₹799-1,299</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Wellness center SaaS fee/month</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₹8,000/center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₹8,000/center</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₹8,000/center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 recurring revenue (band)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₹15.9 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₹99.4 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 Cr</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Monthly SaaS revenue (centers)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₹80,000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 L</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₹16 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monthly revenue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₹16.7 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₹1.03 Cr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₹4.96 Cr</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COGS (cloud + support ~30%)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 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₹31 L</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₹1.49 Cr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Gross margin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r>
    </w:tbl>
    <w:p>
      <w:pPr>
        <w:spacing w:before="120" w:after="120"/>
      </w:pPr>
      <w:r>
        <w:t xml:space="preserve"/>
      </w:r>
    </w:p>
    <w:p>
      <w:pPr>
        <w:pBdr>
          <w:left w:val="single" w:color="F59B00" w:sz="6" w:space="10"/>
        </w:pBdr>
        <w:spacing w:before="80" w:after="80"/>
        <w:ind w:left="360"/>
      </w:pPr>
      <w:r>
        <w:rPr>
          <w:rFonts w:ascii="Arial" w:cs="Arial" w:eastAsia="Arial" w:hAnsi="Arial"/>
          <w:i/>
          <w:iCs/>
          <w:color w:val="7B4F00"/>
          <w:sz w:val="20"/>
          <w:szCs w:val="20"/>
        </w:rPr>
        <w:t xml:space="preserve">Band hardware amortized over 24-month subscription. Break-even on hardware at month 7-8 (₹5,000 cost / ₹799 monthly). Patch hardware is a clinic asset, not subscription-based; wellness centers pay upfront. Pharma data API revenue not included (requires 18-month data collection runway + IRB approval).</w:t>
      </w:r>
    </w:p>
    <w:p>
      <w:pPr>
        <w:spacing w:before="120" w:after="120"/>
      </w:pPr>
      <w:r>
        <w:t xml:space="preserve"/>
      </w:r>
    </w:p>
    <w:p>
      <w:pPr>
        <w:pStyle w:val="Heading2"/>
        <w:spacing w:before="280" w:after="120"/>
      </w:pPr>
      <w:r>
        <w:rPr>
          <w:rFonts w:ascii="Arial" w:cs="Arial" w:eastAsia="Arial" w:hAnsi="Arial"/>
          <w:b/>
          <w:bCs/>
          <w:color w:val="2E75B6"/>
          <w:sz w:val="26"/>
          <w:szCs w:val="26"/>
        </w:rPr>
        <w:t xml:space="preserve">4.2 Regulatory Pathway — India, EU,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3000"/>
        <w:gridCol w:w="1560"/>
      </w:tblGrid>
      <w:tr>
        <w:trPr>
          <w:tblHeader/>
        </w:trPr>
        <w:tc>
          <w:tcPr>
            <w:tcW w:type="dxa" w:w="1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Relevant law / body</w:t>
            </w:r>
          </w:p>
        </w:tc>
        <w:tc>
          <w:tcPr>
            <w:tcW w:type="dxa" w:w="16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5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 estimate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CDSCO (MDR 2017)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 B (wellness intelligence device)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As-intended use is wellness monitoring, not diagnosis. File 510(k) equivalent Form-41 with CDSCO. Requires ISO 13485 QMS.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12-18 months from filing</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India (data)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DPDP Act 2023</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Sensitive Personal Data (health category)</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Appoint Data Protection Officer. Explicit consent for each data category. Store health data on Indian servers (data residency).</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Implement before launch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MDR 2017/745 + IVDR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 IIa MDSW under MDCG 2019-11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 as Medical Device (SaMD) if claims include risk prediction. Can avoid SaMD classification by limiting claims to "wellness trend monitoring". Requires CE mark via Notified Body (NB) for Class IIa.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18-30 months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USA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FDA 21 CFR Part 820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Class II (De Novo or 510(k))</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Digital Health Center of Excellence. If claims limited to wellness/fitness, likely 510(k) exempt. AI/ML-based SaMD falls under FDA AI/ML Action Plan. Submit Pre-Sub meeting request first.</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12-24 months for Pre-Sub + clearance</w:t>
            </w:r>
          </w:p>
        </w:tc>
      </w:tr>
    </w:tbl>
    <w:p>
      <w:pPr>
        <w:spacing w:before="120" w:after="120"/>
      </w:pPr>
      <w:r>
        <w:t xml:space="preserve"/>
      </w:r>
    </w:p>
    <w:p>
      <w:pPr>
        <w:pStyle w:val="Heading2"/>
        <w:spacing w:before="280" w:after="120"/>
      </w:pPr>
      <w:r>
        <w:rPr>
          <w:rFonts w:ascii="Arial" w:cs="Arial" w:eastAsia="Arial" w:hAnsi="Arial"/>
          <w:b/>
          <w:bCs/>
          <w:color w:val="2E75B6"/>
          <w:sz w:val="26"/>
          <w:szCs w:val="26"/>
        </w:rPr>
        <w:t xml:space="preserve">4.3 India DPDP Act 2023 — Compliance Architecture</w:t>
      </w:r>
    </w:p>
    <w:p>
      <w:pPr>
        <w:spacing w:before="80" w:after="80"/>
      </w:pPr>
      <w:r>
        <w:rPr>
          <w:rFonts w:ascii="Arial" w:cs="Arial" w:eastAsia="Arial" w:hAnsi="Arial"/>
          <w:sz w:val="22"/>
          <w:szCs w:val="22"/>
        </w:rPr>
        <w:t xml:space="preserve">The Digital Personal Data Protection Act 2023 classifies health data as "sensitive personal data" with heightened obligations. These must be designed into the system before a single line of production code is written.</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Data fiduciary registration: Register as a Significant Data Fiduciary with the Data Protection Board of India if user count exceeds threshold (to be notified by government).</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Explicit layered consent: Three separate consent flows: (1) session physiological data collection, (2) longitudinal AI modeling, (3) anonymized research/pharma data inclusion. Each must be granular and revocable.</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Data localization: All raw health data stored on Indian cloud infrastructure (AWS Mumbai, Azure India Central, or Indian datacenters). AI inference models may be hosted elsewhere only after anonymization.</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Right to erasure: User can request deletion of all personal data. System must purge raw physiological data within 72 hours. Anonymized aggregate model weights are exempt.</w:t>
      </w:r>
    </w:p>
    <w:p>
      <w:pPr>
        <w:spacing w:before="40" w:after="40"/>
        <w:ind w:left="360" w:hanging="220"/>
      </w:pPr>
      <w:r>
        <w:rPr>
          <w:rFonts w:ascii="Arial" w:cs="Arial" w:eastAsia="Arial" w:hAnsi="Arial"/>
          <w:sz w:val="22"/>
          <w:szCs w:val="22"/>
        </w:rPr>
        <w:t xml:space="preserve">•  </w:t>
      </w:r>
      <w:r>
        <w:rPr>
          <w:rFonts w:ascii="Arial" w:cs="Arial" w:eastAsia="Arial" w:hAnsi="Arial"/>
          <w:sz w:val="22"/>
          <w:szCs w:val="22"/>
        </w:rPr>
        <w:t xml:space="preserve">Purpose limitation: Data collected for therapy monitoring cannot be re-used for pharma trials without additional consent. This means pharma B2B revenue requires a separate consent flow activated before the data is usable.</w:t>
      </w:r>
    </w:p>
    <w:p>
      <w:pPr>
        <w:spacing w:before="120" w:after="120"/>
      </w:pPr>
      <w:r>
        <w:t xml:space="preserve"/>
      </w:r>
    </w:p>
    <w:p>
      <w:pPr>
        <w:pStyle w:val="Heading2"/>
        <w:spacing w:before="280" w:after="120"/>
      </w:pPr>
      <w:r>
        <w:rPr>
          <w:rFonts w:ascii="Arial" w:cs="Arial" w:eastAsia="Arial" w:hAnsi="Arial"/>
          <w:b/>
          <w:bCs/>
          <w:color w:val="2E75B6"/>
          <w:sz w:val="26"/>
          <w:szCs w:val="26"/>
        </w:rPr>
        <w:t xml:space="preserve">4.4 Go-to-Market Strategy (First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700"/>
        <w:gridCol w:w="2660"/>
      </w:tblGrid>
      <w:tr>
        <w:trPr>
          <w:tblHeader/>
        </w:trPr>
        <w:tc>
          <w:tcPr>
            <w:tcW w:type="dxa" w:w="15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7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6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Design Partner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 1-2</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Identify 2-3 wellness centers in metro India (Bangalore/Mumbai). Free prototype deployment. Operational observational data collection with commercial Holter monitor + Echo OS patch simultaneously.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Ground-truth data for ODE calibration. Real physiological data to train first residual network.</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Alpha Hardware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Month 3-5</w:t>
            </w:r>
          </w:p>
        </w:tc>
        <w:tc>
          <w:tcPr>
            <w:tcW w:type="dxa" w:w="3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Manufacture 30 patch + band units. PEEK enclosure. Controlled lab validation comparing MAX86178 output vs clinical ECG and pulse oximeter.</w:t>
            </w:r>
          </w:p>
        </w:tc>
        <w:tc>
          <w:tcPr>
            <w:tcW w:type="dxa" w:w="2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Signal accuracy validation. Identify firmware bugs. Sensor SNR benchmarks.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 Deployment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 6-9</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centers. 100-200 band subscribers per center. Patch at wellness center. Collect session data at scale. First version of PDRI algorithm running.</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 longitudinal data for AI training. User feedback on app UX. Revenue from subscriptions.</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Regulatory Pre-Sub</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Month 8-10</w:t>
            </w:r>
          </w:p>
        </w:tc>
        <w:tc>
          <w:tcPr>
            <w:tcW w:type="dxa" w:w="3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Submit Pre-Sub meeting request to FDA. File initial documentation with CDSCO. Engage EU Notified Body for pre-assessment.</w:t>
            </w:r>
          </w:p>
        </w:tc>
        <w:tc>
          <w:tcPr>
            <w:tcW w:type="dxa" w:w="2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Establish regulatory timeline. Identify any claims that must be reformulated.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Series A Preparation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 10-12</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Publish internal data: signal accuracy benchmarks, PDRI pilot correlation study, unit economics from pilot.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Investor-ready data package. Pre-revenue ARR established.</w:t>
            </w:r>
          </w:p>
        </w:tc>
      </w:tr>
    </w:tbl>
    <w:p>
      <w:pPr>
        <w:spacing w:before="120" w:after="120"/>
      </w:pPr>
      <w:r>
        <w:t xml:space="preserve"/>
      </w:r>
    </w:p>
    <w:p>
      <w:pPr>
        <w:pageBreakBefore/>
      </w:pPr>
      <w:r>
        <w:t xml:space="preserve"/>
      </w:r>
    </w:p>
    <w:p>
      <w:pPr>
        <w:pStyle w:val="Heading1"/>
        <w:spacing w:before="400" w:after="200"/>
      </w:pPr>
      <w:r>
        <w:rPr>
          <w:rFonts w:ascii="Arial" w:cs="Arial" w:eastAsia="Arial" w:hAnsi="Arial"/>
          <w:b/>
          <w:bCs/>
          <w:color w:val="1F4E79"/>
          <w:sz w:val="32"/>
          <w:szCs w:val="32"/>
        </w:rPr>
        <w:t xml:space="preserve">PART 5: CRITICAL ISSUES RESOLVED — SUMMARY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00"/>
        <w:gridCol w:w="1060"/>
      </w:tblGrid>
      <w:tr>
        <w:trPr>
          <w:tblHeader/>
        </w:trPr>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Original State</w:t>
            </w:r>
          </w:p>
        </w:tc>
        <w:tc>
          <w:tcPr>
            <w:tcW w:type="dxa" w:w="29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Resolved State</w:t>
            </w:r>
          </w:p>
        </w:tc>
        <w:tc>
          <w:tcPr>
            <w:tcW w:type="dxa" w:w="10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budget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analyzed; 120 mAh assumed sufficient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 mAh spec with full current draw table; 7.7 mA active draw confirmed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1.1.3</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HBOT BLE blocking</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Not mentioned</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Flash buffer mode in chamber; post-session BLE offload; MQTT machine data via WiFi</w:t>
            </w:r>
          </w:p>
        </w:tc>
        <w:tc>
          <w:tcPr>
            <w:tcW w:type="dxa" w:w="1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1.1.4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EDA placement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 chest patch (physiologically wrong)</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Moved to band wrist; correct placement for sympathetic arousal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1.1.2</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Sensor fragmentation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AD8233 + MAX86150 (2 chips)</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MAX86178 (1 chip: ECG + PPG + BioZ); saves board area, power, complexity</w:t>
            </w:r>
          </w:p>
        </w:tc>
        <w:tc>
          <w:tcPr>
            <w:tcW w:type="dxa" w:w="1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1.1.2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ODE parameters undefined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Greek letter symbols with no values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parameters assigned ranges with literature citations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2</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PDRI undefined algorithm</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Domain weights only; no formula</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Complete mathematical definition with per-domain scoring functions</w:t>
            </w:r>
          </w:p>
        </w:tc>
        <w:tc>
          <w:tcPr>
            <w:tcW w:type="dxa" w:w="1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architecture (pure 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Hand-crafted ODEs only</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PINN: ODE prior + neural residual + Kalman fusion; PINN loss formally defined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Synthetic data validation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Not defined</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Explicit validation targets per therapy per metric from published literature</w:t>
            </w:r>
          </w:p>
        </w:tc>
        <w:tc>
          <w:tcPr>
            <w:tcW w:type="dxa" w:w="1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LLM safety guardrails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designed</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Vocabulary whitelist, confidence floor, regex filter, Tier 3 pass-through</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Unit economics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Not present</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3-scenario model with CAC, COGS, gross margin</w:t>
            </w:r>
          </w:p>
        </w:tc>
        <w:tc>
          <w:tcPr>
            <w:tcW w:type="dxa" w:w="1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Regulatory pathway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Vague 3-tier mention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CDSCO Class B + DPDP + FDA De Novo + EU MDR paths with timelines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DPDP compliance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Not mentioned</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Full layered consent architecture, data residency, purpose limitation</w:t>
            </w:r>
          </w:p>
        </w:tc>
        <w:tc>
          <w:tcPr>
            <w:tcW w:type="dxa" w:w="1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4.3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PEEK at scale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Assumed long-term material</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Prototype only; PEKK injection mold planned for unit 100+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BTT / PTT BP claim</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Presented as reliable</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Removed as standalone claim; flagged as requiring individual calibration + unstable in thermal therapy</w:t>
            </w:r>
          </w:p>
        </w:tc>
        <w:tc>
          <w:tcPr>
            <w:tcW w:type="dxa" w:w="1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Not a v1 feature</w:t>
            </w:r>
          </w:p>
        </w:tc>
      </w:tr>
    </w:tbl>
    <w:p>
      <w:pPr>
        <w:spacing w:before="120" w:after="120"/>
      </w:pPr>
      <w:r>
        <w:t xml:space="preserve"/>
      </w:r>
    </w:p>
    <w:p>
      <w:pPr>
        <w:pStyle w:val="Heading1"/>
        <w:spacing w:before="400" w:after="200"/>
      </w:pPr>
      <w:r>
        <w:rPr>
          <w:rFonts w:ascii="Arial" w:cs="Arial" w:eastAsia="Arial" w:hAnsi="Arial"/>
          <w:b/>
          <w:bCs/>
          <w:color w:val="1F4E79"/>
          <w:sz w:val="32"/>
          <w:szCs w:val="32"/>
        </w:rPr>
        <w:t xml:space="preserve">PART 6: REVISED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1880"/>
        <w:gridCol w:w="1680"/>
        <w:gridCol w:w="1400"/>
      </w:tblGrid>
      <w:tr>
        <w:trPr>
          <w:tblHeader/>
        </w:trPr>
        <w:tc>
          <w:tcPr>
            <w:tcW w:type="dxa" w:w="1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188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Software/AI</w:t>
            </w:r>
          </w:p>
        </w:tc>
        <w:tc>
          <w:tcPr>
            <w:tcW w:type="dxa" w:w="168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Scientific</w:t>
            </w:r>
          </w:p>
        </w:tc>
        <w:tc>
          <w:tcPr>
            <w:tcW w:type="dxa" w:w="14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Business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0: Foundation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budget finalized. MAX86178 eval kit ordered. Battery chemistry validated at -40°C.</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ODE parameter calibration module built. Synthetic generator validation against literature targets.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Literature parameter extraction complete. ODE calibration logged.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Design partner wellness center signed. DPDP consent architecture drafted.</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Phase 1: Alpha Hardware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2-5 months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30 units built. PEEK enclosure. HBOT flash-buffer firmware. EDA on band tested.</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PINN architecture v1 built. Synthetic pre-training complete. Band app v0.1.</w:t>
            </w:r>
          </w:p>
        </w:tc>
        <w:tc>
          <w:tcPr>
            <w:tcW w:type="dxa" w:w="1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Controlled lab session: Echo patch vs Holter ECG. Validate signal accuracy.</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CDSCO pre-submission consultation. ISO 13485 gap analysis.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2: Pilot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 sterilization protocol deployed. Production electrode strip design.</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PDRI v1 running. Anomaly detection Tier 1-2. LLM recommendations with guardrails.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real longitudinal dataset. ODE residual network trained on pilot 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centers live. ₹10-15 L MRR target. Pre-Sub FDA meeting filed.</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Phase 3: Scale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9-18 months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PEKK injection mold tooling ordered. 500-1000 unit manufacturing run.</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Federated learning v1. Longitudinal transformer trained.</w:t>
            </w:r>
          </w:p>
        </w:tc>
        <w:tc>
          <w:tcPr>
            <w:tcW w:type="dxa" w:w="16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PDRI pilot correlation study published internally. Academic partnership for validation.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50 centers. Series A raise. EU Notified Body pre-assessment.</w:t>
            </w:r>
          </w:p>
        </w:tc>
      </w:tr>
    </w:tbl>
    <w:p>
      <w:pPr>
        <w:spacing w:before="120" w:after="120"/>
      </w:pPr>
      <w:r>
        <w:t xml:space="preserve"/>
      </w:r>
    </w:p>
    <w:p>
      <w:pPr>
        <w:spacing w:before="80" w:after="80"/>
      </w:pPr>
      <w:r>
        <w:rPr>
          <w:rFonts w:ascii="Arial" w:cs="Arial" w:eastAsia="Arial" w:hAnsi="Arial"/>
          <w:i/>
          <w:iCs/>
          <w:color w:val="555555"/>
          <w:sz w:val="22"/>
          <w:szCs w:val="22"/>
        </w:rPr>
        <w:t xml:space="preserve">This document should be treated as a living specification. Every parameter table should be revisited after Phase 1 lab validation, with real sensor data replacing literature-derived estimates where the two disagree.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2026-03-18T18:08:29.382Z</dcterms:created>
  <dcterms:modified xsi:type="dcterms:W3CDTF">2026-03-18T18:08:29.383Z</dcterms:modified>
</cp:coreProperties>
</file>

<file path=docProps/custom.xml><?xml version="1.0" encoding="utf-8"?>
<Properties xmlns="http://schemas.openxmlformats.org/officeDocument/2006/custom-properties" xmlns:vt="http://schemas.openxmlformats.org/officeDocument/2006/docPropsVTypes"/>
</file>