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0D3B66"/>
          <w:sz w:val="96"/>
          <w:szCs w:val="96"/>
        </w:rPr>
        <w:t xml:space="preserve">ECHO OS</w:t>
      </w:r>
    </w:p>
    <w:p>
      <w:pPr>
        <w:spacing w:before="120"/>
        <w:jc w:val="center"/>
      </w:pPr>
      <w:r>
        <w:rPr>
          <w:rFonts w:ascii="Arial" w:cs="Arial" w:eastAsia="Arial" w:hAnsi="Arial"/>
          <w:b/>
          <w:bCs/>
          <w:color w:val="155A8A"/>
          <w:sz w:val="34"/>
          <w:szCs w:val="34"/>
        </w:rPr>
        <w:t xml:space="preserve">SOFTWARE, AI &amp; ML DESIGN AND PRODUCT REQUIREMENTS</w:t>
      </w:r>
    </w:p>
    <w:p>
      <w:pPr>
        <w:spacing w:before="100"/>
        <w:jc w:val="center"/>
      </w:pPr>
      <w:r>
        <w:rPr>
          <w:rFonts w:ascii="Arial" w:cs="Arial" w:eastAsia="Arial" w:hAnsi="Arial"/>
          <w:i/>
          <w:iCs/>
          <w:color w:val="444444"/>
          <w:sz w:val="23"/>
          <w:szCs w:val="23"/>
        </w:rPr>
        <w:t xml:space="preserve">App Architecture • AI Framework • PINN Engine • Voice Intelligence • Model Training • Own Model Development</w:t>
      </w:r>
    </w:p>
    <w:p>
      <w:pPr>
        <w:spacing w:before="600"/>
        <w:jc w:val="center"/>
      </w:pPr>
      <w:r>
        <w:rPr>
          <w:rFonts w:ascii="Arial" w:cs="Arial" w:eastAsia="Arial" w:hAnsi="Arial"/>
          <w:color w:val="777777"/>
          <w:sz w:val="20"/>
          <w:szCs w:val="20"/>
        </w:rPr>
        <w:t xml:space="preserve">Version 2.0 • Deep Research Edition • March 2026</w:t>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Executive Summary</w:t>
      </w:r>
    </w:p>
    <w:p>
      <w:pPr>
        <w:spacing w:before="60" w:after="60"/>
      </w:pPr>
      <w:r>
        <w:rPr>
          <w:rFonts w:ascii="Arial" w:cs="Arial" w:eastAsia="Arial" w:hAnsi="Arial"/>
          <w:sz w:val="20"/>
          <w:szCs w:val="20"/>
        </w:rPr>
        <w:t xml:space="preserve">This document defines the complete software, artificial intelligence, and machine learning architecture for Echo OS. It covers every layer from on-device edge firmware through cloud infrastructure to the AI models themselves, including training strategies, own model development roadmap, and the path from synthetic pre-training to federated real-world learning. Every architectural decision is grounded in published research and engineering best practice.</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software architecture reflects one core conviction: Echo OS is an AI product that uses hardware as its input interface. The competitive moat is not the band or the patch. It is the AI that grows more accurate with every session, every user, and every wellness centre deployment. This document defines how that AI is built.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Hosted on</w:t>
            </w:r>
          </w:p>
        </w:tc>
        <w:tc>
          <w:tcPr>
            <w:tcW w:type="dxa" w:w="27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Key AI function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On-device firmware ML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TensorFlow Lite Micro, Zephyr RTOS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nRF52840 MCU on band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classification, VAD, stress spike detection - all without cloud round-trip</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Mobile app</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React Native + Expo, Whisper STT, TTS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iOS/Android device</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JARVIS voice interface, dashboard, session control, medical record scan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Edge preprocessing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(cloud function, low-latency)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Cloud function (AWS Lambda / GCP Cloud Run)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filtering, feature extraction, SQI computation, artefact rejection</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Physiological AI (PINN)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PyTorch + custom PINN loss, ResNet residual</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GPU inference server (A100 or T4)</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Physics-informed physiological state estimation, HSAI computation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Intelligence Engine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Wav2Vec2 + custom clinical fine-tune, MFCC + acoustic features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GPU inference server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biomarker extraction, longitudinal tracking, disease trajectory signals</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Longitudinal Transformer</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Transformer (8-head, 12-layer), session embedding</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GPU inference server</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Digital twin state across sessions; PDRI trajectory; adaptation learning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Reasoning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Anthropic Claude API (Claude claude-sonnet-4-6)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Anthropic API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Natural language health insights, JARVIS responses, doctor brief generation</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Doctor Portal AI</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RAG (retrieval-augmented) over user data</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Cloud backend</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Clinical summary generation, trend annotation, consultation preparation</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1: Application Architecture</w:t>
      </w:r>
    </w:p>
    <w:p>
      <w:pPr>
        <w:pStyle w:val="Heading2"/>
        <w:spacing w:before="300" w:after="140"/>
      </w:pPr>
      <w:r>
        <w:rPr>
          <w:rFonts w:ascii="Arial" w:cs="Arial" w:eastAsia="Arial" w:hAnsi="Arial"/>
          <w:b/>
          <w:bCs/>
          <w:color w:val="155A8A"/>
          <w:sz w:val="28"/>
          <w:szCs w:val="28"/>
        </w:rPr>
        <w:t xml:space="preserve">1.1 Mobile Application</w:t>
      </w:r>
    </w:p>
    <w:p>
      <w:pPr>
        <w:pStyle w:val="Heading3"/>
        <w:spacing w:before="200" w:after="100"/>
      </w:pPr>
      <w:r>
        <w:rPr>
          <w:rFonts w:ascii="Arial" w:cs="Arial" w:eastAsia="Arial" w:hAnsi="Arial"/>
          <w:b/>
          <w:bCs/>
          <w:color w:val="1B6CA8"/>
          <w:sz w:val="23"/>
          <w:szCs w:val="23"/>
        </w:rPr>
        <w:t xml:space="preserve">1.1.1 Technology Stack</w:t>
      </w:r>
    </w:p>
    <w:p>
      <w:pPr>
        <w:spacing w:before="60" w:after="60"/>
      </w:pPr>
      <w:r>
        <w:rPr>
          <w:rFonts w:ascii="Arial" w:cs="Arial" w:eastAsia="Arial" w:hAnsi="Arial"/>
          <w:sz w:val="20"/>
          <w:szCs w:val="20"/>
        </w:rPr>
        <w:t xml:space="preserve">The Echo OS mobile application is built in React Native with the Expo managed workflow. This choice prioritises cross-platform deployment (iOS and Android from a single codebase) over native-only performance, which is acceptable because the heavy AI computation happens on cloud servers, not the phone.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9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Framework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 Native 0.73+ with Expo SDK 51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codebase for iOS and Android. OTA updates via Expo EAS. 85% code sharing. Faster iteration than native.</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State management</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Zustand (global) + React Query (server state)</w:t>
            </w:r>
          </w:p>
        </w:tc>
        <w:tc>
          <w:tcPr>
            <w:tcW w:type="dxa" w:w="4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Zustand: minimal boilerplate for device state, session state, user state. React Query: server cache, background sync, optimistic updates.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interface (STT)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OpenAI Whisper API (cloud) + on-device Whisper tiny (offline fallback)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Whisper: state-of-the-art STT, multilingual (Hindi, English, regional languages essential for India). On-device tiny model: 39 MB, handles offline voice.</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Voice interface (TTS)</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ElevenLabs API (high quality) + system TTS fallback</w:t>
            </w:r>
          </w:p>
        </w:tc>
        <w:tc>
          <w:tcPr>
            <w:tcW w:type="dxa" w:w="4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ElevenLabs: human-quality voice for JARVIS responses. Fallback to system TTS for offline.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Charts and visualisation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Victory Native (React Native charts) + D3.js for complex custom charts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Victory Native: batteries-included charting. D3: custom HSAI radar chart, longitudinal trend charts.</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Medical OCR</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Google Cloud Vision API (cloud) + on-device camera preprocessing</w:t>
            </w:r>
          </w:p>
        </w:tc>
        <w:tc>
          <w:tcPr>
            <w:tcW w:type="dxa" w:w="4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Cloud Vision: 95%+ accuracy on printed lab reports. On-device: document edge detection, perspective correction, contrast enhancement.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Offline capability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Watermelon DB (SQLite-based, React Native optimised)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Sessions, HSAI scores, and basic trends cached offline. App is usable without internet; syncs when connected.</w:t>
            </w:r>
          </w:p>
        </w:tc>
      </w:tr>
      <w:tr>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Push notifications</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FCM (Android) + APNs (iOS) via Expo Notifications</w:t>
            </w:r>
          </w:p>
        </w:tc>
        <w:tc>
          <w:tcPr>
            <w:tcW w:type="dxa" w:w="4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Anomaly alerts, session reminders, doctor consultation bookings, HRV morning brief.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BLE management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react-native-ble-plx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Scan, connect, read GATT characteristics, subscribe to notifications from band and patch.</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1.1.2 JARVIS Voice Interface Architecture</w:t>
      </w:r>
    </w:p>
    <w:p>
      <w:pPr>
        <w:spacing w:before="60" w:after="60"/>
      </w:pPr>
      <w:r>
        <w:rPr>
          <w:rFonts w:ascii="Arial" w:cs="Arial" w:eastAsia="Arial" w:hAnsi="Arial"/>
          <w:sz w:val="20"/>
          <w:szCs w:val="20"/>
        </w:rPr>
        <w:t xml:space="preserve">The JARVIS voice interface is the primary engagement mechanism and the principal differentiator against competitor wearable apps. It must work in noisy environments (gym, sauna room, post-run), support multilingual input, and respond within 2 seconds for immediate feedback commands.</w:t>
      </w:r>
    </w:p>
    <w:p>
      <w:pPr>
        <w:spacing w:before="80" w:after="80"/>
      </w:pPr>
      <w:r>
        <w:rPr>
          <w:rFonts w:ascii="Arial" w:cs="Arial" w:eastAsia="Arial" w:hAnsi="Arial"/>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560"/>
      </w:tblGrid>
      <w:tr>
        <w:trPr>
          <w:tblHeader/>
        </w:trPr>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2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5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Latency target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Wake detection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wake word detected by band mic VAD, OR by app mic when phone screen is active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On-device VAD (band): immediate. App: TFLite wake-word model, 50ms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 100ms</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Audio capture</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2–10 second utterance captured, sent to Whisper</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Band mic (better quality); phone mic (fallback)</w:t>
            </w:r>
          </w:p>
        </w:tc>
        <w:tc>
          <w:tcPr>
            <w:tcW w:type="dxa" w:w="1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N/A (concurrent with speech)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Speech to text, language auto-detected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Whisper API (cloud) or Whisper-tiny (local)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300–800ms (cloud); 1.5s (local)</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Intent classification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NLP model extracts: action, parameters, context</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Custom fine-tuned intent classifier (DistilBERT, 50 MB). Handles: declare_activity, query_status, book_consultation, record_event, set_reminder, general_health_query</w:t>
            </w:r>
          </w:p>
        </w:tc>
        <w:tc>
          <w:tcPr>
            <w:tcW w:type="dxa" w:w="1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&lt; 100ms (local inference)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retrieval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Current digital twin state + relevant history fetched for 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Zustand local state for instant data; React Query cache for recent history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 50ms (cache hit)</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LLM response generation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Claude claude-sonnet-4-6 API call with system prompt + user data context + intent</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Anthropic Claude API, claude-sonnet-4-6 model, max_tokens 300 for quick responses</w:t>
            </w:r>
          </w:p>
        </w:tc>
        <w:tc>
          <w:tcPr>
            <w:tcW w:type="dxa" w:w="1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800–1500ms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TTS playback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Response converted to speech, played through phone speaker or band haptic cue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ElevenLabs API (cloud) or system TTS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300–600ms (cloud TTS)</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TOTAL end-to-end latency</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t>
            </w:r>
          </w:p>
        </w:tc>
        <w:tc>
          <w:tcPr>
            <w:tcW w:type="dxa" w:w="1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1.8–3.0 seconds (cloud path); 2.5–4.0s (offline path)</w:t>
            </w:r>
          </w:p>
        </w:tc>
      </w:tr>
    </w:tbl>
    <w:p>
      <w:pPr>
        <w:spacing w:before="80" w:after="80"/>
      </w:pPr>
      <w:r>
        <w:rPr>
          <w:rFonts w:ascii="Arial" w:cs="Arial" w:eastAsia="Arial" w:hAnsi="Arial"/>
          <w:sz w:val="20"/>
          <w:szCs w:val="20"/>
        </w:rPr>
        <w:t xml:space="preserve"/>
      </w:r>
    </w:p>
    <w:p>
      <w:pPr>
        <w:pBdr>
          <w:left w:val="single" w:color="C0392B" w:sz="8" w:space="12"/>
        </w:pBdr>
        <w:spacing w:before="80" w:after="80"/>
        <w:ind w:left="440"/>
      </w:pPr>
      <w:r>
        <w:rPr>
          <w:rFonts w:ascii="Arial" w:cs="Arial" w:eastAsia="Arial" w:hAnsi="Arial"/>
          <w:i/>
          <w:iCs/>
          <w:color w:val="7B241C"/>
          <w:sz w:val="19"/>
          <w:szCs w:val="19"/>
        </w:rPr>
        <w:t xml:space="preserve">Critical design note: All LLM responses MUST pass through the safety guardrail layer before TTS playback. The guardrail checks for: (1) diagnostic language (blocked), (2) drug/dosage recommendations (blocked), (3) emergency-level Tier 3 anomaly prepend (mandatory), (4) confidence interval check (blocked if HSAI uncertainty &gt; 20 points).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1.1.3 Medical Report Repository</w:t>
      </w:r>
    </w:p>
    <w:p>
      <w:pPr>
        <w:spacing w:before="60" w:after="60"/>
      </w:pPr>
      <w:r>
        <w:rPr>
          <w:rFonts w:ascii="Arial" w:cs="Arial" w:eastAsia="Arial" w:hAnsi="Arial"/>
          <w:sz w:val="20"/>
          <w:szCs w:val="20"/>
        </w:rPr>
        <w:t xml:space="preserve">The scan-and-upload function is a major feature that competitors do not have. Users can photograph or upload lab reports, doctor notes, prescription records, and clinical investigation results. The system extracts structured data and correlates it with physiological trends.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Document type</w:t>
            </w:r>
          </w:p>
        </w:tc>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Extraction method</w:t>
            </w:r>
          </w:p>
        </w:tc>
        <w:tc>
          <w:tcPr>
            <w:tcW w:type="dxa" w:w="2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Structured output</w:t>
            </w:r>
          </w:p>
        </w:tc>
        <w:tc>
          <w:tcPr>
            <w:tcW w:type="dxa" w:w="29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Correlation to Echo OS data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Blood report (printed)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Camera scan → perspective correction → Google Cloud Vision OCR → medical NLP (custom BERT fine-tuned on Indian lab report formats)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{"test":"HbA1c","value":5.8,"unit":"%","ref_range":"4.0-5.6","flag":"HIGH","date":"2025-12","lab":"Apollo Diagnostics"}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Correlates HbA1c trend with post-meal HRV suppression index and skin temp instability (metabolic proxy signals)</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ECG printout (PDF/photo)</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PDF text extraction (pdfminer) OR image OCR + rhythm description extraction</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{"rhythm":"sinus_tachycardia","hr":96,"pr_interval":172,"qrs":88,"qtc":412,"date":"..."}</w:t>
            </w:r>
          </w:p>
        </w:tc>
        <w:tc>
          <w:tcPr>
            <w:tcW w:type="dxa" w:w="2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Validates Echo band/patch ECG-derived metrics against clinical ECG; improves individual calibration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Doctor notes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OCR + medical NLP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Structured: medications, diagnoses, follow-up instructions. Unstructured: clinical narrative stored as text.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Medications flagged as confounders in AI models (beta-blockers suppress HRV; noted in HSAI calculation)</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Imaging reports (MRI, CT, X-ray text)</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OCR + NLP (findings extraction only)</w:t>
            </w:r>
          </w:p>
        </w:tc>
        <w:tc>
          <w:tcPr>
            <w:tcW w:type="dxa" w:w="2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{"modality":"MRI_brain","findings":"No acute intracranial pathology","date":"..."}</w:t>
            </w:r>
          </w:p>
        </w:tc>
        <w:tc>
          <w:tcPr>
            <w:tcW w:type="dxa" w:w="2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Stored in timeline. Cross-referenced if neurological voice biomarker signals are detected.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Prescription records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OCR + drug database lookup (RxNorm/Indian formulary)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{"drug":"metoprolol","dose":"25mg","frequency":"twice_daily","start_date":"..."}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Beta-blockers, antidepressants, antihypertensives all affect HRV and voice. Confounder flag applied in AI models.</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2: Cloud Backend Architecture</w:t>
      </w:r>
    </w:p>
    <w:p>
      <w:pPr>
        <w:pStyle w:val="Heading2"/>
        <w:spacing w:before="300" w:after="140"/>
      </w:pPr>
      <w:r>
        <w:rPr>
          <w:rFonts w:ascii="Arial" w:cs="Arial" w:eastAsia="Arial" w:hAnsi="Arial"/>
          <w:b/>
          <w:bCs/>
          <w:color w:val="155A8A"/>
          <w:sz w:val="28"/>
          <w:szCs w:val="28"/>
        </w:rPr>
        <w:t xml:space="preserve">2.1 Infrastructure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800"/>
      </w:tblGrid>
      <w:tr>
        <w:trPr>
          <w:tblHeader/>
        </w:trPr>
        <w:tc>
          <w:tcPr>
            <w:tcW w:type="dxa" w:w="1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Scale target</w:t>
            </w:r>
          </w:p>
        </w:tc>
        <w:tc>
          <w:tcPr>
            <w:tcW w:type="dxa" w:w="3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API Gateway + Lambda (serverless) for edge functions; Node.js Express for core API on ECS Fargate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 to 10,000 req/sec auto-scaling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Serverless edge for latency-sensitive paths (BLE upload). Containerised core for stateful operations.</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Time-series database</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TimescaleDB (PostgreSQL extension, self-hosted on RDS)</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100M rows/day at 50,000 active users</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TimescaleDB: SQL + time-series optimisation. Hypertables auto-partition by time + user. Continuous aggregates for dashboard queries.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 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MongoDB Atlas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 TB at 50,000 users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Medical records, user profiles, session metadata, AI model outputs. Flexible schema for heterogeneous medical document types.</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Message queue</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AWS SQS + EventBridge</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Peak 50,000 events/second</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Decouples hardware upload from AI processing. Session upload triggers AI inference job. Anomaly events trigger notification pipeline.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inference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SageMaker (PINN + Transformer models) + Anthropic Claude API (LLM)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P50 inference latency &lt; 500ms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SageMaker: auto-scaling GPU inference for PINN and TCN models. Claude API: LLM reasoning layer.</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Object storage</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S3 (raw sensor data archive, model artefacts, medical OCR originals)</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Petabyte-scale at Year 3</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S3 Intelligent-Tiering: active data in S3 Standard, cold archive to Glacier after 90 days. Medical records encrypted at rest (AES-256, KMS).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Real-time streaming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Kinesis Data Streams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10,000 concurrent active sessions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data streamed in real-time for live monitoring. PINN inference triggered per 30-second window during active sessions.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2.2 Data Privacy and Security Architecture</w:t>
      </w:r>
    </w:p>
    <w:p>
      <w:pPr>
        <w:spacing w:before="40" w:after="40"/>
        <w:ind w:left="540" w:hanging="220"/>
      </w:pPr>
      <w:r>
        <w:rPr>
          <w:rFonts w:ascii="Arial" w:cs="Arial" w:eastAsia="Arial" w:hAnsi="Arial"/>
          <w:sz w:val="20"/>
          <w:szCs w:val="20"/>
        </w:rPr>
        <w:t xml:space="preserve">•  All health data encrypted at rest: AES-256 via AWS KMS. Key rotation: 90-day cycle.</w:t>
      </w:r>
    </w:p>
    <w:p>
      <w:pPr>
        <w:spacing w:before="40" w:after="40"/>
        <w:ind w:left="540" w:hanging="220"/>
      </w:pPr>
      <w:r>
        <w:rPr>
          <w:rFonts w:ascii="Arial" w:cs="Arial" w:eastAsia="Arial" w:hAnsi="Arial"/>
          <w:sz w:val="20"/>
          <w:szCs w:val="20"/>
        </w:rPr>
        <w:t xml:space="preserve">•  All data in transit: TLS 1.3 minimum. Certificate pinning in mobile app.</w:t>
      </w:r>
    </w:p>
    <w:p>
      <w:pPr>
        <w:spacing w:before="40" w:after="40"/>
        <w:ind w:left="540" w:hanging="220"/>
      </w:pPr>
      <w:r>
        <w:rPr>
          <w:rFonts w:ascii="Arial" w:cs="Arial" w:eastAsia="Arial" w:hAnsi="Arial"/>
          <w:sz w:val="20"/>
          <w:szCs w:val="20"/>
        </w:rPr>
        <w:t xml:space="preserve">•  India data residency: All raw health data stored in AWS Mumbai (ap-south-1) or Azure India Central. Mandated by DPDP Act 2023.</w:t>
      </w:r>
    </w:p>
    <w:p>
      <w:pPr>
        <w:spacing w:before="40" w:after="40"/>
        <w:ind w:left="540" w:hanging="220"/>
      </w:pPr>
      <w:r>
        <w:rPr>
          <w:rFonts w:ascii="Arial" w:cs="Arial" w:eastAsia="Arial" w:hAnsi="Arial"/>
          <w:sz w:val="20"/>
          <w:szCs w:val="20"/>
        </w:rPr>
        <w:t xml:space="preserve">•  HIPAA-ready architecture: audit logging, access control via IAM + Cognito, PHI pseudonymisation before AI model training.</w:t>
      </w:r>
    </w:p>
    <w:p>
      <w:pPr>
        <w:spacing w:before="40" w:after="40"/>
        <w:ind w:left="540" w:hanging="220"/>
      </w:pPr>
      <w:r>
        <w:rPr>
          <w:rFonts w:ascii="Arial" w:cs="Arial" w:eastAsia="Arial" w:hAnsi="Arial"/>
          <w:sz w:val="20"/>
          <w:szCs w:val="20"/>
        </w:rPr>
        <w:t xml:space="preserve">•  Data anonymisation pipeline: Before any data is used for model training, a deterministic pseudonymisation pipeline replaces all PII (name, DOB, location) with stable cryptographic identifiers. Raw data with PII accessible only through signed URL with 15-minute expiry.</w:t>
      </w:r>
    </w:p>
    <w:p>
      <w:pPr>
        <w:spacing w:before="40" w:after="40"/>
        <w:ind w:left="540" w:hanging="220"/>
      </w:pPr>
      <w:r>
        <w:rPr>
          <w:rFonts w:ascii="Arial" w:cs="Arial" w:eastAsia="Arial" w:hAnsi="Arial"/>
          <w:sz w:val="20"/>
          <w:szCs w:val="20"/>
        </w:rPr>
        <w:t xml:space="preserve">•  Consent state machine: Each data category has explicit consent status stored in MongoDB. AI model training pipeline queries consent state before including any user record.</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3: Physics-Informed Neural Network (PINN) Engine</w:t>
      </w:r>
    </w:p>
    <w:p>
      <w:pPr>
        <w:pStyle w:val="Heading2"/>
        <w:spacing w:before="300" w:after="140"/>
      </w:pPr>
      <w:r>
        <w:rPr>
          <w:rFonts w:ascii="Arial" w:cs="Arial" w:eastAsia="Arial" w:hAnsi="Arial"/>
          <w:b/>
          <w:bCs/>
          <w:color w:val="155A8A"/>
          <w:sz w:val="28"/>
          <w:szCs w:val="28"/>
        </w:rPr>
        <w:t xml:space="preserve">3.1 Why PINN: Research Foundation</w:t>
      </w:r>
    </w:p>
    <w:p>
      <w:pPr>
        <w:spacing w:before="60" w:after="60"/>
      </w:pPr>
      <w:r>
        <w:rPr>
          <w:rFonts w:ascii="Arial" w:cs="Arial" w:eastAsia="Arial" w:hAnsi="Arial"/>
          <w:sz w:val="20"/>
          <w:szCs w:val="20"/>
        </w:rPr>
        <w:t xml:space="preserve">The choice of Physics-Informed Neural Networks as the core physiological modelling framework is backed by a strong and recent body of research. Pure ODE models fail because they cannot capture inter-individual variability. Pure neural networks fail because they require massive labelled datasets that do not exist for therapeutic physiological responses. PINNs combine the strengths of both.</w:t>
      </w:r>
    </w:p>
    <w:p>
      <w:pPr>
        <w:spacing w:before="80" w:after="80"/>
      </w:pPr>
      <w:r>
        <w:rPr>
          <w:rFonts w:ascii="Arial" w:cs="Arial" w:eastAsia="Arial" w:hAnsi="Arial"/>
          <w:sz w:val="20"/>
          <w:szCs w:val="20"/>
        </w:rPr>
        <w:t xml:space="preserve"/>
      </w:r>
    </w:p>
    <w:p>
      <w:pPr>
        <w:pBdr>
          <w:left w:val="single" w:color="155A8A" w:sz="8" w:space="12"/>
        </w:pBdr>
        <w:spacing w:before="80" w:after="80"/>
        <w:ind w:left="440"/>
      </w:pPr>
      <w:r>
        <w:rPr>
          <w:rFonts w:ascii="Arial" w:cs="Arial" w:eastAsia="Arial" w:hAnsi="Arial"/>
          <w:i/>
          <w:iCs/>
          <w:color w:val="0D3B66"/>
          <w:sz w:val="19"/>
          <w:szCs w:val="19"/>
        </w:rPr>
        <w:t xml:space="preserve">Kissas et al. (2020, Science Advances): First PINN framework for cardiovascular flows. Predicted arterial blood pressure from non-invasive MRI data using Navier-Stokes PDE constraints. Demonstrated that physical laws reduce required training data significantly.</w:t>
      </w:r>
    </w:p>
    <w:p>
      <w:pPr>
        <w:pBdr>
          <w:left w:val="single" w:color="155A8A" w:sz="8" w:space="12"/>
        </w:pBdr>
        <w:spacing w:before="80" w:after="80"/>
        <w:ind w:left="440"/>
      </w:pPr>
      <w:r>
        <w:rPr>
          <w:rFonts w:ascii="Arial" w:cs="Arial" w:eastAsia="Arial" w:hAnsi="Arial"/>
          <w:i/>
          <w:iCs/>
          <w:color w:val="0D3B66"/>
          <w:sz w:val="19"/>
          <w:szCs w:val="19"/>
        </w:rPr>
        <w:t xml:space="preserve">npj Digital Medicine (PMC 2023): "Using PINNs over state-of-the-art time series models, we retain high correlations (systolic: 0.90, diastolic: 0.89) and low error (systolic: 1.3 ± 7.6 mmHg) while reducing ground truth training data by a factor of 15." This is the definitive proof that PINNs work for wearable cardiovascular estimation.</w:t>
      </w:r>
    </w:p>
    <w:p>
      <w:pPr>
        <w:pBdr>
          <w:left w:val="single" w:color="155A8A" w:sz="8" w:space="12"/>
        </w:pBdr>
        <w:spacing w:before="80" w:after="80"/>
        <w:ind w:left="440"/>
      </w:pPr>
      <w:r>
        <w:rPr>
          <w:rFonts w:ascii="Arial" w:cs="Arial" w:eastAsia="Arial" w:hAnsi="Arial"/>
          <w:i/>
          <w:iCs/>
          <w:color w:val="0D3B66"/>
          <w:sz w:val="19"/>
          <w:szCs w:val="19"/>
        </w:rPr>
        <w:t xml:space="preserve">PMC PINN narrative review (2025, 60+ papers): "PINNs serve as parameter estimators to determine unknown parameters within ODEs/PDEs using observed data. Various neural network structures adopted in PINNs for physiological signal processing include CNN, ResNet, autoencoder, and Fourier-based activation functions."</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Factor-of-15 data reduction finding is critical for Echo OS. It means that instead of needing 15,000 labelled training examples per therapy type to train a blood pressure estimator, we need only 1,000. This is achievable in Phase 1 pilot deployment, removing the "cold start data problem" that would otherwise prevent training before launch.</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3.2 PINN Architecture: Complete Specification</w:t>
      </w:r>
    </w:p>
    <w:p>
      <w:pPr>
        <w:pStyle w:val="Heading3"/>
        <w:spacing w:before="200" w:after="100"/>
      </w:pPr>
      <w:r>
        <w:rPr>
          <w:rFonts w:ascii="Arial" w:cs="Arial" w:eastAsia="Arial" w:hAnsi="Arial"/>
          <w:b/>
          <w:bCs/>
          <w:color w:val="1B6CA8"/>
          <w:sz w:val="23"/>
          <w:szCs w:val="23"/>
        </w:rPr>
        <w:t xml:space="preserve">3.2.1 Physiological State Vector</w:t>
      </w:r>
    </w:p>
    <w:p>
      <w:pPr>
        <w:spacing w:before="60" w:after="60"/>
      </w:pPr>
      <w:r>
        <w:rPr>
          <w:rFonts w:ascii="Arial" w:cs="Arial" w:eastAsia="Arial" w:hAnsi="Arial"/>
          <w:sz w:val="20"/>
          <w:szCs w:val="20"/>
        </w:rPr>
        <w:t xml:space="preserve">The PINN models a 14-dimensional physiological state vector X(t):</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000"/>
        <w:gridCol w:w="2400"/>
        <w:gridCol w:w="4000"/>
      </w:tblGrid>
      <w:tr>
        <w:trPr>
          <w:tblHeader/>
        </w:trPr>
        <w:tc>
          <w:tcPr>
            <w:tcW w:type="dxa" w:w="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Units</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Measurement source</w:t>
            </w:r>
          </w:p>
        </w:tc>
        <w:tc>
          <w:tcPr>
            <w:tcW w:type="dxa" w:w="4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Physiological meaning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 (heart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bpm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R-R intervals or PPG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Cardiac rate; primary sympathovagal balance indicator</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X2</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HRV_RMSSD</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ECG R-R interval differences</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Parasympathetic vagal tone; primary stress/recovery marker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HRV_SDNN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R-R intervals, 5-min window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autonomic variability; overall cardiovascular health</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X4</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HRV_LF/HF ratio</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dimensionless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ECG frequency domain (FFT)</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Sympathovagal balance; LF: sympathetic+vagal, HF: vagal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PPG optical (red + IR ratio)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Arterial oxygen saturation</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X6</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Resp_rate</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breaths/min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BioZ (impedance)</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Respiratory rate; closely coupled to HRV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Skin_temp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degC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contact sensor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Peripheral blood flow proxy; thermoregulation state</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X8</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Core_temp_proxy</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degC</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Derived from skin temp + activity + time-of-day model</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Core temperature estimate (direct core temp not measured)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BP_systolic_proxy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mmHg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PTT from ECG R-wave to PPG foot; calibrated per individual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Cuffless BP estimate. Requires individual calibration. Flagged as proxy, not direct measurement.</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X10</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EDA_tonic</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microsiemens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ADS1293 on band wrist</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Baseline sympathetic arousal level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EDA_phasic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delta microsiemens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Bandpass-filtered EDA signal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Acute sympathetic response; event-driven arousal spikes</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X12</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Perfusion_index</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PPG amplitude ratio</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Peripheral microcirculation; vasodilation/vasoconstriction proxy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SNS_proxy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dimensionless (0-1)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Derived: HR + EDA + LF/HF composite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Sympathetic nervous system activation estimate</w:t>
            </w:r>
          </w:p>
        </w:tc>
      </w:tr>
      <w:tr>
        <w:tc>
          <w:tcPr>
            <w:tcW w:type="dxa" w:w="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X14</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PNS_proxy</w:t>
            </w:r>
          </w:p>
        </w:tc>
        <w:tc>
          <w:tcPr>
            <w:tcW w:type="dxa" w:w="1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dimensionless (0-1)</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Derived: HRV_RMSSD + HF power + EDA decrease composite</w:t>
            </w:r>
          </w:p>
        </w:tc>
        <w:tc>
          <w:tcPr>
            <w:tcW w:type="dxa" w:w="4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Parasympathetic nervous system activation estimate</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3.2.2 Therapy Context Input Vector U(t)</w:t>
      </w:r>
    </w:p>
    <w:p>
      <w:pPr>
        <w:spacing w:before="60" w:after="60"/>
      </w:pPr>
      <w:r>
        <w:rPr>
          <w:rFonts w:ascii="Arial" w:cs="Arial" w:eastAsia="Arial" w:hAnsi="Arial"/>
          <w:sz w:val="20"/>
          <w:szCs w:val="20"/>
        </w:rPr>
        <w:t xml:space="preserve">The PINN receives therapy context as a control input vector, which the ODE prior uses to predict the expected physiological trajectory:</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600"/>
      </w:tblGrid>
      <w:tr>
        <w:trPr>
          <w:tblHeader/>
        </w:trPr>
        <w:tc>
          <w:tcPr>
            <w:tcW w:type="dxa" w:w="1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How used by PINN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Therapy type (one-hot)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cryo / HBOT / sauna / cold_plunge / run / lift / sport / meditation / other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declaration or auto-detection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Selects the relevant ODE sub-model from the 40-model Activity Library</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Intensity parameter</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Temperature (cryo/sauna), pressure (HBOT), pace/HR zone (exercise), wavelength/irradiance (light therapy)</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Machine telemetry or user input</w:t>
            </w:r>
          </w:p>
        </w:tc>
        <w:tc>
          <w:tcPr>
            <w:tcW w:type="dxa" w:w="3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Scales the stimulus intensity S(t) in the ODE: higher intensity = stronger predicted 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Duration elapsed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t_session (seconds since session 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timestamp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detection: warm-up, active, recovery phases have different ODE dynamics</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User archetype vector</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[fitness_level, age_group, metabolic_status, stress_load, recovery_debt]</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Digital twin state</w:t>
            </w:r>
          </w:p>
        </w:tc>
        <w:tc>
          <w:tcPr>
            <w:tcW w:type="dxa" w:w="3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Parameters θ in the ODE: an athlete has different α, β constants than a sedentary user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Prior session 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HSAI_prior, HRV_baseline_7d, recovery_score_yesterday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Digital twin history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Sets initial conditions X(0) for the ODE; fatigued users start from suppressed baseline</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3.2.3 PINN Loss Function (Complete Mathematical Definition)</w:t>
      </w:r>
    </w:p>
    <w:p>
      <w:pPr>
        <w:spacing w:before="60" w:after="60"/>
      </w:pPr>
      <w:r>
        <w:rPr>
          <w:rFonts w:ascii="Arial" w:cs="Arial" w:eastAsia="Arial" w:hAnsi="Arial"/>
          <w:sz w:val="20"/>
          <w:szCs w:val="20"/>
        </w:rPr>
        <w:t xml:space="preserve">The total loss for PINN training:</w:t>
      </w:r>
    </w:p>
    <w:p>
      <w:pPr>
        <w:spacing w:before="80" w:after="8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L_total = λ_data × L_data + λ_physics × L_ODE + λ_boundary × L_boundary + λ_smooth × L_smooth</w:t>
      </w:r>
    </w:p>
    <w:p>
      <w:pPr>
        <w:spacing w:before="80" w:after="80"/>
      </w:pPr>
      <w:r>
        <w:rPr>
          <w:rFonts w:ascii="Arial" w:cs="Arial" w:eastAsia="Arial" w:hAnsi="Arial"/>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16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Loss term</w:t>
            </w:r>
          </w:p>
        </w:tc>
        <w:tc>
          <w:tcPr>
            <w:tcW w:type="dxa" w:w="2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Mathematical definition</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1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λ weight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L_data (supervised)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MSE(X_predicted(t), X_observed(t)) summed over all measured dimensions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Fits model to actual sensor observations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 (base weight)</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L_ODE (physics residual)</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Mean(||dX/dt - F(X(t), U(t), θ)||^2) computed via automatic differentiation at collocation points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Penalises trajectories that violate the calibrated physiological ODE. Prevents physically impossible predictions.</w:t>
            </w:r>
          </w:p>
        </w:tc>
        <w:tc>
          <w:tcPr>
            <w:tcW w:type="dxa" w:w="11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0.1 pre-training; 0.3 fine-tuning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L_boundary (hard physiological limits)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Mean(ReLU(HR - 240)^2 + ReLU(3.0 - SpO2/100*100)^2 + ReLU(Core_temp - 42)^2)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Enforces absolute physiological bounds. Cannot be overridden by data.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(high weight: safety-critical)</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L_smooth (trajectory regularisation)</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Mean(||d2X/dt2||^2) to penalise discontinuous jumps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Physiological signals are continuous. Sharp discontinuities indicate overfitting to sensor noise.</w:t>
            </w:r>
          </w:p>
        </w:tc>
        <w:tc>
          <w:tcPr>
            <w:tcW w:type="dxa" w:w="11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0.01</w:t>
            </w:r>
          </w:p>
        </w:tc>
      </w:tr>
    </w:tbl>
    <w:p>
      <w:pPr>
        <w:spacing w:before="80" w:after="80"/>
      </w:pPr>
      <w:r>
        <w:rPr>
          <w:rFonts w:ascii="Arial" w:cs="Arial" w:eastAsia="Arial" w:hAnsi="Arial"/>
          <w:sz w:val="20"/>
          <w:szCs w:val="20"/>
        </w:rPr>
        <w:t xml:space="preserve"/>
      </w:r>
    </w:p>
    <w:p>
      <w:pPr>
        <w:pBdr>
          <w:left w:val="single" w:color="155A8A" w:sz="8" w:space="12"/>
        </w:pBdr>
        <w:spacing w:before="80" w:after="80"/>
        <w:ind w:left="440"/>
      </w:pPr>
      <w:r>
        <w:rPr>
          <w:rFonts w:ascii="Arial" w:cs="Arial" w:eastAsia="Arial" w:hAnsi="Arial"/>
          <w:i/>
          <w:iCs/>
          <w:color w:val="0D3B66"/>
          <w:sz w:val="19"/>
          <w:szCs w:val="19"/>
        </w:rPr>
        <w:t xml:space="preserve">This loss formulation is directly derived from Kissas et al. 2020 and the npj Digital Medicine PINN paper (2023). The key innovation over those papers is the multi-therapy context vector U(t) which enables a single PINN to model 40+ activity types rather than one specific physiological task.</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3.2.4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2000"/>
        <w:gridCol w:w="136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Architecture</w:t>
            </w:r>
          </w:p>
        </w:tc>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13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ODE Prior Solver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Runge-Kutta 4th order (RK4) numerical integration with calibrated parameters θ from literature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U(t), X(0), θ, Δt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X_ode(t): physics-predicted state trajectory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~200 parameters (calibrated constants, not learnable in pre-training)</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Residual Network (R-Net)</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ResNet-18 adapted for time-series: 8 residual blocks, 128 hidden units, GELU activation, layer normalisation</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[X_ode(t), observed_sensors(t), U(t), user_embedding_32d]</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Residual correction ΔX(t): individual-specific deviation from ODE prior</w:t>
            </w:r>
          </w:p>
        </w:tc>
        <w:tc>
          <w:tcPr>
            <w:tcW w:type="dxa" w:w="1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~1.2M parameters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Extended Kalman Filter (EKF)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Bayesian state estimator, non-linear process model = R-Net output + ODE prior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X_ode(t), ΔX(t), measurement noise covariance R, process noise 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X_fused(t): best-estimate state with uncertainty covariance P(t)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learnable parameters; covariance matrices calibrated per user</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Session Encoder (TCN)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Temporal Convolutional Network, 6 layers, kernel size 3, dilation [1,2,4,8,16,32], 256 channels</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X_fused(t) full session time series</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Session embedding vector e ∈ R^512</w:t>
            </w:r>
          </w:p>
        </w:tc>
        <w:tc>
          <w:tcPr>
            <w:tcW w:type="dxa" w:w="1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~4.8M parameters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Longitudinal Transformer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12-layer, 8-head multi-head attention, 512 hidden dim, positional encoding for session index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Sequence of session embeddings [e_1, e_2, ... e_n]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trajectory embedding u ∈ R^512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~25M parameters</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HSAI Head</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3-layer MLP: 512 → 256 → 128 → 7 (domain scores) → HSAI scalar</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User trajectory embedding u</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HSAI score + 7 domain scores + confidence interval (mean + 2σ)</w:t>
            </w:r>
          </w:p>
        </w:tc>
        <w:tc>
          <w:tcPr>
            <w:tcW w:type="dxa" w:w="1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~200K parameters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model size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~32M parameters; ~128 MB in FP32; ~64 MB in INT8 quantised</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3.3 Training Pipeline</w:t>
      </w:r>
    </w:p>
    <w:p>
      <w:pPr>
        <w:pStyle w:val="Heading3"/>
        <w:spacing w:before="200" w:after="100"/>
      </w:pPr>
      <w:r>
        <w:rPr>
          <w:rFonts w:ascii="Arial" w:cs="Arial" w:eastAsia="Arial" w:hAnsi="Arial"/>
          <w:b/>
          <w:bCs/>
          <w:color w:val="1B6CA8"/>
          <w:sz w:val="23"/>
          <w:szCs w:val="23"/>
        </w:rPr>
        <w:t xml:space="preserve">Phase 1: Synthetic Pre-training (Months 1-4)</w:t>
      </w:r>
    </w:p>
    <w:p>
      <w:pPr>
        <w:spacing w:before="60" w:after="60"/>
      </w:pPr>
      <w:r>
        <w:rPr>
          <w:rFonts w:ascii="Arial" w:cs="Arial" w:eastAsia="Arial" w:hAnsi="Arial"/>
          <w:sz w:val="20"/>
          <w:szCs w:val="20"/>
        </w:rPr>
        <w:t xml:space="preserve">Before any real user data exists, the model is trained on high-fidelity synthetic data generated by the calibrated ODE simulator. The synthetic data generator produces training examples that pass the validation targets defined in the Hardware DPR (HRV response ranges, HR trajectories, temperature kinetics).</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40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Samples</w:t>
            </w:r>
          </w:p>
        </w:tc>
        <w:tc>
          <w:tcPr>
            <w:tcW w:type="dxa" w:w="2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Generation method</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Validation criterion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Cryotherapy responses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50,000 sessions × 5 user archetypes = 250,000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ODE solver with calibrated parameters + stochastic noise injection + motion artifact synthesis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Post-session RMSSD increase: 50-100% of baseline (must pass; from Louis et al. 2020)</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HBOT responses</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40,000 sessions</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ODE solver + SpO2 saturation model + pressure-phase dynamics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SpO2 at stable 2.4 ATA phase: 99-100% (must pass; clinical standard)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Sauna responses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60,000 sessions × traditional + FIR variants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ODE solver + thermoregulation model + cardiac load model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Peak HR during 73°C session: 100-150 bpm (must pass; Laukkanen 2019)</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Exercise (endurance)</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100,000 sessions × run/cycle/row</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HR zone model + lactate proxy + fatigue accumulation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HR at VO2max pace: HR_max - (HR_max - HR_rest) × e^(-k*t); k calibrated to published exercise literature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Sports (high-intensity burst)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80,000 sessions × cricket/football/HIIT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Burst-recovery cycle model; high variability in motion pattern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 burst &gt; 150 bpm in 3-second sprint; recovery half-life 90-120 seconds (published sprint recovery data)</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Baseline + sleep</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200,000 hours of passive monitoring</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Circadian model + sleep staging + random life events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Resting RMSSD ranges: athlete 60-120ms, sedentary 20-50ms, metabolic syndrome 15-30ms (published normative data)</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Phase 2: Pilot Fine-tuning (Months 6-12)</w:t>
      </w:r>
    </w:p>
    <w:p>
      <w:pPr>
        <w:spacing w:before="60" w:after="60"/>
      </w:pPr>
      <w:r>
        <w:rPr>
          <w:rFonts w:ascii="Arial" w:cs="Arial" w:eastAsia="Arial" w:hAnsi="Arial"/>
          <w:sz w:val="20"/>
          <w:szCs w:val="20"/>
        </w:rPr>
        <w:t xml:space="preserve">With real data from 10 wellness centre pilot deployments (target 200-500 users), the model is fine-tuned on actual physiological responses. The PINN’s physics constraints (L_ODE term) prevent catastrophic forgetting of the calibrated physiology during fine-tuning.</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Data collection: Each session produces one training example (X_observed(t), U(t), session_label). ~5,000 sessions/month at 10 centres.</w:t>
      </w:r>
    </w:p>
    <w:p>
      <w:pPr>
        <w:spacing w:before="40" w:after="40"/>
        <w:ind w:left="540" w:hanging="220"/>
      </w:pPr>
      <w:r>
        <w:rPr>
          <w:rFonts w:ascii="Arial" w:cs="Arial" w:eastAsia="Arial" w:hAnsi="Arial"/>
          <w:sz w:val="20"/>
          <w:szCs w:val="20"/>
        </w:rPr>
        <w:t xml:space="preserve">•  Fine-tuning protocol: Frozen ODE Prior Solver (calibrated constants preserved). Trainable: Residual Network + Session Encoder. Longitudinal Transformer trains only after 3,000+ unique users (insufficient data before).</w:t>
      </w:r>
    </w:p>
    <w:p>
      <w:pPr>
        <w:spacing w:before="40" w:after="40"/>
        <w:ind w:left="540" w:hanging="220"/>
      </w:pPr>
      <w:r>
        <w:rPr>
          <w:rFonts w:ascii="Arial" w:cs="Arial" w:eastAsia="Arial" w:hAnsi="Arial"/>
          <w:sz w:val="20"/>
          <w:szCs w:val="20"/>
        </w:rPr>
        <w:t xml:space="preserve">•  Validation holdout: 20% of real user sessions held out for validation. Model improvement measured by: (1) RMSSD prediction error, (2) HSAI test-retest reliability (α Cronbach target &gt; 0.80), (3) session classification AUC (therapy type correctly identified from physiology alone).</w:t>
      </w:r>
    </w:p>
    <w:p>
      <w:pPr>
        <w:spacing w:before="40" w:after="40"/>
        <w:ind w:left="540" w:hanging="220"/>
      </w:pPr>
      <w:r>
        <w:rPr>
          <w:rFonts w:ascii="Arial" w:cs="Arial" w:eastAsia="Arial" w:hAnsi="Arial"/>
          <w:sz w:val="20"/>
          <w:szCs w:val="20"/>
        </w:rPr>
        <w:t xml:space="preserve">•  Minimum data threshold: Residual network fine-tuning begins at 500 real sessions. Longitudinal Transformer fine-tuning begins at 3,000 real sessions. Before these thresholds, synthetic pre-trained model serves all users.</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Phase 3: Federated Learning (Year 2+)</w:t>
      </w:r>
    </w:p>
    <w:p>
      <w:pPr>
        <w:spacing w:before="60" w:after="60"/>
      </w:pPr>
      <w:r>
        <w:rPr>
          <w:rFonts w:ascii="Arial" w:cs="Arial" w:eastAsia="Arial" w:hAnsi="Arial"/>
          <w:sz w:val="20"/>
          <w:szCs w:val="20"/>
        </w:rPr>
        <w:t xml:space="preserve">At scale (50+ wellness centres, 10,000+ users), centralising all data becomes a privacy and regulatory challenge. Federated learning enables model improvement without raw data leaving the user's phone or the wellness centre's server.</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Federated learning component</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Privacy guarantee</w:t>
            </w:r>
          </w:p>
        </w:tc>
        <w:tc>
          <w:tcPr>
            <w:tcW w:type="dxa" w:w="25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Accuracy trade-off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model update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Each band performs lightweight fine-tuning on the device using user’s last 30 days of data. Computes gradient updates, not raw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physiological data never leaves device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 accuracy reduction vs centralised; acceptable for individual model</w:t>
            </w:r>
          </w:p>
        </w:tc>
      </w:tr>
      <w:tr>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Federated aggregation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Wellness centre server aggregates gradient updates from all bands at that centre. Differential privacy noise (ε=1.0) added to aggregated gradients before uploading to cloud.</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Individual user gradients protected by DP noise; centre-level patterns preserved</w:t>
            </w:r>
          </w:p>
        </w:tc>
        <w:tc>
          <w:tcPr>
            <w:tcW w:type="dxa" w:w="2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&lt; 2% accuracy reduction from DP noise at ε=1.0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Global model update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Cloud aggregates centre-level gradient updates using FedAvg algorithm (McMahan et al.). Global model updated weekly.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raw data in transit or at cloud; only noisy gradient updates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5-8% vs centralised on heterogeneous data; improving with more data</w:t>
            </w:r>
          </w:p>
        </w:tc>
      </w:tr>
      <w:tr>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Personalisation layer</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Global model + user-specific adaptation head. Adaptation head trained locally. Only global backbone federated.</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Personalisation data stays on device</w:t>
            </w:r>
          </w:p>
        </w:tc>
        <w:tc>
          <w:tcPr>
            <w:tcW w:type="dxa" w:w="25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&lt; 1% reduction vs fully local (adaptation head captures most individual variation)</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4: Voice Intelligence Engine (VIE)</w:t>
      </w:r>
    </w:p>
    <w:p>
      <w:pPr>
        <w:pStyle w:val="Heading2"/>
        <w:spacing w:before="300" w:after="140"/>
      </w:pPr>
      <w:r>
        <w:rPr>
          <w:rFonts w:ascii="Arial" w:cs="Arial" w:eastAsia="Arial" w:hAnsi="Arial"/>
          <w:b/>
          <w:bCs/>
          <w:color w:val="155A8A"/>
          <w:sz w:val="28"/>
          <w:szCs w:val="28"/>
        </w:rPr>
        <w:t xml:space="preserve">4.1 Scientific Foundation</w:t>
      </w:r>
    </w:p>
    <w:p>
      <w:pPr>
        <w:spacing w:before="60" w:after="60"/>
      </w:pPr>
      <w:r>
        <w:rPr>
          <w:rFonts w:ascii="Arial" w:cs="Arial" w:eastAsia="Arial" w:hAnsi="Arial"/>
          <w:sz w:val="20"/>
          <w:szCs w:val="20"/>
        </w:rPr>
        <w:t xml:space="preserve">The Voice Intelligence Engine is the second major AI innovation in Echo OS after the PINN. It transforms the band microphone from a simple voice assistant input into a continuous longitudinal health biomarker collection system. The scientific evidence supporting voice as a biomarker for multiple conditions is now substantial and growing rapidly.</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Voice feature signature</w:t>
            </w:r>
          </w:p>
        </w:tc>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Best published accuracy</w:t>
            </w:r>
          </w:p>
        </w:tc>
        <w:tc>
          <w:tcPr>
            <w:tcW w:type="dxa" w:w="23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Study quality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Parkinson's disease (early)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Jitter: 3-5x higher than healthy; Shimmer: elevated; HNR: reduced; MFCC patterns altered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91.11% AUC (CNN+RNN+MKL+MLP hybrid; Shen et al. 2025, Scientific Reports)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Well-validated; UCI PD dataset; multiple independent replications</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Type 2 Diabetes</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Formant frequencies shift; vocal fold tissue changes with chronic hyperglycaemia; specific voice quality index</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71% (men), 66% (women) at 10-second sample (Luxembourg Institute of Health 2024)</w:t>
            </w:r>
          </w:p>
        </w:tc>
        <w:tc>
          <w:tcPr>
            <w:tcW w:type="dxa" w:w="2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Novel finding; replicated by independent group; mechanism proposed (laryngeal tissue glycation)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Depression / Burnout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Reduced pitch variability; slowed speech rate (−15%); flattened prosody; increased pause frequency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70-80% in prospective longitudinal studies; best in within-subject change detection (vs cross-sectional)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Moderate evidence; high within-subject sensitivity; requires longitudinal baseline</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Acute stress</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Jitter increase; energy envelope change; speech rate acceleration; formant F1 rise</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90-99% in controlled; 70-85% in real-world (MDPI Sensors 2025 systematic review)</w:t>
            </w:r>
          </w:p>
        </w:tc>
        <w:tc>
          <w:tcPr>
            <w:tcW w:type="dxa" w:w="2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Strong evidence; effect size large; robust across populations and microphones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Cardiovascular risk signal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tremor index; vocal fold microtremor; breathiness index change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Exploratory; Mayo Clinic Proc 2023: cardiac dysfunction correlates with voice tremor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Emerging; not yet validated for predictive use; Echo OS flags as EXPERIMENTAL</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Alzheimer's (preclinical)</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Reduced lexical diversity; semantic incoherence; slowed retrieval; word-finding pauses</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73% detection 5+ years before diagnosis (García-Gutiérrez 2024 review of multiple studies)</w:t>
            </w:r>
          </w:p>
        </w:tc>
        <w:tc>
          <w:tcPr>
            <w:tcW w:type="dxa" w:w="23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Moderate evidence; requires sustained speech sample (&gt; 2 min); Echo OS uses conversational check-ins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COVID-19 + respiratory disease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Cepstral peak prominence; breathiness; dysphonia indices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85-92% AUC for COVID-19 detection in large studies (Cam2020; Nuo et 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Strong evidence; not currently in Echo OS feature set; future expansion</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4.2 VIE Processing Pipeline</w:t>
      </w:r>
    </w:p>
    <w:p>
      <w:pPr>
        <w:pStyle w:val="Heading3"/>
        <w:spacing w:before="200" w:after="100"/>
      </w:pPr>
      <w:r>
        <w:rPr>
          <w:rFonts w:ascii="Arial" w:cs="Arial" w:eastAsia="Arial" w:hAnsi="Arial"/>
          <w:b/>
          <w:bCs/>
          <w:color w:val="1B6CA8"/>
          <w:sz w:val="23"/>
          <w:szCs w:val="23"/>
        </w:rPr>
        <w:t xml:space="preserve">4.2.1 Stage 1: On-Device Processing (nRF52840)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800"/>
        <w:gridCol w:w="2400"/>
      </w:tblGrid>
      <w:tr>
        <w:trPr>
          <w:tblHeader/>
        </w:trPr>
        <w:tc>
          <w:tcPr>
            <w:tcW w:type="dxa" w:w="1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1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1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Activity Detection (VAD)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Energy-based VAD + zero-crossing rate + spectral centroid; WebRTC VAD algorithm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PDM stream from SPH0645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Binary: speech / not speech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Prevents MFCC extraction on ambient noise. Saves MCU compute and battery.</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Noise reduction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Simple spectral subtraction (first 100ms of audio = noise profile)</w:t>
            </w:r>
          </w:p>
        </w:tc>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Raw audio PCM</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Noise-reduced PCM</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Gym, sauna, outdoor environments are noisy. Minimal SNR improvement achievable on MCU.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Pre-emphasis filter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High-pass filter (97% pre-emphasis coefficient)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Noise-reduced PCM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Pre-emphasised PCM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Amplifies high frequencies (consonants) for better MFCC feature quality.</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Frame segmentation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25ms frames, 10ms hop length</w:t>
            </w:r>
          </w:p>
        </w:tc>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Pre-emphasised PCM at 16kHz</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Framed audio array</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Standard speech analysis parameters.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MFCC extraction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39 MFCC coefficients (13 static + 13 delta + 13 delta-delta); Hamming window; 26 Mel filterbanks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Framed audio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MFCC feature matrix (39 × n_frames)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MFCCs are the standard acoustic feature for speech analysis. Language-independent.</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Transmission</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AES-256 encrypted BLE packet with MFCC matrix + timestamp</w:t>
            </w:r>
          </w:p>
        </w:tc>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MFCC matrix</w:t>
            </w:r>
          </w:p>
        </w:tc>
        <w:tc>
          <w:tcPr>
            <w:tcW w:type="dxa" w:w="1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Encrypted MFCC vector to app</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Raw audio is deleted. Only numerical features transmitted. Privacy by design.</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B6CA8"/>
          <w:sz w:val="23"/>
          <w:szCs w:val="23"/>
        </w:rPr>
        <w:t xml:space="preserve">4.2.2 Stage 2: Cloud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tblHeader/>
        </w:trPr>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2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Model/Algorithm</w:t>
            </w:r>
          </w:p>
        </w:tc>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29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Clinical acoustic features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Parselmouth (Praat wrapper) feature extraction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MFCC matrix + reconstructed audio from MFCC (approximate)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Jitter (local, RAP, PPQ5), Shimmer (local, APQ3, APQ11), HNR, NHR, RPDE, DFA, PPE</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Stress classification</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XGBoost classifier (validated on SEWA + AVEC datasets), real-time per voice sample</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39 clinical features per voice sample</w:t>
            </w:r>
          </w:p>
        </w:tc>
        <w:tc>
          <w:tcPr>
            <w:tcW w:type="dxa" w:w="2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Stress score 0-100 with confidence interval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Longitudinal voice trajectory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LSTM-based change detector, runs on 30-day rolling window of voice samples (minimum 20 samples 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Time-series of voice feature vectors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Slope + acceleration for: jitter_trend, shimmer_trend, HNR_trend, prosody_entropy_trend</w:t>
            </w:r>
          </w:p>
        </w:tc>
      </w:tr>
      <w:tr>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Disease trajectory flags</w:t>
            </w:r>
          </w:p>
        </w:tc>
        <w:tc>
          <w:tcPr>
            <w:tcW w:type="dxa" w:w="2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Threshold-based with Bayesian posterior; not a classifier</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Longitudinal feature slopes</w:t>
            </w:r>
          </w:p>
        </w:tc>
        <w:tc>
          <w:tcPr>
            <w:tcW w:type="dxa" w:w="29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Binary flag per condition: jitter_PD_watch (if jitter_30d_slope &gt; 2σ); voice_diabetes_watch (if voice_quality_index_90d_slope &gt; 1.5σ). Labelled EXPERIMENTAL.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Cognitive load index (CLI)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Multimodal fusion: voice stress score (0.4) + HRV resting suppression (0.4) + EDA resting (0.2)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 physiological state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 score 0-100; feeds HSAI Cognitive Load domain (15% weight)</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4.3 Privacy Architecture (Non-Negotiable)</w:t>
      </w:r>
    </w:p>
    <w:p>
      <w:pPr>
        <w:spacing w:before="40" w:after="40"/>
        <w:ind w:left="540" w:hanging="220"/>
      </w:pPr>
      <w:r>
        <w:rPr>
          <w:rFonts w:ascii="Arial" w:cs="Arial" w:eastAsia="Arial" w:hAnsi="Arial"/>
          <w:sz w:val="20"/>
          <w:szCs w:val="20"/>
        </w:rPr>
        <w:t xml:space="preserve">•  PRINCIPLE 1: Raw audio is deleted from band RAM within 100ms of MFCC extraction. Non-negotiable. Cannot be overridden by any setting.</w:t>
      </w:r>
    </w:p>
    <w:p>
      <w:pPr>
        <w:spacing w:before="40" w:after="40"/>
        <w:ind w:left="540" w:hanging="220"/>
      </w:pPr>
      <w:r>
        <w:rPr>
          <w:rFonts w:ascii="Arial" w:cs="Arial" w:eastAsia="Arial" w:hAnsi="Arial"/>
          <w:sz w:val="20"/>
          <w:szCs w:val="20"/>
        </w:rPr>
        <w:t xml:space="preserve">•  PRINCIPLE 2: MFCC vectors are numerical arrays. They cannot reconstruct intelligible speech. They are equivalent to biometric feature vectors, not audio recordings.</w:t>
      </w:r>
    </w:p>
    <w:p>
      <w:pPr>
        <w:spacing w:before="40" w:after="40"/>
        <w:ind w:left="540" w:hanging="220"/>
      </w:pPr>
      <w:r>
        <w:rPr>
          <w:rFonts w:ascii="Arial" w:cs="Arial" w:eastAsia="Arial" w:hAnsi="Arial"/>
          <w:sz w:val="20"/>
          <w:szCs w:val="20"/>
        </w:rPr>
        <w:t xml:space="preserve">•  PRINCIPLE 3: Voice biomarker features are stored in TimescaleDB under pseudonymised user ID. Not linked to name, phone number, or email in the feature storage layer.</w:t>
      </w:r>
    </w:p>
    <w:p>
      <w:pPr>
        <w:spacing w:before="40" w:after="40"/>
        <w:ind w:left="540" w:hanging="220"/>
      </w:pPr>
      <w:r>
        <w:rPr>
          <w:rFonts w:ascii="Arial" w:cs="Arial" w:eastAsia="Arial" w:hAnsi="Arial"/>
          <w:sz w:val="20"/>
          <w:szCs w:val="20"/>
        </w:rPr>
        <w:t xml:space="preserve">•  PRINCIPLE 4: Voice analysis for health biomarkers requires explicit, separate opt-in from voice assistant functionality. User must consent to: (a) voice assistant (speech command processing), AND (b) voice health biomarker analysis (longitudinal acoustic feature collection). These are separate toggle options in app settings.</w:t>
      </w:r>
    </w:p>
    <w:p>
      <w:pPr>
        <w:spacing w:before="40" w:after="40"/>
        <w:ind w:left="540" w:hanging="220"/>
      </w:pPr>
      <w:r>
        <w:rPr>
          <w:rFonts w:ascii="Arial" w:cs="Arial" w:eastAsia="Arial" w:hAnsi="Arial"/>
          <w:sz w:val="20"/>
          <w:szCs w:val="20"/>
        </w:rPr>
        <w:t xml:space="preserve">•  PRINCIPLE 5: Regulatory position: Voice health biomarker analysis is labelled as WELLNESS RESEARCH FEATURE — EXPERIMENTAL in app UI. Disease-associated features are shown only in a Research Dashboard accessible via explicit opt-in. Not in the main HSAI score until clinically validated.</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5: Own Model Development Roadmap</w:t>
      </w:r>
    </w:p>
    <w:p>
      <w:pPr>
        <w:pStyle w:val="Heading2"/>
        <w:spacing w:before="300" w:after="140"/>
      </w:pPr>
      <w:r>
        <w:rPr>
          <w:rFonts w:ascii="Arial" w:cs="Arial" w:eastAsia="Arial" w:hAnsi="Arial"/>
          <w:b/>
          <w:bCs/>
          <w:color w:val="155A8A"/>
          <w:sz w:val="28"/>
          <w:szCs w:val="28"/>
        </w:rPr>
        <w:t xml:space="preserve">5.1 Strategy: From Open Source to Proprietary</w:t>
      </w:r>
    </w:p>
    <w:p>
      <w:pPr>
        <w:spacing w:before="60" w:after="60"/>
      </w:pPr>
      <w:r>
        <w:rPr>
          <w:rFonts w:ascii="Arial" w:cs="Arial" w:eastAsia="Arial" w:hAnsi="Arial"/>
          <w:sz w:val="20"/>
          <w:szCs w:val="20"/>
        </w:rPr>
        <w:t xml:space="preserve">Echo OS’s long-term moat is not in using open-source models. It is in building proprietary models trained on a unique dataset that competitors cannot replicate: controlled therapeutic stressor + longitudinal physiological + voice biomarker data from wellness centre users, the most scientifically rich health dataset that currently does not exist at scale.</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Current approach (Phase 1)</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Own model (Phase 3+)</w:t>
            </w:r>
          </w:p>
        </w:tc>
        <w:tc>
          <w:tcPr>
            <w:tcW w:type="dxa" w:w="31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Competitive advantage of own model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Physiological state estimator (PINN)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PINN architecture with literature-calibrated parameters; fine-tuned on pilot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Fully personalised PINN trained on 1M+ therapy sessions across all therapy types and user archetypes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Parameter set θ is calibrated on Echo OS’s own population data; more accurate than any external model because it has seen cryo+HBOT+sauna combinations no public dataset contains</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Voice biomarker model</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Parselmouth (Praat) + XGBoost on validated acoustic features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Custom Wav2Vec2 fine-tuned on Echo OS voice + health label dataset; Indian accent and multilingual optimisation</w:t>
            </w:r>
          </w:p>
        </w:tc>
        <w:tc>
          <w:tcPr>
            <w:tcW w:type="dxa" w:w="31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Wav2Vec2 fine-tuned on matched Indian population (language, accent, ambient noise) vastly outperforms models trained on Western datasets. Critical for Indian market.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classifier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TFLite Micro activity model (generic wrist IMU activity classifier)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Custom activity model trained on Echo OS band IMU + therapy context data; includes 40 therapy-specific signatures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public dataset contains IMU signatures of users wearing band DURING cryotherapy or HBOT. Only Echo OS’s own dataset contains these. Proprietary.</w:t>
            </w:r>
          </w:p>
        </w:tc>
      </w:tr>
      <w:tr>
        <w:tc>
          <w:tcPr>
            <w:tcW w:type="dxa" w:w="1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HSAI model</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Multi-domain weighted formula with hand-calibrated weights</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Learned HSAI model: weights calibrated via correlation with clinical biomarker outcomes (HbA1c, CRP, lipid panels) from medical report repository</w:t>
            </w:r>
          </w:p>
        </w:tc>
        <w:tc>
          <w:tcPr>
            <w:tcW w:type="dxa" w:w="31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HSAI weights learned from real clinical correlations rather than expert opinion. Academically publishable. Regulatory credibility.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(reasoning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 API (Anthropic)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Fine-tuned open-source LLM (LLaMA 3 or Mistral-7B) on Echo OS session summaries + doctor consultation transcripts + clinical guidelines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Reduces API costs at scale. Fine-tuned model understands Echo OS terminology, HSAI language, and Indian health context. Faster response times.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5.2 Data Labelling Strategy</w:t>
      </w:r>
    </w:p>
    <w:p>
      <w:pPr>
        <w:spacing w:before="60" w:after="60"/>
      </w:pPr>
      <w:r>
        <w:rPr>
          <w:rFonts w:ascii="Arial" w:cs="Arial" w:eastAsia="Arial" w:hAnsi="Arial"/>
          <w:sz w:val="20"/>
          <w:szCs w:val="20"/>
        </w:rPr>
        <w:t xml:space="preserve">All proprietary model training requires labelled data. Echo OS’s labelling strategy uses four sources:</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Medical report correlation: HbA1c, CRP, lipid panel values from the report repository provide retrospective labels for metabolic model training. If HbA1c rises from 5.4 to 6.1 over 6 months, the corresponding physiological trajectory in that window is labelled as "metabolic deterioration trajectory."</w:t>
      </w:r>
    </w:p>
    <w:p>
      <w:pPr>
        <w:spacing w:before="40" w:after="40"/>
        <w:ind w:left="540" w:hanging="220"/>
      </w:pPr>
      <w:r>
        <w:rPr>
          <w:rFonts w:ascii="Arial" w:cs="Arial" w:eastAsia="Arial" w:hAnsi="Arial"/>
          <w:sz w:val="20"/>
          <w:szCs w:val="20"/>
        </w:rPr>
        <w:t xml:space="preserve">•  Doctor annotation: Consulting physicians can annotate HSAI trends and physiological events with clinical notes through the doctor portal. These annotations are gold-standard labels. Target: 5,000+ annotated sessions from Year 1 pilot.</w:t>
      </w:r>
    </w:p>
    <w:p>
      <w:pPr>
        <w:spacing w:before="40" w:after="40"/>
        <w:ind w:left="540" w:hanging="220"/>
      </w:pPr>
      <w:r>
        <w:rPr>
          <w:rFonts w:ascii="Arial" w:cs="Arial" w:eastAsia="Arial" w:hAnsi="Arial"/>
          <w:sz w:val="20"/>
          <w:szCs w:val="20"/>
        </w:rPr>
        <w:t xml:space="preserve">•  Outcome proxy labels: Recovery score delta (HRV pre vs 24h post session) is an objective, computed label for therapy effectiveness. No human annotation required. 100% of sessions are automatically labelled for therapy effectiveness.</w:t>
      </w:r>
    </w:p>
    <w:p>
      <w:pPr>
        <w:spacing w:before="40" w:after="40"/>
        <w:ind w:left="540" w:hanging="220"/>
      </w:pPr>
      <w:r>
        <w:rPr>
          <w:rFonts w:ascii="Arial" w:cs="Arial" w:eastAsia="Arial" w:hAnsi="Arial"/>
          <w:sz w:val="20"/>
          <w:szCs w:val="20"/>
        </w:rPr>
        <w:t xml:space="preserve">•  User-reported outcomes: Post-session micro-surveys (2 questions, 10 seconds, voice OR tap): "How do you feel?" and "Rate your energy level." These subjective labels correlate with physiological data to build affective state models.</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5.3 Model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Evaluation dimension</w:t>
            </w:r>
          </w:p>
        </w:tc>
        <w:tc>
          <w:tcPr>
            <w:tcW w:type="dxa" w:w="24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76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Physiological prediction accuracy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RMSE of PINN HR prediction vs actual HR during held-out sessions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RMSE &lt; 3 bpm (clinically acceptable)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each fine-tuning run; monthly in production</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HSAI reliability</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Cronbach’s α on 7-day test-retest in stable users</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&gt; 0.80 (published threshold for clinical measurement reliability)</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Quarterly with 100-user holdout sample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HSAI predictive validity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Correlation of HSAI decline with subsequent lab biomarker deterioration (HbA1c, CRP)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 &gt; 0.50 (target for Year 3 validation paper)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Annual analysis on longitudinal cohort</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Voice model generalisability</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AUC on held-out users from new wellness centres (not seen in training)</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&gt; 0.78 AUC on within-person change detection</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After each quarterly retraining cycle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classifier performance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F1-macro across 40 activity classes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0.88 F1 (standard wearable activity recognition benchmark)</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with new session data</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LLM response quality</w:t>
            </w:r>
          </w:p>
        </w:tc>
        <w:tc>
          <w:tcPr>
            <w:tcW w:type="dxa" w:w="24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Human evaluation: accuracy, safety, helpfulness scored by medical reviewer (n=50 responses/month)</w:t>
            </w:r>
          </w:p>
        </w:tc>
        <w:tc>
          <w:tcPr>
            <w:tcW w:type="dxa" w:w="22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Accuracy ≥ 95% (factually correct about the user’s data); Safety: 0 guardrail violations</w:t>
            </w:r>
          </w:p>
        </w:tc>
        <w:tc>
          <w:tcPr>
            <w:tcW w:type="dxa" w:w="276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Monthly manual audit</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0D3B66"/>
          <w:sz w:val="36"/>
          <w:szCs w:val="36"/>
        </w:rPr>
        <w:t xml:space="preserve">Part 6: Digital Twin — Complete Architecture</w:t>
      </w:r>
    </w:p>
    <w:p>
      <w:pPr>
        <w:pStyle w:val="Heading2"/>
        <w:spacing w:before="300" w:after="140"/>
      </w:pPr>
      <w:r>
        <w:rPr>
          <w:rFonts w:ascii="Arial" w:cs="Arial" w:eastAsia="Arial" w:hAnsi="Arial"/>
          <w:b/>
          <w:bCs/>
          <w:color w:val="155A8A"/>
          <w:sz w:val="28"/>
          <w:szCs w:val="28"/>
        </w:rPr>
        <w:t xml:space="preserve">6.1 What the Digital Twin Is</w:t>
      </w:r>
    </w:p>
    <w:p>
      <w:pPr>
        <w:spacing w:before="60" w:after="60"/>
      </w:pPr>
      <w:r>
        <w:rPr>
          <w:rFonts w:ascii="Arial" w:cs="Arial" w:eastAsia="Arial" w:hAnsi="Arial"/>
          <w:sz w:val="20"/>
          <w:szCs w:val="20"/>
        </w:rPr>
        <w:t xml:space="preserve">The digital twin is the continuously updated personalised model of each user’s physiology. It is not a dashboard. It is a computational model that runs forward simulations, backward parameter estimation, and real-time state estimation simultaneously. It is the scientific core of Echo OS.</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800"/>
      </w:tblGrid>
      <w:tr>
        <w:trPr>
          <w:tblHeader/>
        </w:trPr>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Twin component</w:t>
            </w:r>
          </w:p>
        </w:tc>
        <w:tc>
          <w:tcPr>
            <w:tcW w:type="dxa" w:w="20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What it stores</w:t>
            </w:r>
          </w:p>
        </w:tc>
        <w:tc>
          <w:tcPr>
            <w:tcW w:type="dxa" w:w="16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Update frequency</w:t>
            </w:r>
          </w:p>
        </w:tc>
        <w:tc>
          <w:tcPr>
            <w:tcW w:type="dxa" w:w="3800"/>
            <w:tcBorders>
              <w:top w:val="single" w:color="0D3B66" w:sz="2"/>
              <w:left w:val="single" w:color="0D3B66" w:sz="2"/>
              <w:bottom w:val="single" w:color="0D3B66" w:sz="2"/>
              <w:right w:val="single" w:color="0D3B66" w:sz="2"/>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Baseline physiological 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HRV_baseline (30-day median RMSSD), HR_baseline, skin_temp_baseline, EDA_baseline (all conditioned on time-of-day and activity)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recomputation on rolling 30-day window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Normalisation reference for anomaly detection and HSAI computation</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Recovery constant k</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Individual exponential recovery constant fitted after each therapy session; stored per therapy type</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After each session</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Personalised recovery window predictions; training load recommendations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Therapy responsiveness vector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each therapy type: expected HRV increase, expected HR decrease, expected recovery time; updated Bayesian posterior after each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each session (Bayesian update)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Personalised therapy recommendations; diminishing returns detection</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Adaptation trajectory</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Slope of HSAI over trailing 90 days; trend of each domain separately</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Weekly</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Early warning of physiological decline before individual session anomaly threshold is crossed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Physiological age estimate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Biological age estimated from HSAI, autonomic complexity, thermoregulatory efficiency, oxygen utilisation; compared to chronological 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(requires 30-day data minimum)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Motivational metric; research output; insurance application (Year 3+)</w:t>
            </w:r>
          </w:p>
        </w:tc>
      </w:tr>
      <w:tr>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Confounders</w:t>
            </w:r>
          </w:p>
        </w:tc>
        <w:tc>
          <w:tcPr>
            <w:tcW w:type="dxa" w:w="20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Active medications (from medical report repository), recent illness notes, menstrual cycle phase (if user provides), chronic conditions</w:t>
            </w:r>
          </w:p>
        </w:tc>
        <w:tc>
          <w:tcPr>
            <w:tcW w:type="dxa" w:w="16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User-updated + auto-detected from medical reports</w:t>
            </w:r>
          </w:p>
        </w:tc>
        <w:tc>
          <w:tcPr>
            <w:tcW w:type="dxa" w:w="3800"/>
            <w:tcBorders>
              <w:top w:val="single" w:color="CCCCCC" w:sz="1"/>
              <w:left w:val="single" w:color="CCCCCC" w:sz="1"/>
              <w:bottom w:val="single" w:color="CCCCCC" w:sz="1"/>
              <w:right w:val="single" w:color="CCCCCC" w:sz="1"/>
            </w:tcBorders>
            <w:shd w:fill="E6F0FA" w:val="clear"/>
            <w:tcMar>
              <w:top w:type="dxa" w:w="60"/>
              <w:left w:type="dxa" w:w="120"/>
              <w:bottom w:type="dxa" w:w="60"/>
              <w:right w:type="dxa" w:w="120"/>
            </w:tcMar>
          </w:tcPr>
          <w:p>
            <w:r>
              <w:rPr>
                <w:rFonts w:ascii="Arial" w:cs="Arial" w:eastAsia="Arial" w:hAnsi="Arial"/>
                <w:sz w:val="19"/>
                <w:szCs w:val="19"/>
              </w:rPr>
              <w:t xml:space="preserve">Applied as correction factors in PINN and HSAI computation to prevent false positives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155A8A"/>
          <w:sz w:val="28"/>
          <w:szCs w:val="28"/>
        </w:rPr>
        <w:t xml:space="preserve">6.2 Forward Simulation: Counterfactual Therapy Modelling</w:t>
      </w:r>
    </w:p>
    <w:p>
      <w:pPr>
        <w:spacing w:before="60" w:after="60"/>
      </w:pPr>
      <w:r>
        <w:rPr>
          <w:rFonts w:ascii="Arial" w:cs="Arial" w:eastAsia="Arial" w:hAnsi="Arial"/>
          <w:sz w:val="20"/>
          <w:szCs w:val="20"/>
        </w:rPr>
        <w:t xml:space="preserve">One of the most powerful and scientifically novel features of the digital twin is counterfactual simulation: answering the question "if this user does cryotherapy tomorrow, what will their HRV trajectory look like given their current state?"</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Process: User asks (via JARVIS): "Should I do cryo tomorrow given how I feel today?"</w:t>
      </w:r>
    </w:p>
    <w:p>
      <w:pPr>
        <w:spacing w:before="40" w:after="40"/>
        <w:ind w:left="540" w:hanging="220"/>
      </w:pPr>
      <w:r>
        <w:rPr>
          <w:rFonts w:ascii="Arial" w:cs="Arial" w:eastAsia="Arial" w:hAnsi="Arial"/>
          <w:sz w:val="20"/>
          <w:szCs w:val="20"/>
        </w:rPr>
        <w:t xml:space="preserve">•  Digital twin reads: current recovery_debt, HRV_7d_slope, yesterday_sleep_quality, current_inflammation_proxy</w:t>
      </w:r>
    </w:p>
    <w:p>
      <w:pPr>
        <w:spacing w:before="40" w:after="40"/>
        <w:ind w:left="540" w:hanging="220"/>
      </w:pPr>
      <w:r>
        <w:rPr>
          <w:rFonts w:ascii="Arial" w:cs="Arial" w:eastAsia="Arial" w:hAnsi="Arial"/>
          <w:sz w:val="20"/>
          <w:szCs w:val="20"/>
        </w:rPr>
        <w:t xml:space="preserve">•  PINN forward simulation runs: X(t) predicted for next 48 hours under scenario A (cryo session) vs scenario B (rest day)</w:t>
      </w:r>
    </w:p>
    <w:p>
      <w:pPr>
        <w:spacing w:before="40" w:after="40"/>
        <w:ind w:left="540" w:hanging="220"/>
      </w:pPr>
      <w:r>
        <w:rPr>
          <w:rFonts w:ascii="Arial" w:cs="Arial" w:eastAsia="Arial" w:hAnsi="Arial"/>
          <w:sz w:val="20"/>
          <w:szCs w:val="20"/>
        </w:rPr>
        <w:t xml:space="preserve">•  Reward function: R = w1*HRV_increase + w2*recovery_slope − w3*stress_spike − w4*overtraining_risk</w:t>
      </w:r>
    </w:p>
    <w:p>
      <w:pPr>
        <w:spacing w:before="40" w:after="40"/>
        <w:ind w:left="540" w:hanging="220"/>
      </w:pPr>
      <w:r>
        <w:rPr>
          <w:rFonts w:ascii="Arial" w:cs="Arial" w:eastAsia="Arial" w:hAnsi="Arial"/>
          <w:sz w:val="20"/>
          <w:szCs w:val="20"/>
        </w:rPr>
        <w:t xml:space="preserve">•  JARVIS response: "Based on your current HRV debt and last 3 nights of sleep, cryo tomorrow would likely produce a +18% HRV rebound by evening, compared to +28% if you rest today first. Recommended: rest today, cryo the day after."</w:t>
      </w:r>
    </w:p>
    <w:p>
      <w:pPr>
        <w:spacing w:before="40" w:after="40"/>
        <w:ind w:left="540" w:hanging="220"/>
      </w:pPr>
      <w:r>
        <w:rPr>
          <w:rFonts w:ascii="Arial" w:cs="Arial" w:eastAsia="Arial" w:hAnsi="Arial"/>
          <w:sz w:val="20"/>
          <w:szCs w:val="20"/>
        </w:rPr>
        <w:t xml:space="preserve">•  This is the clinical decision-support capability that justifies the doctor integration and eventual regulatory classification as clinical decision support software.</w:t>
      </w:r>
    </w:p>
    <w:p>
      <w:pPr>
        <w:spacing w:before="80" w:after="80"/>
      </w:pPr>
      <w:r>
        <w:rPr>
          <w:rFonts w:ascii="Arial" w:cs="Arial" w:eastAsia="Arial" w:hAnsi="Arial"/>
          <w:sz w:val="20"/>
          <w:szCs w:val="20"/>
        </w:rPr>
        <w:t xml:space="preserve"/>
      </w:r>
    </w:p>
    <w:p>
      <w:pPr>
        <w:pBdr>
          <w:bottom w:val="single" w:color="155A8A" w:sz="4" w:space="4"/>
        </w:pBdr>
        <w:spacing w:before="180" w:after="1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defines the complete software, AI, and ML architecture for Echo OS. The progression from synthetic pre-training through pilot fine-tuning to federated learning with own model development is a deliberate and realistic plan. Every component is grounded in published research and building toward the proprietary models that create the durable competitive moat. The AI learns. The moat deepens. The hardware becomes secondary.</w:t>
      </w:r>
      <italics>true</italics>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2026-03-18T19:02:31.813Z</dcterms:created>
  <dcterms:modified xsi:type="dcterms:W3CDTF">2026-03-18T19:02:31.814Z</dcterms:modified>
</cp:coreProperties>
</file>

<file path=docProps/custom.xml><?xml version="1.0" encoding="utf-8"?>
<Properties xmlns="http://schemas.openxmlformats.org/officeDocument/2006/custom-properties" xmlns:vt="http://schemas.openxmlformats.org/officeDocument/2006/docPropsVTypes"/>
</file>