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1502" w:rsidRPr="000518C9" w:rsidRDefault="00000000" w:rsidP="000518C9">
      <w:pPr>
        <w:pStyle w:val="Title"/>
        <w:jc w:val="both"/>
        <w:rPr>
          <w:rFonts w:ascii="Times New Roman" w:hAnsi="Times New Roman" w:cs="Times New Roman"/>
          <w:sz w:val="24"/>
          <w:szCs w:val="24"/>
        </w:rPr>
      </w:pPr>
      <w:r w:rsidRPr="000518C9">
        <w:rPr>
          <w:rFonts w:ascii="Times New Roman" w:hAnsi="Times New Roman" w:cs="Times New Roman"/>
          <w:sz w:val="24"/>
          <w:szCs w:val="24"/>
        </w:rPr>
        <w:t>The Dual Metabolism of India: Macro-Lock-in vs. Industrial Decoupling</w:t>
      </w:r>
    </w:p>
    <w:p w:rsidR="00F11502" w:rsidRPr="000518C9" w:rsidRDefault="00000000" w:rsidP="000518C9">
      <w:pPr>
        <w:pStyle w:val="Author"/>
        <w:jc w:val="both"/>
        <w:rPr>
          <w:rFonts w:ascii="Times New Roman" w:hAnsi="Times New Roman" w:cs="Times New Roman"/>
        </w:rPr>
      </w:pPr>
      <w:r w:rsidRPr="000518C9">
        <w:rPr>
          <w:rFonts w:ascii="Times New Roman" w:hAnsi="Times New Roman" w:cs="Times New Roman"/>
        </w:rPr>
        <w:t>Anshuman Patnaik</w:t>
      </w:r>
    </w:p>
    <w:p w:rsidR="00F11502" w:rsidRPr="000518C9" w:rsidRDefault="00000000" w:rsidP="000518C9">
      <w:pPr>
        <w:pStyle w:val="Date"/>
        <w:jc w:val="both"/>
        <w:rPr>
          <w:rFonts w:ascii="Times New Roman" w:hAnsi="Times New Roman" w:cs="Times New Roman"/>
        </w:rPr>
      </w:pPr>
      <w:r w:rsidRPr="000518C9">
        <w:rPr>
          <w:rFonts w:ascii="Times New Roman" w:hAnsi="Times New Roman" w:cs="Times New Roman"/>
        </w:rPr>
        <w:t>2026-03-06</w:t>
      </w:r>
    </w:p>
    <w:p w:rsidR="00F11502" w:rsidRPr="000518C9" w:rsidRDefault="00000000" w:rsidP="000518C9">
      <w:pPr>
        <w:pStyle w:val="Heading2"/>
        <w:jc w:val="both"/>
        <w:rPr>
          <w:rFonts w:ascii="Times New Roman" w:hAnsi="Times New Roman" w:cs="Times New Roman"/>
          <w:sz w:val="24"/>
          <w:szCs w:val="24"/>
        </w:rPr>
      </w:pPr>
      <w:bookmarkStart w:id="0" w:name="Xadaf260d9e36db581e19c844fd53bb07931915a"/>
      <w:r w:rsidRPr="000518C9">
        <w:rPr>
          <w:rFonts w:ascii="Times New Roman" w:hAnsi="Times New Roman" w:cs="Times New Roman"/>
          <w:sz w:val="24"/>
          <w:szCs w:val="24"/>
        </w:rPr>
        <w:t>The Dual Metabolism of India: Macro-Lock-in vs. Industrial Decoupling</w:t>
      </w:r>
    </w:p>
    <w:p w:rsidR="00F11502" w:rsidRPr="000518C9" w:rsidRDefault="00000000" w:rsidP="000518C9">
      <w:pPr>
        <w:pStyle w:val="FirstParagraph"/>
        <w:jc w:val="both"/>
        <w:rPr>
          <w:rFonts w:ascii="Times New Roman" w:hAnsi="Times New Roman" w:cs="Times New Roman"/>
        </w:rPr>
      </w:pPr>
      <w:r w:rsidRPr="000518C9">
        <w:rPr>
          <w:rFonts w:ascii="Times New Roman" w:hAnsi="Times New Roman" w:cs="Times New Roman"/>
        </w:rPr>
        <w:t>The following econometric analysis evaluates India’s energy-growth nexus through a two-track framework. Model 1 captures the aggregate macroeconomic biophysical constraints, while Model 2 isolates the formal industrial core using a classic Cobb-Douglas production specification. The resulting divergence provides profound policy and corporate strategy insights regarding the “Carbon Shackle” and empirical decoupling.</w:t>
      </w:r>
    </w:p>
    <w:p w:rsidR="00F11502" w:rsidRPr="000518C9" w:rsidRDefault="00000000" w:rsidP="000518C9">
      <w:pPr>
        <w:pStyle w:val="Heading3"/>
        <w:jc w:val="both"/>
        <w:rPr>
          <w:rFonts w:ascii="Times New Roman" w:hAnsi="Times New Roman" w:cs="Times New Roman"/>
          <w:sz w:val="24"/>
          <w:szCs w:val="24"/>
        </w:rPr>
      </w:pPr>
      <w:bookmarkStart w:id="1" w:name="Xdbcdb9d2c623b0010f553c267e1a0f91782a924"/>
      <w:r w:rsidRPr="000518C9">
        <w:rPr>
          <w:rFonts w:ascii="Times New Roman" w:hAnsi="Times New Roman" w:cs="Times New Roman"/>
          <w:sz w:val="24"/>
          <w:szCs w:val="24"/>
        </w:rPr>
        <w:t>Part 1: Model 1 – The Aggregate Biophysical Growth Nexus (VECM)</w:t>
      </w:r>
    </w:p>
    <w:p w:rsidR="00F11502" w:rsidRDefault="00000000" w:rsidP="000518C9">
      <w:pPr>
        <w:pStyle w:val="FirstParagraph"/>
        <w:jc w:val="both"/>
        <w:rPr>
          <w:rFonts w:ascii="Times New Roman" w:hAnsi="Times New Roman" w:cs="Times New Roman"/>
        </w:rPr>
      </w:pPr>
      <w:r w:rsidRPr="000518C9">
        <w:rPr>
          <w:rFonts w:ascii="Times New Roman" w:hAnsi="Times New Roman" w:cs="Times New Roman"/>
          <w:b/>
          <w:bCs/>
        </w:rPr>
        <w:t>Logic of Employing Variables:</w:t>
      </w:r>
      <w:r w:rsidRPr="000518C9">
        <w:rPr>
          <w:rFonts w:ascii="Times New Roman" w:hAnsi="Times New Roman" w:cs="Times New Roman"/>
        </w:rPr>
        <w:t xml:space="preserve"> This model utilizes a Stern-based biophysical specification. It evaluates total Gross Domestic Product per capita against Capital Formation and Energy Intensity. Energy intensity (the ratio of energy imports to total economic output) is utilized rather than raw volume to measure macro-inefficiency. The objective is to test whether the aggregate Indian economy—inclusive of informal sectors, agriculture, and transport—remains structurally tethered to its thermodynamic inputs.</w:t>
      </w:r>
    </w:p>
    <w:p w:rsidR="000518C9" w:rsidRPr="000518C9" w:rsidRDefault="000518C9" w:rsidP="000518C9">
      <w:pPr>
        <w:pStyle w:val="BodyText"/>
        <w:jc w:val="both"/>
      </w:pPr>
    </w:p>
    <w:p w:rsidR="00F11502" w:rsidRPr="000518C9" w:rsidRDefault="00000000" w:rsidP="000518C9">
      <w:pPr>
        <w:pStyle w:val="Heading4"/>
        <w:jc w:val="both"/>
        <w:rPr>
          <w:rFonts w:ascii="Times New Roman" w:hAnsi="Times New Roman" w:cs="Times New Roman"/>
        </w:rPr>
      </w:pPr>
      <w:bookmarkStart w:id="2" w:name="X37f541a1e1ee5bad29cc21d1c56f23bc03a49bd"/>
      <w:r w:rsidRPr="000518C9">
        <w:rPr>
          <w:rFonts w:ascii="Times New Roman" w:hAnsi="Times New Roman" w:cs="Times New Roman"/>
        </w:rPr>
        <w:t>Table 1.1: Model 1 Economic Results &amp; Evidence</w:t>
      </w:r>
    </w:p>
    <w:tbl>
      <w:tblPr>
        <w:tblStyle w:val="Table"/>
        <w:tblW w:w="5000" w:type="pct"/>
        <w:tblLayout w:type="fixed"/>
        <w:tblLook w:val="0020" w:firstRow="1" w:lastRow="0" w:firstColumn="0" w:lastColumn="0" w:noHBand="0" w:noVBand="0"/>
      </w:tblPr>
      <w:tblGrid>
        <w:gridCol w:w="2754"/>
        <w:gridCol w:w="2754"/>
        <w:gridCol w:w="2754"/>
        <w:gridCol w:w="2754"/>
      </w:tblGrid>
      <w:tr w:rsidR="00F11502" w:rsidRPr="000518C9" w:rsidTr="000518C9">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Metric / Parameter</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Result (Statistic)</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Decision</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Economic Interpretation &amp; Evidence Base</w:t>
            </w:r>
          </w:p>
        </w:tc>
      </w:tr>
      <w:tr w:rsidR="00F11502" w:rsidRPr="000518C9">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Long-Run Cointegration</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Trace = 46.49 (Critical: 41.07)</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CONFIRMED</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A strict, unbreakable long-run tether exists between aggregate Gross Domestic Product, Capital Formation, and Energy Intensity. The national metabolism remains fundamentally fossil-dependent.</w:t>
            </w:r>
          </w:p>
        </w:tc>
      </w:tr>
      <w:tr w:rsidR="00F11502" w:rsidRPr="000518C9">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Adjustment Speed (ECT)</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-0.0779 (p &lt; 0.001)</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CONFIRMED</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The economy corrects back to its energy-dependent equilibrium slowly (~7.8% annually). This slow adjustment quantifies deep “socio-material lock-in,” where informal coal constituencies resist rapid transition.</w:t>
            </w:r>
          </w:p>
        </w:tc>
      </w:tr>
      <w:tr w:rsidR="00F11502" w:rsidRPr="000518C9" w:rsidTr="000518C9">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Short-Run Penalty</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-0.258 (p = 0.052)</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CONFIRMED</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Rising energy intensity (wasted energy) actively penalizes economic output. The aggregate economy cannot sustain growth if efficiency drops.</w:t>
            </w:r>
          </w:p>
        </w:tc>
      </w:tr>
    </w:tbl>
    <w:p w:rsidR="000518C9" w:rsidRDefault="000518C9" w:rsidP="000518C9">
      <w:pPr>
        <w:pStyle w:val="Heading4"/>
        <w:jc w:val="both"/>
        <w:rPr>
          <w:rFonts w:ascii="Times New Roman" w:hAnsi="Times New Roman" w:cs="Times New Roman"/>
        </w:rPr>
      </w:pPr>
      <w:bookmarkStart w:id="3" w:name="table-1.2-model-1-diagnostic-audit"/>
      <w:bookmarkEnd w:id="2"/>
    </w:p>
    <w:p w:rsidR="000518C9" w:rsidRDefault="000518C9" w:rsidP="000518C9">
      <w:pPr>
        <w:pStyle w:val="Heading4"/>
        <w:jc w:val="both"/>
        <w:rPr>
          <w:rFonts w:ascii="Times New Roman" w:hAnsi="Times New Roman" w:cs="Times New Roman"/>
        </w:rPr>
      </w:pPr>
    </w:p>
    <w:p w:rsidR="000518C9" w:rsidRPr="000518C9" w:rsidRDefault="00000000" w:rsidP="000518C9">
      <w:pPr>
        <w:pStyle w:val="Heading4"/>
        <w:jc w:val="both"/>
        <w:rPr>
          <w:rFonts w:ascii="Times New Roman" w:hAnsi="Times New Roman" w:cs="Times New Roman"/>
        </w:rPr>
      </w:pPr>
      <w:r w:rsidRPr="000518C9">
        <w:rPr>
          <w:rFonts w:ascii="Times New Roman" w:hAnsi="Times New Roman" w:cs="Times New Roman"/>
        </w:rPr>
        <w:t>Table 1.2: Model 1 Diagnostic Audit</w:t>
      </w:r>
    </w:p>
    <w:tbl>
      <w:tblPr>
        <w:tblStyle w:val="Table"/>
        <w:tblW w:w="5000" w:type="pct"/>
        <w:tblLayout w:type="fixed"/>
        <w:tblLook w:val="0020" w:firstRow="1" w:lastRow="0" w:firstColumn="0" w:lastColumn="0" w:noHBand="0" w:noVBand="0"/>
      </w:tblPr>
      <w:tblGrid>
        <w:gridCol w:w="2754"/>
        <w:gridCol w:w="2754"/>
        <w:gridCol w:w="2754"/>
        <w:gridCol w:w="2754"/>
      </w:tblGrid>
      <w:tr w:rsidR="00F11502" w:rsidRPr="000518C9" w:rsidTr="000518C9">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Diagnostic Test</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Statistic (p-value)</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Result</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Exact Reason</w:t>
            </w:r>
          </w:p>
        </w:tc>
      </w:tr>
      <w:tr w:rsidR="00F11502" w:rsidRPr="000518C9">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Serial Correlation</w:t>
            </w:r>
            <w:r w:rsidRPr="000518C9">
              <w:rPr>
                <w:rFonts w:ascii="Times New Roman" w:hAnsi="Times New Roman" w:cs="Times New Roman"/>
              </w:rPr>
              <w:t xml:space="preserve"> (Portmanteau)</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 0.957</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PASS</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&gt; 0.05. Residuals are pure white noise. The model leaves no hidden time-dependent patterns unexplained.</w:t>
            </w:r>
          </w:p>
        </w:tc>
      </w:tr>
      <w:tr w:rsidR="00F11502" w:rsidRPr="000518C9">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Heteroskedasticity</w:t>
            </w:r>
            <w:r w:rsidRPr="000518C9">
              <w:rPr>
                <w:rFonts w:ascii="Times New Roman" w:hAnsi="Times New Roman" w:cs="Times New Roman"/>
              </w:rPr>
              <w:t xml:space="preserve"> (ARCH)</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 0.828</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PASS</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&gt; 0.05. Error variance is perfectly stable across the 1990-2024 timeframe, ensuring standard errors are robust.</w:t>
            </w:r>
          </w:p>
        </w:tc>
      </w:tr>
      <w:tr w:rsidR="00F11502" w:rsidRPr="000518C9">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Normality</w:t>
            </w:r>
            <w:r w:rsidRPr="000518C9">
              <w:rPr>
                <w:rFonts w:ascii="Times New Roman" w:hAnsi="Times New Roman" w:cs="Times New Roman"/>
              </w:rPr>
              <w:t xml:space="preserve"> (Jarque-Bera)</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&lt; 0.001</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FAIL*</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*Expected in macro-aggregates. The 1991 liberalization and 2020 pandemic cause “fat tails.” Because ARCH and Serial Correlation pass, parameter estimates remain unbiased per the Gauss-Markov theorem.</w:t>
            </w:r>
          </w:p>
        </w:tc>
      </w:tr>
      <w:tr w:rsidR="00F11502" w:rsidRPr="000518C9" w:rsidTr="000518C9">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Multicollinearity</w:t>
            </w:r>
            <w:r w:rsidRPr="000518C9">
              <w:rPr>
                <w:rFonts w:ascii="Times New Roman" w:hAnsi="Times New Roman" w:cs="Times New Roman"/>
              </w:rPr>
              <w:t xml:space="preserve"> (VIF)</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VIF = 1.58</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PASS</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VIF &lt; 5. Capital Formation and Energy Intensity are highly distinct variables, avoiding redundant explanatory power.</w:t>
            </w:r>
          </w:p>
        </w:tc>
      </w:tr>
    </w:tbl>
    <w:p w:rsidR="00F11502" w:rsidRDefault="00000000" w:rsidP="000518C9">
      <w:pPr>
        <w:pStyle w:val="BodyText"/>
        <w:jc w:val="both"/>
        <w:rPr>
          <w:rFonts w:ascii="Times New Roman" w:hAnsi="Times New Roman" w:cs="Times New Roman"/>
        </w:rPr>
      </w:pPr>
      <w:r w:rsidRPr="000518C9">
        <w:rPr>
          <w:rFonts w:ascii="Times New Roman" w:hAnsi="Times New Roman" w:cs="Times New Roman"/>
          <w:b/>
          <w:bCs/>
        </w:rPr>
        <w:t>Model 1 Discussion:</w:t>
      </w:r>
      <w:r w:rsidRPr="000518C9">
        <w:rPr>
          <w:rFonts w:ascii="Times New Roman" w:hAnsi="Times New Roman" w:cs="Times New Roman"/>
        </w:rPr>
        <w:t xml:space="preserve"> Model 1 mathematically proves that the Indian aggregate economy operates under a strict macro-level carbon lock-in. The presence of a highly significant cointegrating vector confirms that total economic output cannot scale without a proportional relationship to energy throughput. The slow error correction term (-0.077) highlights the “wicked” nature of the transition: the broader socio-economic system, deeply entangled with informal energy networks and labor-intensive extraction, strongly resists rapid deviations from its fossil baseline.</w:t>
      </w:r>
    </w:p>
    <w:p w:rsidR="000518C9" w:rsidRPr="000518C9" w:rsidRDefault="000518C9" w:rsidP="000518C9">
      <w:pPr>
        <w:jc w:val="both"/>
        <w:rPr>
          <w:rFonts w:ascii="Times New Roman" w:hAnsi="Times New Roman" w:cs="Times New Roman"/>
        </w:rPr>
      </w:pPr>
    </w:p>
    <w:p w:rsidR="00F11502" w:rsidRPr="000518C9" w:rsidRDefault="00000000" w:rsidP="000518C9">
      <w:pPr>
        <w:pStyle w:val="Heading3"/>
        <w:jc w:val="both"/>
        <w:rPr>
          <w:rFonts w:ascii="Times New Roman" w:hAnsi="Times New Roman" w:cs="Times New Roman"/>
          <w:sz w:val="24"/>
          <w:szCs w:val="24"/>
        </w:rPr>
      </w:pPr>
      <w:bookmarkStart w:id="4" w:name="Xcd5355a7d15f2272e871cce8a64d6d592caa50a"/>
      <w:bookmarkEnd w:id="1"/>
      <w:bookmarkEnd w:id="3"/>
      <w:r w:rsidRPr="000518C9">
        <w:rPr>
          <w:rFonts w:ascii="Times New Roman" w:hAnsi="Times New Roman" w:cs="Times New Roman"/>
          <w:sz w:val="24"/>
          <w:szCs w:val="24"/>
        </w:rPr>
        <w:t>Part 2: Model 2 – The Industrial Core Decoupling (ARDL)</w:t>
      </w:r>
    </w:p>
    <w:p w:rsidR="00F11502" w:rsidRDefault="00000000" w:rsidP="000518C9">
      <w:pPr>
        <w:pStyle w:val="FirstParagraph"/>
        <w:jc w:val="both"/>
        <w:rPr>
          <w:rFonts w:ascii="Times New Roman" w:hAnsi="Times New Roman" w:cs="Times New Roman"/>
        </w:rPr>
      </w:pPr>
      <w:r w:rsidRPr="000518C9">
        <w:rPr>
          <w:rFonts w:ascii="Times New Roman" w:hAnsi="Times New Roman" w:cs="Times New Roman"/>
          <w:b/>
          <w:bCs/>
        </w:rPr>
        <w:t>Logic of Employing Variables:</w:t>
      </w:r>
      <w:r w:rsidRPr="000518C9">
        <w:rPr>
          <w:rFonts w:ascii="Times New Roman" w:hAnsi="Times New Roman" w:cs="Times New Roman"/>
        </w:rPr>
        <w:t xml:space="preserve"> Model 2 isolates the formal industrial sector. Total Gross Domestic Product is mathematically filtered to absolute Industrial Gross Domestic Product to eliminate the dilution of the service and agriculture sectors. The model deploys a strict Cobb-Douglas framework utilizing Capital Formation, Labour Force Participation, and Coal Reliance. Additionally, an endogenous structural break for 2003 was detected via Zivot-</w:t>
      </w:r>
      <w:proofErr w:type="gramStart"/>
      <w:r w:rsidRPr="000518C9">
        <w:rPr>
          <w:rFonts w:ascii="Times New Roman" w:hAnsi="Times New Roman" w:cs="Times New Roman"/>
        </w:rPr>
        <w:t>Andrews</w:t>
      </w:r>
      <w:proofErr w:type="gramEnd"/>
      <w:r w:rsidRPr="000518C9">
        <w:rPr>
          <w:rFonts w:ascii="Times New Roman" w:hAnsi="Times New Roman" w:cs="Times New Roman"/>
        </w:rPr>
        <w:t xml:space="preserve"> testing, representing the onset of India’s massive infrastructure and capital deepening boom.</w:t>
      </w:r>
    </w:p>
    <w:p w:rsidR="000518C9" w:rsidRPr="000518C9" w:rsidRDefault="000518C9" w:rsidP="000518C9">
      <w:pPr>
        <w:pStyle w:val="BodyText"/>
        <w:jc w:val="both"/>
      </w:pPr>
    </w:p>
    <w:p w:rsidR="00F11502" w:rsidRPr="000518C9" w:rsidRDefault="00000000" w:rsidP="000518C9">
      <w:pPr>
        <w:pStyle w:val="Heading4"/>
        <w:jc w:val="both"/>
        <w:rPr>
          <w:rFonts w:ascii="Times New Roman" w:hAnsi="Times New Roman" w:cs="Times New Roman"/>
        </w:rPr>
      </w:pPr>
      <w:bookmarkStart w:id="5" w:name="X827355c285037af5c45e28496490cc2da65f224"/>
      <w:r w:rsidRPr="000518C9">
        <w:rPr>
          <w:rFonts w:ascii="Times New Roman" w:hAnsi="Times New Roman" w:cs="Times New Roman"/>
        </w:rPr>
        <w:lastRenderedPageBreak/>
        <w:t>Table 2.1: Model 2 Economic Results &amp; Evidence</w:t>
      </w:r>
    </w:p>
    <w:tbl>
      <w:tblPr>
        <w:tblStyle w:val="Table"/>
        <w:tblW w:w="5000" w:type="pct"/>
        <w:tblLayout w:type="fixed"/>
        <w:tblLook w:val="0020" w:firstRow="1" w:lastRow="0" w:firstColumn="0" w:lastColumn="0" w:noHBand="0" w:noVBand="0"/>
      </w:tblPr>
      <w:tblGrid>
        <w:gridCol w:w="2754"/>
        <w:gridCol w:w="2754"/>
        <w:gridCol w:w="2754"/>
        <w:gridCol w:w="2754"/>
      </w:tblGrid>
      <w:tr w:rsidR="00F11502" w:rsidRPr="000518C9" w:rsidTr="000518C9">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Metric / Parameter</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Result (Statistic)</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Decision</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Economic Interpretation &amp; Evidence Base</w:t>
            </w:r>
          </w:p>
        </w:tc>
      </w:tr>
      <w:tr w:rsidR="00F11502" w:rsidRPr="000518C9">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System Stability</w:t>
            </w:r>
            <w:r w:rsidRPr="000518C9">
              <w:rPr>
                <w:rFonts w:ascii="Times New Roman" w:hAnsi="Times New Roman" w:cs="Times New Roman"/>
              </w:rPr>
              <w:t xml:space="preserve"> (Bounds F-Test)</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F = 6.355 (p = 0.001)</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CONFIRMED</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The variables form a highly stable, long-run equilibrium system (F &gt; Upper Bound). The industrial sector behaves predictably according to production inputs.</w:t>
            </w:r>
          </w:p>
        </w:tc>
      </w:tr>
      <w:tr w:rsidR="00F11502" w:rsidRPr="000518C9">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Adjustment Speed (ECT)</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-0.408 (p = 0.021)</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CONFIRMED</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The formal sector corrects disequilibrium rapidly (~41% per year). This aligns precisely with advanced empirical literature on India’s industrial responsiveness.</w:t>
            </w:r>
          </w:p>
        </w:tc>
      </w:tr>
      <w:tr w:rsidR="00F11502" w:rsidRPr="000518C9">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Capital Impact</w:t>
            </w:r>
            <w:r w:rsidRPr="000518C9">
              <w:rPr>
                <w:rFonts w:ascii="Times New Roman" w:hAnsi="Times New Roman" w:cs="Times New Roman"/>
              </w:rPr>
              <w:t xml:space="preserve"> (Long-Run Capital)</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0.433 (p &lt; 0.001)</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CONFIRMED</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Capital deepening is the absolute dominant driver of industrial output. Formal manufacturing scales via machinery and technology, not raw fuel.</w:t>
            </w:r>
          </w:p>
        </w:tc>
      </w:tr>
      <w:tr w:rsidR="00F11502" w:rsidRPr="000518C9" w:rsidTr="000518C9">
        <w:tc>
          <w:tcPr>
            <w:tcW w:w="1980" w:type="dxa"/>
            <w:tcBorders>
              <w:bottom w:val="single" w:sz="4" w:space="0" w:color="auto"/>
            </w:tcBorders>
          </w:tcPr>
          <w:p w:rsid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Coal Impact</w:t>
            </w:r>
            <w:r w:rsidRPr="000518C9">
              <w:rPr>
                <w:rFonts w:ascii="Times New Roman" w:hAnsi="Times New Roman" w:cs="Times New Roman"/>
              </w:rPr>
              <w:t xml:space="preserve"> (Long-Run </w:t>
            </w:r>
          </w:p>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Coal)</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0.571 (p = 0.337)</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REJECTED</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The Decoupling Proof. Coal reliance has zero statistical significance on long-term industrial output. Formal growth has decoupled from coal volume.</w:t>
            </w:r>
          </w:p>
        </w:tc>
      </w:tr>
    </w:tbl>
    <w:p w:rsidR="000518C9" w:rsidRDefault="000518C9" w:rsidP="000518C9">
      <w:pPr>
        <w:pStyle w:val="Heading4"/>
        <w:jc w:val="both"/>
        <w:rPr>
          <w:rFonts w:ascii="Times New Roman" w:hAnsi="Times New Roman" w:cs="Times New Roman"/>
        </w:rPr>
      </w:pPr>
      <w:bookmarkStart w:id="6" w:name="table-2.2-model-2-diagnostic-audit"/>
      <w:bookmarkEnd w:id="5"/>
    </w:p>
    <w:p w:rsidR="000518C9" w:rsidRDefault="000518C9" w:rsidP="000518C9">
      <w:pPr>
        <w:pStyle w:val="Heading4"/>
        <w:jc w:val="both"/>
        <w:rPr>
          <w:rFonts w:ascii="Times New Roman" w:hAnsi="Times New Roman" w:cs="Times New Roman"/>
        </w:rPr>
      </w:pPr>
    </w:p>
    <w:p w:rsidR="000518C9" w:rsidRPr="000518C9" w:rsidRDefault="00000000" w:rsidP="000518C9">
      <w:pPr>
        <w:pStyle w:val="Heading4"/>
        <w:jc w:val="both"/>
        <w:rPr>
          <w:rFonts w:ascii="Times New Roman" w:hAnsi="Times New Roman" w:cs="Times New Roman"/>
        </w:rPr>
      </w:pPr>
      <w:r w:rsidRPr="000518C9">
        <w:rPr>
          <w:rFonts w:ascii="Times New Roman" w:hAnsi="Times New Roman" w:cs="Times New Roman"/>
        </w:rPr>
        <w:t>Table 2.2: Model 2 Diagnostic Audit</w:t>
      </w:r>
    </w:p>
    <w:tbl>
      <w:tblPr>
        <w:tblStyle w:val="Table"/>
        <w:tblW w:w="5000" w:type="pct"/>
        <w:tblLayout w:type="fixed"/>
        <w:tblLook w:val="0020" w:firstRow="1" w:lastRow="0" w:firstColumn="0" w:lastColumn="0" w:noHBand="0" w:noVBand="0"/>
      </w:tblPr>
      <w:tblGrid>
        <w:gridCol w:w="2754"/>
        <w:gridCol w:w="2754"/>
        <w:gridCol w:w="2754"/>
        <w:gridCol w:w="2754"/>
      </w:tblGrid>
      <w:tr w:rsidR="00F11502" w:rsidRPr="000518C9" w:rsidTr="000518C9">
        <w:trPr>
          <w:cnfStyle w:val="100000000000" w:firstRow="1" w:lastRow="0" w:firstColumn="0" w:lastColumn="0" w:oddVBand="0" w:evenVBand="0" w:oddHBand="0" w:evenHBand="0" w:firstRowFirstColumn="0" w:firstRowLastColumn="0" w:lastRowFirstColumn="0" w:lastRowLastColumn="0"/>
          <w:tblHeader/>
        </w:trPr>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Diagnostic Test</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Statistic (p-value)</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Result</w:t>
            </w:r>
          </w:p>
        </w:tc>
        <w:tc>
          <w:tcPr>
            <w:tcW w:w="1980" w:type="dxa"/>
            <w:tcBorders>
              <w:top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Exact Reason</w:t>
            </w:r>
          </w:p>
        </w:tc>
      </w:tr>
      <w:tr w:rsidR="00F11502" w:rsidRPr="000518C9">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Serial Correlation</w:t>
            </w:r>
            <w:r w:rsidRPr="000518C9">
              <w:rPr>
                <w:rFonts w:ascii="Times New Roman" w:hAnsi="Times New Roman" w:cs="Times New Roman"/>
              </w:rPr>
              <w:t xml:space="preserve"> (Breusch-Godfrey)</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 0.969</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PASS</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&gt; 0.05. The ARDL lag structure successfully captures all historical dependencies.</w:t>
            </w:r>
          </w:p>
        </w:tc>
      </w:tr>
      <w:tr w:rsidR="00F11502" w:rsidRPr="000518C9">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Heteroskedasticity</w:t>
            </w:r>
            <w:r w:rsidRPr="000518C9">
              <w:rPr>
                <w:rFonts w:ascii="Times New Roman" w:hAnsi="Times New Roman" w:cs="Times New Roman"/>
              </w:rPr>
              <w:t xml:space="preserve"> (Breusch-Pagan)</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 0.824</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PASS</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&gt; 0.05. Volatility is stable; the model is not biased by the scale of the Indian industrial boom.</w:t>
            </w:r>
          </w:p>
        </w:tc>
      </w:tr>
      <w:tr w:rsidR="00F11502" w:rsidRPr="000518C9">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Normality</w:t>
            </w:r>
            <w:r w:rsidRPr="000518C9">
              <w:rPr>
                <w:rFonts w:ascii="Times New Roman" w:hAnsi="Times New Roman" w:cs="Times New Roman"/>
              </w:rPr>
              <w:t xml:space="preserve"> (Jarque-Bera)</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 0.680</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PASS</w:t>
            </w:r>
          </w:p>
        </w:tc>
        <w:tc>
          <w:tcPr>
            <w:tcW w:w="1980" w:type="dxa"/>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 xml:space="preserve">p &gt; 0.05. The endogenous 2003 structural break dummy successfully absorbed structural shocks, resulting in perfectly normal </w:t>
            </w:r>
            <w:r w:rsidRPr="000518C9">
              <w:rPr>
                <w:rFonts w:ascii="Times New Roman" w:hAnsi="Times New Roman" w:cs="Times New Roman"/>
              </w:rPr>
              <w:lastRenderedPageBreak/>
              <w:t>residuals.</w:t>
            </w:r>
          </w:p>
        </w:tc>
      </w:tr>
      <w:tr w:rsidR="00F11502" w:rsidRPr="000518C9" w:rsidTr="000518C9">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lastRenderedPageBreak/>
              <w:t>Specification</w:t>
            </w:r>
            <w:r w:rsidRPr="000518C9">
              <w:rPr>
                <w:rFonts w:ascii="Times New Roman" w:hAnsi="Times New Roman" w:cs="Times New Roman"/>
              </w:rPr>
              <w:t xml:space="preserve"> (Ramsey RESET)</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 0.473</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b/>
                <w:bCs/>
              </w:rPr>
              <w:t>PASS</w:t>
            </w:r>
          </w:p>
        </w:tc>
        <w:tc>
          <w:tcPr>
            <w:tcW w:w="1980" w:type="dxa"/>
            <w:tcBorders>
              <w:bottom w:val="single" w:sz="4" w:space="0" w:color="auto"/>
            </w:tcBorders>
          </w:tcPr>
          <w:p w:rsidR="00F11502" w:rsidRPr="000518C9" w:rsidRDefault="00000000" w:rsidP="000518C9">
            <w:pPr>
              <w:pStyle w:val="Compact"/>
              <w:jc w:val="both"/>
              <w:rPr>
                <w:rFonts w:ascii="Times New Roman" w:hAnsi="Times New Roman" w:cs="Times New Roman"/>
              </w:rPr>
            </w:pPr>
            <w:r w:rsidRPr="000518C9">
              <w:rPr>
                <w:rFonts w:ascii="Times New Roman" w:hAnsi="Times New Roman" w:cs="Times New Roman"/>
              </w:rPr>
              <w:t>p &gt; 0.05. The inclusion of Labour Force Participation completed the Cobb-Douglas equation, preventing Omitted Variable Bias. The functional form is flawless.</w:t>
            </w:r>
          </w:p>
        </w:tc>
      </w:tr>
    </w:tbl>
    <w:p w:rsidR="000518C9" w:rsidRDefault="000518C9" w:rsidP="000518C9">
      <w:pPr>
        <w:pStyle w:val="BodyText"/>
        <w:jc w:val="both"/>
        <w:rPr>
          <w:rFonts w:ascii="Times New Roman" w:hAnsi="Times New Roman" w:cs="Times New Roman"/>
          <w:b/>
          <w:bCs/>
        </w:rPr>
      </w:pPr>
    </w:p>
    <w:p w:rsidR="000518C9" w:rsidRDefault="00000000" w:rsidP="000518C9">
      <w:pPr>
        <w:pStyle w:val="BodyText"/>
        <w:jc w:val="both"/>
        <w:rPr>
          <w:rFonts w:ascii="Times New Roman" w:hAnsi="Times New Roman" w:cs="Times New Roman"/>
        </w:rPr>
      </w:pPr>
      <w:r w:rsidRPr="000518C9">
        <w:rPr>
          <w:rFonts w:ascii="Times New Roman" w:hAnsi="Times New Roman" w:cs="Times New Roman"/>
          <w:b/>
          <w:bCs/>
        </w:rPr>
        <w:t>Model 2 Discussion:</w:t>
      </w:r>
      <w:r w:rsidRPr="000518C9">
        <w:rPr>
          <w:rFonts w:ascii="Times New Roman" w:hAnsi="Times New Roman" w:cs="Times New Roman"/>
        </w:rPr>
        <w:t xml:space="preserve"> Model 2 delivers a profound empirical discovery: formal industrial </w:t>
      </w:r>
    </w:p>
    <w:p w:rsidR="00F11502" w:rsidRPr="000518C9" w:rsidRDefault="00000000" w:rsidP="000518C9">
      <w:pPr>
        <w:pStyle w:val="BodyText"/>
        <w:jc w:val="both"/>
        <w:rPr>
          <w:rFonts w:ascii="Times New Roman" w:hAnsi="Times New Roman" w:cs="Times New Roman"/>
        </w:rPr>
      </w:pPr>
      <w:r w:rsidRPr="000518C9">
        <w:rPr>
          <w:rFonts w:ascii="Times New Roman" w:hAnsi="Times New Roman" w:cs="Times New Roman"/>
        </w:rPr>
        <w:t>decoupling. While the bounds test proves the industrial core is governed by a highly stable long-run macroeconomic system, the individual long-run multipliers reveal a structural paradigm shift. The impact of coal reliance on long-term industrial output is statistically zero (p = 0.337). Instead, formal industrial growth is overwhelmingly capital-led (p &lt; 0.001). The Indian industrial core has modernized; it drives value addition through capital efficiency, technological integration, and fixed asset formation rather than sheer coal combustion.</w:t>
      </w:r>
    </w:p>
    <w:p w:rsidR="00F11502" w:rsidRPr="000518C9" w:rsidRDefault="00000000" w:rsidP="000518C9">
      <w:pPr>
        <w:pStyle w:val="Heading3"/>
        <w:jc w:val="both"/>
        <w:rPr>
          <w:rFonts w:ascii="Times New Roman" w:hAnsi="Times New Roman" w:cs="Times New Roman"/>
          <w:sz w:val="24"/>
          <w:szCs w:val="24"/>
        </w:rPr>
      </w:pPr>
      <w:bookmarkStart w:id="7" w:name="strategic-policy-corporate-insights"/>
      <w:bookmarkEnd w:id="4"/>
      <w:bookmarkEnd w:id="6"/>
      <w:r w:rsidRPr="000518C9">
        <w:rPr>
          <w:rFonts w:ascii="Times New Roman" w:hAnsi="Times New Roman" w:cs="Times New Roman"/>
          <w:sz w:val="24"/>
          <w:szCs w:val="24"/>
        </w:rPr>
        <w:t>Policy Insights</w:t>
      </w:r>
    </w:p>
    <w:p w:rsidR="00F11502" w:rsidRPr="000518C9" w:rsidRDefault="00000000" w:rsidP="000518C9">
      <w:pPr>
        <w:pStyle w:val="FirstParagraph"/>
        <w:jc w:val="both"/>
        <w:rPr>
          <w:rFonts w:ascii="Times New Roman" w:hAnsi="Times New Roman" w:cs="Times New Roman"/>
        </w:rPr>
      </w:pPr>
      <w:r w:rsidRPr="000518C9">
        <w:rPr>
          <w:rFonts w:ascii="Times New Roman" w:hAnsi="Times New Roman" w:cs="Times New Roman"/>
        </w:rPr>
        <w:t>The divergence between Model 1 and Model 2 provides a nuanced roadmap for policymakers and corporate strategists navigating India’s energy transition:</w:t>
      </w:r>
    </w:p>
    <w:p w:rsidR="00F11502" w:rsidRPr="000518C9" w:rsidRDefault="00000000" w:rsidP="000518C9">
      <w:pPr>
        <w:pStyle w:val="Compact"/>
        <w:numPr>
          <w:ilvl w:val="0"/>
          <w:numId w:val="2"/>
        </w:numPr>
        <w:jc w:val="both"/>
        <w:rPr>
          <w:rFonts w:ascii="Times New Roman" w:hAnsi="Times New Roman" w:cs="Times New Roman"/>
        </w:rPr>
      </w:pPr>
      <w:r w:rsidRPr="000518C9">
        <w:rPr>
          <w:rFonts w:ascii="Times New Roman" w:hAnsi="Times New Roman" w:cs="Times New Roman"/>
          <w:b/>
          <w:bCs/>
        </w:rPr>
        <w:t>The Target of Decarbonization Must Shift:</w:t>
      </w:r>
      <w:r w:rsidRPr="000518C9">
        <w:rPr>
          <w:rFonts w:ascii="Times New Roman" w:hAnsi="Times New Roman" w:cs="Times New Roman"/>
        </w:rPr>
        <w:t xml:space="preserve"> Corporate ESG mandates often target heavy formal industry. However, Model 2 proves formal industry is already decoupling via capital efficiency. Policy and capital must now pivot to address the macro-lock-in (Model 1): the informal economy, transport networks, and localized power grids where coal remains a survival mechanism.</w:t>
      </w:r>
    </w:p>
    <w:p w:rsidR="00F11502" w:rsidRPr="000518C9" w:rsidRDefault="00000000" w:rsidP="000518C9">
      <w:pPr>
        <w:pStyle w:val="Compact"/>
        <w:numPr>
          <w:ilvl w:val="0"/>
          <w:numId w:val="2"/>
        </w:numPr>
        <w:jc w:val="both"/>
        <w:rPr>
          <w:rFonts w:ascii="Times New Roman" w:hAnsi="Times New Roman" w:cs="Times New Roman"/>
        </w:rPr>
      </w:pPr>
      <w:r w:rsidRPr="000518C9">
        <w:rPr>
          <w:rFonts w:ascii="Times New Roman" w:hAnsi="Times New Roman" w:cs="Times New Roman"/>
          <w:b/>
          <w:bCs/>
        </w:rPr>
        <w:t>Capital Formation as Climate Action:</w:t>
      </w:r>
      <w:r w:rsidRPr="000518C9">
        <w:rPr>
          <w:rFonts w:ascii="Times New Roman" w:hAnsi="Times New Roman" w:cs="Times New Roman"/>
        </w:rPr>
        <w:t xml:space="preserve"> Since formal growth is entirely driven by Capital Formation rather than Coal, subsidizing green capital expenditures (Green CAPEX) will not harm industrial output. The economic anxiety that “moving away from coal will kill industrial growth” is mathematically unfounded for the formal sector.</w:t>
      </w:r>
    </w:p>
    <w:p w:rsidR="00F11502" w:rsidRPr="000518C9" w:rsidRDefault="00000000" w:rsidP="000518C9">
      <w:pPr>
        <w:pStyle w:val="Compact"/>
        <w:numPr>
          <w:ilvl w:val="0"/>
          <w:numId w:val="2"/>
        </w:numPr>
        <w:jc w:val="both"/>
        <w:rPr>
          <w:rFonts w:ascii="Times New Roman" w:hAnsi="Times New Roman" w:cs="Times New Roman"/>
        </w:rPr>
      </w:pPr>
      <w:r w:rsidRPr="000518C9">
        <w:rPr>
          <w:rFonts w:ascii="Times New Roman" w:hAnsi="Times New Roman" w:cs="Times New Roman"/>
          <w:b/>
          <w:bCs/>
        </w:rPr>
        <w:t>The Danger of Aggregate Shocks:</w:t>
      </w:r>
      <w:r w:rsidRPr="000518C9">
        <w:rPr>
          <w:rFonts w:ascii="Times New Roman" w:hAnsi="Times New Roman" w:cs="Times New Roman"/>
        </w:rPr>
        <w:t xml:space="preserve"> Because the aggregate economy corrects slowly to equilibrium (7.8% annually in Model 1), blunt-force phase-outs of coal will result in prolonged macroeconomic recession. Transition policies must be highly surgical, protecting the fragile aggregate tether while aggressively modernizing the capital base of the industrial core.</w:t>
      </w:r>
      <w:bookmarkEnd w:id="0"/>
      <w:bookmarkEnd w:id="7"/>
    </w:p>
    <w:sectPr w:rsidR="00F11502" w:rsidRPr="000518C9" w:rsidSect="000518C9">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Kalinga">
    <w:panose1 w:val="020B0502040204020203"/>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90A7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048EF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021200703">
    <w:abstractNumId w:val="0"/>
  </w:num>
  <w:num w:numId="2" w16cid:durableId="7745179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F11502"/>
    <w:rsid w:val="000518C9"/>
    <w:rsid w:val="00E61B35"/>
    <w:rsid w:val="00F11502"/>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0EF21"/>
  <w15:docId w15:val="{5113920B-70DB-F34A-9DC2-F89434C72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1133</Words>
  <Characters>6462</Characters>
  <Application>Microsoft Office Word</Application>
  <DocSecurity>0</DocSecurity>
  <Lines>53</Lines>
  <Paragraphs>15</Paragraphs>
  <ScaleCrop>false</ScaleCrop>
  <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Dual Metabolism of India: Macro-Lock-in vs. Industrial Decoupling</dc:title>
  <dc:creator>Anshuman Patnaik</dc:creator>
  <cp:keywords/>
  <cp:lastModifiedBy>Anshuman  Patnaik</cp:lastModifiedBy>
  <cp:revision>2</cp:revision>
  <dcterms:created xsi:type="dcterms:W3CDTF">2026-03-05T20:18:00Z</dcterms:created>
  <dcterms:modified xsi:type="dcterms:W3CDTF">2026-03-05T20:29:00Z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2026-03-06</vt:lpwstr>
  </property>
  <property fmtid="{D5CDD505-2E9C-101B-9397-08002B2CF9AE}" pid="3" name="output">
    <vt:lpwstr>word_document</vt:lpwstr>
  </property>
</Properties>
</file>