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Aranyabodh Annual Operating Cost Projection</w:t>
      </w:r>
    </w:p>
    <w:p>
      <w:pPr>
        <w:spacing w:line="264" w:lineRule="auto" w:after="160"/>
      </w:pPr>
      <w:r>
        <w:rPr>
          <w:b/>
          <w:sz w:val="26"/>
        </w:rPr>
        <w:t>November 2026 to October 2027</w:t>
      </w:r>
    </w:p>
    <w:p>
      <w:pPr>
        <w:spacing w:line="264" w:lineRule="auto" w:after="160"/>
      </w:pPr>
      <w:r>
        <w:rPr>
          <w:color w:val="595959"/>
          <w:sz w:val="18"/>
        </w:rPr>
        <w:t>Revised 17 October 2026  |  All amounts in INR  |  USD 1 = INR 100</w:t>
      </w:r>
    </w:p>
    <w:p>
      <w:pPr>
        <w:pStyle w:val="Heading1"/>
      </w:pPr>
      <w:r>
        <w:t>Executive summary</w:t>
      </w:r>
    </w:p>
    <w:p>
      <w:pPr>
        <w:spacing w:line="264" w:lineRule="auto" w:after="160"/>
      </w:pPr>
      <w:r>
        <w:rPr>
          <w:sz w:val="21"/>
        </w:rPr>
        <w:t>The recommended annual operating budget is INR 9.00 lakh for 1,000 registered users. Expected recurring expenditure is INR 7.54 lakh, including a provisional tax allowance. A 15% contingency and INR 10,000 for initial setup bring the calculated funding requirement to INR 8.77 lakh. The recommended budget leaves INR 23,059 in additional headroom.</w:t>
      </w:r>
    </w:p>
    <w:tbl>
      <w:tblPr>
        <w:tblW w:type="auto" w:w="0"/>
        <w:jc w:val="center"/>
        <w:tblLayout w:type="fixed"/>
        <w:tblLook w:firstColumn="1" w:firstRow="1" w:lastColumn="0" w:lastRow="0" w:noHBand="0" w:noVBand="1" w:val="04A0"/>
      </w:tblPr>
      <w:tblGrid>
        <w:gridCol w:w="7056"/>
        <w:gridCol w:w="2808"/>
      </w:tblGrid>
      <w:tr>
        <w:trPr>
          <w:tblHeader/>
          <w:cantSplit/>
        </w:trPr>
        <w:tc>
          <w:tcPr>
            <w:tcW w:type="dxa" w:w="7056"/>
            <w:vAlign w:val="center"/>
            <w:shd w:fill="263F50"/>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color w:val="FFFFFF"/>
                <w:sz w:val="20"/>
              </w:rPr>
              <w:t>Annual funding summary</w:t>
            </w:r>
          </w:p>
        </w:tc>
        <w:tc>
          <w:tcPr>
            <w:tcW w:type="dxa" w:w="2808"/>
            <w:vAlign w:val="center"/>
            <w:shd w:fill="263F50"/>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color w:val="FFFFFF"/>
                <w:sz w:val="20"/>
              </w:rPr>
              <w:t>INR</w:t>
            </w:r>
          </w:p>
        </w:tc>
      </w:tr>
      <w:tr>
        <w:trPr>
          <w:cantSplit/>
        </w:trPr>
        <w:tc>
          <w:tcPr>
            <w:tcW w:type="dxa" w:w="7056"/>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20"/>
              </w:rPr>
              <w:t>Recurring services and operating allowances before tax</w:t>
            </w:r>
          </w:p>
        </w:tc>
        <w:tc>
          <w:tcPr>
            <w:tcW w:type="dxa" w:w="2808"/>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20"/>
              </w:rPr>
              <w:t>6,38,866</w:t>
            </w:r>
          </w:p>
        </w:tc>
      </w:tr>
      <w:tr>
        <w:trPr>
          <w:cantSplit/>
        </w:trPr>
        <w:tc>
          <w:tcPr>
            <w:tcW w:type="dxa" w:w="705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20"/>
              </w:rPr>
              <w:t>Provisional tax allowance at 18%</w:t>
            </w:r>
          </w:p>
        </w:tc>
        <w:tc>
          <w:tcPr>
            <w:tcW w:type="dxa" w:w="2808"/>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20"/>
              </w:rPr>
              <w:t>1,14,996</w:t>
            </w:r>
          </w:p>
        </w:tc>
      </w:tr>
      <w:tr>
        <w:trPr>
          <w:cantSplit/>
        </w:trPr>
        <w:tc>
          <w:tcPr>
            <w:tcW w:type="dxa" w:w="7056"/>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20"/>
              </w:rPr>
              <w:t>Recurring expenditure including tax allowance</w:t>
            </w:r>
          </w:p>
        </w:tc>
        <w:tc>
          <w:tcPr>
            <w:tcW w:type="dxa" w:w="2808"/>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20"/>
              </w:rPr>
              <w:t>7,53,862</w:t>
            </w:r>
          </w:p>
        </w:tc>
      </w:tr>
      <w:tr>
        <w:trPr>
          <w:cantSplit/>
        </w:trPr>
        <w:tc>
          <w:tcPr>
            <w:tcW w:type="dxa" w:w="705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20"/>
              </w:rPr>
              <w:t>Contingency at 15%</w:t>
            </w:r>
          </w:p>
        </w:tc>
        <w:tc>
          <w:tcPr>
            <w:tcW w:type="dxa" w:w="2808"/>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20"/>
              </w:rPr>
              <w:t>1,13,079</w:t>
            </w:r>
          </w:p>
        </w:tc>
      </w:tr>
      <w:tr>
        <w:trPr>
          <w:cantSplit/>
        </w:trPr>
        <w:tc>
          <w:tcPr>
            <w:tcW w:type="dxa" w:w="7056"/>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20"/>
              </w:rPr>
              <w:t>Initial setup allowance</w:t>
            </w:r>
          </w:p>
        </w:tc>
        <w:tc>
          <w:tcPr>
            <w:tcW w:type="dxa" w:w="2808"/>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20"/>
              </w:rPr>
              <w:t>10,000</w:t>
            </w:r>
          </w:p>
        </w:tc>
      </w:tr>
      <w:tr>
        <w:trPr>
          <w:cantSplit/>
        </w:trPr>
        <w:tc>
          <w:tcPr>
            <w:tcW w:type="dxa" w:w="705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20"/>
              </w:rPr>
              <w:t>Funding required including contingency and setup</w:t>
            </w:r>
          </w:p>
        </w:tc>
        <w:tc>
          <w:tcPr>
            <w:tcW w:type="dxa" w:w="2808"/>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20"/>
              </w:rPr>
              <w:t>8,76,941</w:t>
            </w:r>
          </w:p>
        </w:tc>
      </w:tr>
      <w:tr>
        <w:trPr>
          <w:cantSplit/>
        </w:trPr>
        <w:tc>
          <w:tcPr>
            <w:tcW w:type="dxa" w:w="7056"/>
            <w:vAlign w:val="center"/>
            <w:shd w:fill="E5EBE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color w:val="000000"/>
                <w:sz w:val="20"/>
              </w:rPr>
              <w:t>Recommended annual allocation</w:t>
            </w:r>
          </w:p>
        </w:tc>
        <w:tc>
          <w:tcPr>
            <w:tcW w:type="dxa" w:w="2808"/>
            <w:vAlign w:val="center"/>
            <w:shd w:fill="E5EBE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color w:val="000000"/>
                <w:sz w:val="20"/>
              </w:rPr>
              <w:t>9,00,000</w:t>
            </w:r>
          </w:p>
        </w:tc>
      </w:tr>
    </w:tbl>
    <w:p>
      <w:pPr>
        <w:spacing w:after="160" w:line="264" w:lineRule="auto"/>
      </w:pPr>
      <w:r>
        <w:rPr>
          <w:sz w:val="21"/>
        </w:rPr>
      </w:r>
    </w:p>
    <w:p>
      <w:pPr>
        <w:pStyle w:val="Heading2"/>
      </w:pPr>
      <w:r>
        <w:t>Usage and planning assumptions</w:t>
      </w:r>
    </w:p>
    <w:tbl>
      <w:tblPr>
        <w:tblW w:type="auto" w:w="0"/>
        <w:jc w:val="center"/>
        <w:tblLayout w:type="fixed"/>
        <w:tblLook w:firstColumn="1" w:firstRow="1" w:lastColumn="0" w:lastRow="0" w:noHBand="0" w:noVBand="1" w:val="04A0"/>
      </w:tblPr>
      <w:tblGrid>
        <w:gridCol w:w="3456"/>
        <w:gridCol w:w="6408"/>
      </w:tblGrid>
      <w:tr>
        <w:trPr>
          <w:tblHeader/>
          <w:cantSplit/>
        </w:trPr>
        <w:tc>
          <w:tcPr>
            <w:tcW w:type="dxa" w:w="3456"/>
            <w:vAlign w:val="center"/>
            <w:shd w:fill="263F50"/>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color w:val="FFFFFF"/>
                <w:sz w:val="20"/>
              </w:rPr>
              <w:t>Planning input</w:t>
            </w:r>
          </w:p>
        </w:tc>
        <w:tc>
          <w:tcPr>
            <w:tcW w:type="dxa" w:w="6408"/>
            <w:vAlign w:val="center"/>
            <w:shd w:fill="263F50"/>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color w:val="FFFFFF"/>
                <w:sz w:val="20"/>
              </w:rPr>
              <w:t>Base assumption</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20"/>
              </w:rPr>
              <w:t>Registered users</w:t>
            </w:r>
          </w:p>
        </w:tc>
        <w:tc>
          <w:tcPr>
            <w:tcW w:type="dxa" w:w="6408"/>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20"/>
              </w:rPr>
              <w:t>1,000 forest department officers and commercial users</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20"/>
              </w:rPr>
              <w:t>Monthly active users</w:t>
            </w:r>
          </w:p>
        </w:tc>
        <w:tc>
          <w:tcPr>
            <w:tcW w:type="dxa" w:w="6408"/>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20"/>
              </w:rPr>
              <w:t>600 users</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20"/>
              </w:rPr>
              <w:t>Average daily active users</w:t>
            </w:r>
          </w:p>
        </w:tc>
        <w:tc>
          <w:tcPr>
            <w:tcW w:type="dxa" w:w="6408"/>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20"/>
              </w:rPr>
              <w:t>200 users</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20"/>
              </w:rPr>
              <w:t>Questions per active user daily</w:t>
            </w:r>
          </w:p>
        </w:tc>
        <w:tc>
          <w:tcPr>
            <w:tcW w:type="dxa" w:w="6408"/>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20"/>
              </w:rPr>
              <w:t>4.5 questions</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20"/>
              </w:rPr>
              <w:t>Question volume</w:t>
            </w:r>
          </w:p>
        </w:tc>
        <w:tc>
          <w:tcPr>
            <w:tcW w:type="dxa" w:w="6408"/>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20"/>
              </w:rPr>
              <w:t>27,000 in a 30-day month and 3,28,500 over the year</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20"/>
              </w:rPr>
              <w:t>Initial document library</w:t>
            </w:r>
          </w:p>
        </w:tc>
        <w:tc>
          <w:tcPr>
            <w:tcW w:type="dxa" w:w="6408"/>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20"/>
              </w:rPr>
              <w:t>500 documents averaging 20 pages each</w:t>
            </w:r>
          </w:p>
        </w:tc>
      </w:tr>
      <w:tr>
        <w:trPr>
          <w:cantSplit/>
        </w:trPr>
        <w:tc>
          <w:tcPr>
            <w:tcW w:type="dxa" w:w="3456"/>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20"/>
              </w:rPr>
              <w:t>Monthly document additions</w:t>
            </w:r>
          </w:p>
        </w:tc>
        <w:tc>
          <w:tcPr>
            <w:tcW w:type="dxa" w:w="6408"/>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20"/>
              </w:rPr>
              <w:t>100 documents averaging 20 pages each</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20"/>
              </w:rPr>
              <w:t>Exchange rate</w:t>
            </w:r>
          </w:p>
        </w:tc>
        <w:tc>
          <w:tcPr>
            <w:tcW w:type="dxa" w:w="6408"/>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20"/>
              </w:rPr>
              <w:t>INR 100 per USD across all USD-priced items</w:t>
            </w:r>
          </w:p>
        </w:tc>
      </w:tr>
    </w:tbl>
    <w:p>
      <w:pPr>
        <w:spacing w:after="160" w:line="264" w:lineRule="auto"/>
      </w:pPr>
      <w:r>
        <w:rPr>
          <w:sz w:val="21"/>
        </w:rPr>
      </w:r>
    </w:p>
    <w:p>
      <w:pPr>
        <w:spacing w:line="264" w:lineRule="auto" w:after="160"/>
      </w:pPr>
      <w:r>
        <w:rPr>
          <w:sz w:val="21"/>
        </w:rPr>
        <w:t>The forecast assumes 600 monthly active users, each using the app on about 10 days in a typical month. This gives an average of 200 daily active users. These assumptions suit an intermittently used reference tool and should be checked against actual usage. The user base remains constant, and monthly volumes follow the calendar.</w:t>
      </w:r>
    </w:p>
    <w:p>
      <w:pPr>
        <w:spacing w:line="264" w:lineRule="auto" w:after="160"/>
      </w:pPr>
      <w:r>
        <w:rPr>
          <w:sz w:val="21"/>
        </w:rPr>
        <w:t>The budget covers infrastructure, AI APIs, storage, backups, messaging, monitoring and business subscriptions. It excludes development, maintenance labour, salaries, manual document review and sales labour. Subscription revenue is not deducted from operating costs.</w:t>
      </w:r>
    </w:p>
    <w:p>
      <w:r>
        <w:br w:type="page"/>
      </w:r>
    </w:p>
    <w:p>
      <w:pPr>
        <w:pStyle w:val="Heading1"/>
      </w:pPr>
      <w:r>
        <w:t>1 Operating cost breakdown</w:t>
      </w:r>
    </w:p>
    <w:p>
      <w:pPr>
        <w:spacing w:line="264" w:lineRule="auto" w:after="160"/>
      </w:pPr>
      <w:r>
        <w:rPr>
          <w:sz w:val="21"/>
        </w:rPr>
        <w:t>The monthly comparison uses 30 days; the annual total uses actual calendar days. Amounts are before the provisional tax allowance. USD-priced services use INR 100 per USD, while fixed rupee allowances remain unchanged.</w:t>
      </w:r>
    </w:p>
    <w:tbl>
      <w:tblPr>
        <w:tblW w:type="auto" w:w="0"/>
        <w:jc w:val="center"/>
        <w:tblLayout w:type="fixed"/>
        <w:tblLook w:firstColumn="1" w:firstRow="1" w:lastColumn="0" w:lastRow="0" w:noHBand="0" w:noVBand="1" w:val="04A0"/>
      </w:tblPr>
      <w:tblGrid>
        <w:gridCol w:w="4752"/>
        <w:gridCol w:w="1656"/>
        <w:gridCol w:w="1656"/>
        <w:gridCol w:w="1800"/>
      </w:tblGrid>
      <w:tr>
        <w:trPr>
          <w:tblHeader/>
          <w:cantSplit/>
        </w:trPr>
        <w:tc>
          <w:tcPr>
            <w:tcW w:type="dxa" w:w="4752"/>
            <w:vAlign w:val="center"/>
            <w:shd w:fill="263F50"/>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color w:val="FFFFFF"/>
                <w:sz w:val="19"/>
              </w:rPr>
              <w:t>Cost category</w:t>
            </w:r>
          </w:p>
        </w:tc>
        <w:tc>
          <w:tcPr>
            <w:tcW w:type="dxa" w:w="1656"/>
            <w:vAlign w:val="center"/>
            <w:shd w:fill="263F50"/>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color w:val="FFFFFF"/>
                <w:sz w:val="19"/>
              </w:rPr>
              <w:t>Nov Dec 2026</w:t>
            </w:r>
          </w:p>
        </w:tc>
        <w:tc>
          <w:tcPr>
            <w:tcW w:type="dxa" w:w="1656"/>
            <w:vAlign w:val="center"/>
            <w:shd w:fill="263F50"/>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color w:val="FFFFFF"/>
                <w:sz w:val="19"/>
              </w:rPr>
              <w:t>Jan Oct 2027</w:t>
            </w:r>
          </w:p>
        </w:tc>
        <w:tc>
          <w:tcPr>
            <w:tcW w:type="dxa" w:w="1800"/>
            <w:vAlign w:val="center"/>
            <w:shd w:fill="263F50"/>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color w:val="FFFFFF"/>
                <w:sz w:val="19"/>
              </w:rPr>
              <w:t>Annual total</w:t>
            </w:r>
          </w:p>
        </w:tc>
      </w:tr>
      <w:tr>
        <w:trPr>
          <w:cantSplit/>
        </w:trPr>
        <w:tc>
          <w:tcPr>
            <w:tcW w:type="dxa" w:w="4752"/>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19"/>
              </w:rPr>
              <w:t>AI generation</w:t>
            </w:r>
          </w:p>
        </w:tc>
        <w:tc>
          <w:tcPr>
            <w:tcW w:type="dxa" w:w="1656"/>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23,100</w:t>
            </w:r>
          </w:p>
        </w:tc>
        <w:tc>
          <w:tcPr>
            <w:tcW w:type="dxa" w:w="1656"/>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42,158</w:t>
            </w:r>
          </w:p>
        </w:tc>
        <w:tc>
          <w:tcPr>
            <w:tcW w:type="dxa" w:w="1800"/>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4,74,166</w:t>
            </w:r>
          </w:p>
        </w:tc>
      </w:tr>
      <w:tr>
        <w:trPr>
          <w:cantSplit/>
        </w:trPr>
        <w:tc>
          <w:tcPr>
            <w:tcW w:type="dxa" w:w="4752"/>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19"/>
              </w:rPr>
              <w:t>Main app service including document processing</w:t>
            </w:r>
          </w:p>
        </w:tc>
        <w:tc>
          <w:tcPr>
            <w:tcW w:type="dxa" w:w="165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2,500</w:t>
            </w:r>
          </w:p>
        </w:tc>
        <w:tc>
          <w:tcPr>
            <w:tcW w:type="dxa" w:w="165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2,500</w:t>
            </w:r>
          </w:p>
        </w:tc>
        <w:tc>
          <w:tcPr>
            <w:tcW w:type="dxa" w:w="1800"/>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30,000</w:t>
            </w:r>
          </w:p>
        </w:tc>
      </w:tr>
      <w:tr>
        <w:trPr>
          <w:cantSplit/>
        </w:trPr>
        <w:tc>
          <w:tcPr>
            <w:tcW w:type="dxa" w:w="4752"/>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19"/>
              </w:rPr>
              <w:t>Supabase Pro and Small compute</w:t>
            </w:r>
          </w:p>
        </w:tc>
        <w:tc>
          <w:tcPr>
            <w:tcW w:type="dxa" w:w="1656"/>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3,000</w:t>
            </w:r>
          </w:p>
        </w:tc>
        <w:tc>
          <w:tcPr>
            <w:tcW w:type="dxa" w:w="1656"/>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3,000</w:t>
            </w:r>
          </w:p>
        </w:tc>
        <w:tc>
          <w:tcPr>
            <w:tcW w:type="dxa" w:w="1800"/>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36,000</w:t>
            </w:r>
          </w:p>
        </w:tc>
      </w:tr>
      <w:tr>
        <w:trPr>
          <w:cantSplit/>
        </w:trPr>
        <w:tc>
          <w:tcPr>
            <w:tcW w:type="dxa" w:w="4752"/>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19"/>
              </w:rPr>
              <w:t>Redis Cloud at USD 6 monthly</w:t>
            </w:r>
          </w:p>
        </w:tc>
        <w:tc>
          <w:tcPr>
            <w:tcW w:type="dxa" w:w="165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600</w:t>
            </w:r>
          </w:p>
        </w:tc>
        <w:tc>
          <w:tcPr>
            <w:tcW w:type="dxa" w:w="165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600</w:t>
            </w:r>
          </w:p>
        </w:tc>
        <w:tc>
          <w:tcPr>
            <w:tcW w:type="dxa" w:w="1800"/>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7,200</w:t>
            </w:r>
          </w:p>
        </w:tc>
      </w:tr>
      <w:tr>
        <w:trPr>
          <w:cantSplit/>
        </w:trPr>
        <w:tc>
          <w:tcPr>
            <w:tcW w:type="dxa" w:w="4752"/>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19"/>
              </w:rPr>
              <w:t>Storage backups and bandwidth</w:t>
            </w:r>
          </w:p>
        </w:tc>
        <w:tc>
          <w:tcPr>
            <w:tcW w:type="dxa" w:w="1656"/>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1,000</w:t>
            </w:r>
          </w:p>
        </w:tc>
        <w:tc>
          <w:tcPr>
            <w:tcW w:type="dxa" w:w="1656"/>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1,000</w:t>
            </w:r>
          </w:p>
        </w:tc>
        <w:tc>
          <w:tcPr>
            <w:tcW w:type="dxa" w:w="1800"/>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12,000</w:t>
            </w:r>
          </w:p>
        </w:tc>
      </w:tr>
      <w:tr>
        <w:trPr>
          <w:cantSplit/>
        </w:trPr>
        <w:tc>
          <w:tcPr>
            <w:tcW w:type="dxa" w:w="4752"/>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19"/>
              </w:rPr>
              <w:t>Monitoring logging and error tracking</w:t>
            </w:r>
          </w:p>
        </w:tc>
        <w:tc>
          <w:tcPr>
            <w:tcW w:type="dxa" w:w="165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1,000</w:t>
            </w:r>
          </w:p>
        </w:tc>
        <w:tc>
          <w:tcPr>
            <w:tcW w:type="dxa" w:w="165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1,000</w:t>
            </w:r>
          </w:p>
        </w:tc>
        <w:tc>
          <w:tcPr>
            <w:tcW w:type="dxa" w:w="1800"/>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12,000</w:t>
            </w:r>
          </w:p>
        </w:tc>
      </w:tr>
      <w:tr>
        <w:trPr>
          <w:cantSplit/>
        </w:trPr>
        <w:tc>
          <w:tcPr>
            <w:tcW w:type="dxa" w:w="4752"/>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19"/>
              </w:rPr>
              <w:t>OCR and embeddings</w:t>
            </w:r>
          </w:p>
        </w:tc>
        <w:tc>
          <w:tcPr>
            <w:tcW w:type="dxa" w:w="1656"/>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500</w:t>
            </w:r>
          </w:p>
        </w:tc>
        <w:tc>
          <w:tcPr>
            <w:tcW w:type="dxa" w:w="1656"/>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500</w:t>
            </w:r>
          </w:p>
        </w:tc>
        <w:tc>
          <w:tcPr>
            <w:tcW w:type="dxa" w:w="1800"/>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6,000</w:t>
            </w:r>
          </w:p>
        </w:tc>
      </w:tr>
      <w:tr>
        <w:trPr>
          <w:cantSplit/>
        </w:trPr>
        <w:tc>
          <w:tcPr>
            <w:tcW w:type="dxa" w:w="4752"/>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19"/>
              </w:rPr>
              <w:t>Email SMS and WhatsApp</w:t>
            </w:r>
          </w:p>
        </w:tc>
        <w:tc>
          <w:tcPr>
            <w:tcW w:type="dxa" w:w="165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2,000</w:t>
            </w:r>
          </w:p>
        </w:tc>
        <w:tc>
          <w:tcPr>
            <w:tcW w:type="dxa" w:w="165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2,000</w:t>
            </w:r>
          </w:p>
        </w:tc>
        <w:tc>
          <w:tcPr>
            <w:tcW w:type="dxa" w:w="1800"/>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24,000</w:t>
            </w:r>
          </w:p>
        </w:tc>
      </w:tr>
      <w:tr>
        <w:trPr>
          <w:cantSplit/>
        </w:trPr>
        <w:tc>
          <w:tcPr>
            <w:tcW w:type="dxa" w:w="4752"/>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19"/>
              </w:rPr>
              <w:t>Domain renewal allocation</w:t>
            </w:r>
          </w:p>
        </w:tc>
        <w:tc>
          <w:tcPr>
            <w:tcW w:type="dxa" w:w="1656"/>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125</w:t>
            </w:r>
          </w:p>
        </w:tc>
        <w:tc>
          <w:tcPr>
            <w:tcW w:type="dxa" w:w="1656"/>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125</w:t>
            </w:r>
          </w:p>
        </w:tc>
        <w:tc>
          <w:tcPr>
            <w:tcW w:type="dxa" w:w="1800"/>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1,500</w:t>
            </w:r>
          </w:p>
        </w:tc>
      </w:tr>
      <w:tr>
        <w:trPr>
          <w:cantSplit/>
        </w:trPr>
        <w:tc>
          <w:tcPr>
            <w:tcW w:type="dxa" w:w="4752"/>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19"/>
              </w:rPr>
              <w:t>Business and support subscriptions</w:t>
            </w:r>
          </w:p>
        </w:tc>
        <w:tc>
          <w:tcPr>
            <w:tcW w:type="dxa" w:w="165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2,000</w:t>
            </w:r>
          </w:p>
        </w:tc>
        <w:tc>
          <w:tcPr>
            <w:tcW w:type="dxa" w:w="165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2,000</w:t>
            </w:r>
          </w:p>
        </w:tc>
        <w:tc>
          <w:tcPr>
            <w:tcW w:type="dxa" w:w="1800"/>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24,000</w:t>
            </w:r>
          </w:p>
        </w:tc>
      </w:tr>
      <w:tr>
        <w:trPr>
          <w:cantSplit/>
        </w:trPr>
        <w:tc>
          <w:tcPr>
            <w:tcW w:type="dxa" w:w="4752"/>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19"/>
              </w:rPr>
              <w:t>Optional Jev provision</w:t>
            </w:r>
          </w:p>
        </w:tc>
        <w:tc>
          <w:tcPr>
            <w:tcW w:type="dxa" w:w="1656"/>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1,000</w:t>
            </w:r>
          </w:p>
        </w:tc>
        <w:tc>
          <w:tcPr>
            <w:tcW w:type="dxa" w:w="1656"/>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1,000</w:t>
            </w:r>
          </w:p>
        </w:tc>
        <w:tc>
          <w:tcPr>
            <w:tcW w:type="dxa" w:w="1800"/>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12,000</w:t>
            </w:r>
          </w:p>
        </w:tc>
      </w:tr>
      <w:tr>
        <w:trPr>
          <w:cantSplit/>
        </w:trPr>
        <w:tc>
          <w:tcPr>
            <w:tcW w:type="dxa" w:w="4752"/>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19"/>
              </w:rPr>
              <w:t>Static frontend DNS CDN and TLS</w:t>
            </w:r>
          </w:p>
        </w:tc>
        <w:tc>
          <w:tcPr>
            <w:tcW w:type="dxa" w:w="165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0</w:t>
            </w:r>
          </w:p>
        </w:tc>
        <w:tc>
          <w:tcPr>
            <w:tcW w:type="dxa" w:w="165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0</w:t>
            </w:r>
          </w:p>
        </w:tc>
        <w:tc>
          <w:tcPr>
            <w:tcW w:type="dxa" w:w="1800"/>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0</w:t>
            </w:r>
          </w:p>
        </w:tc>
      </w:tr>
      <w:tr>
        <w:trPr>
          <w:cantSplit/>
        </w:trPr>
        <w:tc>
          <w:tcPr>
            <w:tcW w:type="dxa" w:w="4752"/>
            <w:vAlign w:val="center"/>
            <w:shd w:fill="E5EBE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color w:val="000000"/>
                <w:sz w:val="19"/>
              </w:rPr>
              <w:t>Operating subtotal</w:t>
            </w:r>
          </w:p>
        </w:tc>
        <w:tc>
          <w:tcPr>
            <w:tcW w:type="dxa" w:w="1656"/>
            <w:vAlign w:val="center"/>
            <w:shd w:fill="E5EBE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color w:val="000000"/>
                <w:sz w:val="19"/>
              </w:rPr>
              <w:t>36,825</w:t>
            </w:r>
          </w:p>
        </w:tc>
        <w:tc>
          <w:tcPr>
            <w:tcW w:type="dxa" w:w="1656"/>
            <w:vAlign w:val="center"/>
            <w:shd w:fill="E5EBE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color w:val="000000"/>
                <w:sz w:val="19"/>
              </w:rPr>
              <w:t>55,883</w:t>
            </w:r>
          </w:p>
        </w:tc>
        <w:tc>
          <w:tcPr>
            <w:tcW w:type="dxa" w:w="1800"/>
            <w:vAlign w:val="center"/>
            <w:shd w:fill="E5EBE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color w:val="000000"/>
                <w:sz w:val="19"/>
              </w:rPr>
              <w:t>6,38,866</w:t>
            </w:r>
          </w:p>
        </w:tc>
      </w:tr>
    </w:tbl>
    <w:p>
      <w:pPr>
        <w:spacing w:after="160" w:line="264" w:lineRule="auto"/>
      </w:pPr>
      <w:r>
        <w:rPr>
          <w:sz w:val="21"/>
        </w:rPr>
      </w:r>
    </w:p>
    <w:p>
      <w:pPr>
        <w:pStyle w:val="Heading2"/>
      </w:pPr>
      <w:r>
        <w:t>Hosting and document processing</w:t>
      </w:r>
    </w:p>
    <w:p>
      <w:pPr>
        <w:spacing w:line="264" w:lineRule="auto" w:after="160"/>
      </w:pPr>
      <w:r>
        <w:rPr>
          <w:sz w:val="21"/>
        </w:rPr>
        <w:t>The main app service is budgeted at USD 25 per month. The API and document-processing worker share this allocation, whether they run in one container or separate containers on the same VM. The budget assumes enough CPU and memory for both. An additional paid instance would increase hosting costs.</w:t>
      </w:r>
    </w:p>
    <w:p>
      <w:pPr>
        <w:spacing w:line="264" w:lineRule="auto" w:after="160"/>
      </w:pPr>
      <w:r>
        <w:rPr>
          <w:sz w:val="21"/>
        </w:rPr>
        <w:t>Supabase costs USD 30 per month: USD 25 for Pro, plus USD 15 for Small compute, less the USD 10 compute credit. Redis Cloud is budgeted at USD 6 per month. Database usage is assumed to remain within the included disk and transfer limits.</w:t>
      </w:r>
    </w:p>
    <w:p>
      <w:pPr>
        <w:pStyle w:val="Heading2"/>
      </w:pPr>
      <w:r>
        <w:t>Operating allowances</w:t>
      </w:r>
    </w:p>
    <w:p>
      <w:pPr>
        <w:spacing w:line="264" w:lineRule="auto" w:after="160"/>
      </w:pPr>
      <w:r>
        <w:rPr>
          <w:sz w:val="21"/>
        </w:rPr>
        <w:t>A single INR 1,000 monthly allowance covers monitoring, logging, error tracking and uptime checks. Included platform features should be used first; this allowance covers any gaps or overages.</w:t>
      </w:r>
    </w:p>
    <w:p>
      <w:pPr>
        <w:spacing w:line="264" w:lineRule="auto" w:after="160"/>
      </w:pPr>
      <w:r>
        <w:rPr>
          <w:sz w:val="21"/>
        </w:rPr>
        <w:t>Storage allows for about 100 GB of originals and backup copies. Messaging assumes 1,000 SMS, 4,000 WhatsApp utility messages and 6,000 emails per month, including provider fees. A separate INR 2,000 allowance covers business email, billing and support tools. These amounts are spending limits rather than committed subscriptions.</w:t>
      </w:r>
    </w:p>
    <w:p>
      <w:pPr>
        <w:spacing w:line="264" w:lineRule="auto" w:after="160"/>
      </w:pPr>
      <w:r>
        <w:rPr>
          <w:sz w:val="21"/>
        </w:rPr>
        <w:t>Jev is optional and disabled by default. The INR 1,000 monthly provision allows for approximately INR 907 at 27,000 questions, assuming 8,000 decision-input tokens per question at USD 0.042 per million tokens. Gemini costs are not reduced to offset it. The provision remains unspent if Jev is not enabled.</w:t>
      </w:r>
    </w:p>
    <w:p>
      <w:r>
        <w:br w:type="page"/>
      </w:r>
    </w:p>
    <w:p>
      <w:pPr>
        <w:pStyle w:val="Heading1"/>
      </w:pPr>
      <w:r>
        <w:t>2 Basis of the AI estimate</w:t>
      </w:r>
    </w:p>
    <w:p>
      <w:pPr>
        <w:spacing w:line="264" w:lineRule="auto" w:after="160"/>
      </w:pPr>
      <w:r>
        <w:rPr>
          <w:sz w:val="21"/>
        </w:rPr>
        <w:t>Each question may require several model calls for rewriting, planning, answering and verification. The estimate includes these stages and billable reasoning tokens. It incorporates the announced January increase in Gemini Flash rates and holds other provider rates constant.</w:t>
      </w:r>
    </w:p>
    <w:tbl>
      <w:tblPr>
        <w:tblW w:type="auto" w:w="0"/>
        <w:jc w:val="center"/>
        <w:tblLayout w:type="fixed"/>
        <w:tblLook w:firstColumn="1" w:firstRow="1" w:lastColumn="0" w:lastRow="0" w:noHBand="0" w:noVBand="1" w:val="04A0"/>
      </w:tblPr>
      <w:tblGrid>
        <w:gridCol w:w="6696"/>
        <w:gridCol w:w="1584"/>
        <w:gridCol w:w="1584"/>
      </w:tblGrid>
      <w:tr>
        <w:trPr>
          <w:tblHeader/>
          <w:cantSplit/>
        </w:trPr>
        <w:tc>
          <w:tcPr>
            <w:tcW w:type="dxa" w:w="6696"/>
            <w:vAlign w:val="center"/>
            <w:shd w:fill="263F50"/>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color w:val="FFFFFF"/>
                <w:sz w:val="20"/>
              </w:rPr>
              <w:t>Model USD per million tokens</w:t>
            </w:r>
          </w:p>
        </w:tc>
        <w:tc>
          <w:tcPr>
            <w:tcW w:type="dxa" w:w="1584"/>
            <w:vAlign w:val="center"/>
            <w:shd w:fill="263F50"/>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color w:val="FFFFFF"/>
                <w:sz w:val="20"/>
              </w:rPr>
              <w:t>Input</w:t>
            </w:r>
          </w:p>
        </w:tc>
        <w:tc>
          <w:tcPr>
            <w:tcW w:type="dxa" w:w="1584"/>
            <w:vAlign w:val="center"/>
            <w:shd w:fill="263F50"/>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color w:val="FFFFFF"/>
                <w:sz w:val="20"/>
              </w:rPr>
              <w:t>Output</w:t>
            </w:r>
          </w:p>
        </w:tc>
      </w:tr>
      <w:tr>
        <w:trPr>
          <w:cantSplit/>
        </w:trPr>
        <w:tc>
          <w:tcPr>
            <w:tcW w:type="dxa" w:w="6696"/>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20"/>
              </w:rPr>
              <w:t>Gemini 3.5 Flash Lite throughout the year</w:t>
            </w:r>
          </w:p>
        </w:tc>
        <w:tc>
          <w:tcPr>
            <w:tcW w:type="dxa" w:w="1584"/>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20"/>
              </w:rPr>
              <w:t>0.30</w:t>
            </w:r>
          </w:p>
        </w:tc>
        <w:tc>
          <w:tcPr>
            <w:tcW w:type="dxa" w:w="1584"/>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20"/>
              </w:rPr>
              <w:t>2.50</w:t>
            </w:r>
          </w:p>
        </w:tc>
      </w:tr>
      <w:tr>
        <w:trPr>
          <w:cantSplit/>
        </w:trPr>
        <w:tc>
          <w:tcPr>
            <w:tcW w:type="dxa" w:w="669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20"/>
              </w:rPr>
              <w:t>Gemini 3.8 Flash through December 2026</w:t>
            </w:r>
          </w:p>
        </w:tc>
        <w:tc>
          <w:tcPr>
            <w:tcW w:type="dxa" w:w="158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20"/>
              </w:rPr>
              <w:t>0.75</w:t>
            </w:r>
          </w:p>
        </w:tc>
        <w:tc>
          <w:tcPr>
            <w:tcW w:type="dxa" w:w="158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20"/>
              </w:rPr>
              <w:t>3.75</w:t>
            </w:r>
          </w:p>
        </w:tc>
      </w:tr>
      <w:tr>
        <w:trPr>
          <w:cantSplit/>
        </w:trPr>
        <w:tc>
          <w:tcPr>
            <w:tcW w:type="dxa" w:w="6696"/>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20"/>
              </w:rPr>
              <w:t>Gemini 3.8 Flash from January 2027</w:t>
            </w:r>
          </w:p>
        </w:tc>
        <w:tc>
          <w:tcPr>
            <w:tcW w:type="dxa" w:w="1584"/>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20"/>
              </w:rPr>
              <w:t>1.50</w:t>
            </w:r>
          </w:p>
        </w:tc>
        <w:tc>
          <w:tcPr>
            <w:tcW w:type="dxa" w:w="1584"/>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20"/>
              </w:rPr>
              <w:t>7.50</w:t>
            </w:r>
          </w:p>
        </w:tc>
      </w:tr>
    </w:tbl>
    <w:p>
      <w:pPr>
        <w:spacing w:after="160" w:line="264" w:lineRule="auto"/>
      </w:pPr>
      <w:r>
        <w:rPr>
          <w:sz w:val="21"/>
        </w:rPr>
      </w:r>
    </w:p>
    <w:tbl>
      <w:tblPr>
        <w:tblW w:type="auto" w:w="0"/>
        <w:jc w:val="center"/>
        <w:tblLayout w:type="fixed"/>
        <w:tblLook w:firstColumn="1" w:firstRow="1" w:lastColumn="0" w:lastRow="0" w:noHBand="0" w:noVBand="1" w:val="04A0"/>
      </w:tblPr>
      <w:tblGrid>
        <w:gridCol w:w="3384"/>
        <w:gridCol w:w="1440"/>
        <w:gridCol w:w="2520"/>
        <w:gridCol w:w="2520"/>
      </w:tblGrid>
      <w:tr>
        <w:trPr>
          <w:tblHeader/>
          <w:cantSplit/>
        </w:trPr>
        <w:tc>
          <w:tcPr>
            <w:tcW w:type="dxa" w:w="3384"/>
            <w:vAlign w:val="center"/>
            <w:shd w:fill="263F50"/>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color w:val="FFFFFF"/>
                <w:sz w:val="20"/>
              </w:rPr>
              <w:t>Question class</w:t>
            </w:r>
          </w:p>
        </w:tc>
        <w:tc>
          <w:tcPr>
            <w:tcW w:type="dxa" w:w="1440"/>
            <w:vAlign w:val="center"/>
            <w:shd w:fill="263F50"/>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color w:val="FFFFFF"/>
                <w:sz w:val="20"/>
              </w:rPr>
              <w:t>Share</w:t>
            </w:r>
          </w:p>
        </w:tc>
        <w:tc>
          <w:tcPr>
            <w:tcW w:type="dxa" w:w="2520"/>
            <w:vAlign w:val="center"/>
            <w:shd w:fill="263F50"/>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color w:val="FFFFFF"/>
                <w:sz w:val="20"/>
              </w:rPr>
              <w:t>2026 INR</w:t>
            </w:r>
          </w:p>
        </w:tc>
        <w:tc>
          <w:tcPr>
            <w:tcW w:type="dxa" w:w="2520"/>
            <w:vAlign w:val="center"/>
            <w:shd w:fill="263F50"/>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color w:val="FFFFFF"/>
                <w:sz w:val="20"/>
              </w:rPr>
              <w:t>2027 INR</w:t>
            </w:r>
          </w:p>
        </w:tc>
      </w:tr>
      <w:tr>
        <w:trPr>
          <w:cantSplit/>
        </w:trPr>
        <w:tc>
          <w:tcPr>
            <w:tcW w:type="dxa" w:w="3384"/>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20"/>
              </w:rPr>
              <w:t>Simple</w:t>
            </w:r>
          </w:p>
        </w:tc>
        <w:tc>
          <w:tcPr>
            <w:tcW w:type="dxa" w:w="1440"/>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20"/>
              </w:rPr>
              <w:t>25%</w:t>
            </w:r>
          </w:p>
        </w:tc>
        <w:tc>
          <w:tcPr>
            <w:tcW w:type="dxa" w:w="2520"/>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20"/>
              </w:rPr>
              <w:t>0.1111</w:t>
            </w:r>
          </w:p>
        </w:tc>
        <w:tc>
          <w:tcPr>
            <w:tcW w:type="dxa" w:w="2520"/>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20"/>
              </w:rPr>
              <w:t>0.1111</w:t>
            </w:r>
          </w:p>
        </w:tc>
      </w:tr>
      <w:tr>
        <w:trPr>
          <w:cantSplit/>
        </w:trPr>
        <w:tc>
          <w:tcPr>
            <w:tcW w:type="dxa" w:w="338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20"/>
              </w:rPr>
              <w:t>Procedural</w:t>
            </w:r>
          </w:p>
        </w:tc>
        <w:tc>
          <w:tcPr>
            <w:tcW w:type="dxa" w:w="1440"/>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20"/>
              </w:rPr>
              <w:t>50%</w:t>
            </w:r>
          </w:p>
        </w:tc>
        <w:tc>
          <w:tcPr>
            <w:tcW w:type="dxa" w:w="2520"/>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20"/>
              </w:rPr>
              <w:t>0.6667</w:t>
            </w:r>
          </w:p>
        </w:tc>
        <w:tc>
          <w:tcPr>
            <w:tcW w:type="dxa" w:w="2520"/>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20"/>
              </w:rPr>
              <w:t>1.2000</w:t>
            </w:r>
          </w:p>
        </w:tc>
      </w:tr>
      <w:tr>
        <w:trPr>
          <w:cantSplit/>
        </w:trPr>
        <w:tc>
          <w:tcPr>
            <w:tcW w:type="dxa" w:w="3384"/>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20"/>
              </w:rPr>
              <w:t>Complex</w:t>
            </w:r>
          </w:p>
        </w:tc>
        <w:tc>
          <w:tcPr>
            <w:tcW w:type="dxa" w:w="1440"/>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20"/>
              </w:rPr>
              <w:t>25%</w:t>
            </w:r>
          </w:p>
        </w:tc>
        <w:tc>
          <w:tcPr>
            <w:tcW w:type="dxa" w:w="2520"/>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20"/>
              </w:rPr>
              <w:t>1.6667</w:t>
            </w:r>
          </w:p>
        </w:tc>
        <w:tc>
          <w:tcPr>
            <w:tcW w:type="dxa" w:w="2520"/>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20"/>
              </w:rPr>
              <w:t>3.1667</w:t>
            </w:r>
          </w:p>
        </w:tc>
      </w:tr>
    </w:tbl>
    <w:p>
      <w:pPr>
        <w:spacing w:after="160" w:line="264" w:lineRule="auto"/>
      </w:pPr>
      <w:r>
        <w:rPr>
          <w:sz w:val="21"/>
        </w:rPr>
      </w:r>
    </w:p>
    <w:p>
      <w:pPr>
        <w:spacing w:line="264" w:lineRule="auto" w:after="160"/>
      </w:pPr>
      <w:r>
        <w:rPr>
          <w:sz w:val="21"/>
        </w:rPr>
        <w:t>The table estimates generation costs before recovery attempts, using INR 100 per USD. Simple questions use Flash Lite. Flash is assumed to account for 80% of procedural costs and 90% of complex-question costs; those components double in January. The class mix and costs are planning estimates informed by selected project evaluations and should be validated against live traffic.</w:t>
      </w:r>
    </w:p>
    <w:p>
      <w:pPr>
        <w:pStyle w:val="Heading2"/>
      </w:pPr>
      <w:r>
        <w:t>Calculation method</w:t>
      </w:r>
    </w:p>
    <w:p>
      <w:pPr>
        <w:spacing w:line="264" w:lineRule="auto" w:after="160"/>
      </w:pPr>
      <w:r>
        <w:rPr>
          <w:sz w:val="21"/>
        </w:rPr>
        <w:t>The weighted question cost includes a single 10% allowance for recovery attempts. This gives INR 0.85556 per question through December 2026 and INR 1.56139 from January 2027, before tax.</w:t>
      </w:r>
    </w:p>
    <w:p>
      <w:pPr>
        <w:spacing w:line="264" w:lineRule="auto" w:after="160"/>
      </w:pPr>
      <w:r>
        <w:rPr>
          <w:sz w:val="21"/>
        </w:rPr>
        <w:t>A typical month produces 27,000 questions: 200 daily active users × 4.5 questions × 30 days. Estimated generation cost is INR 23,100 through December and INR 42,158 from January. No caching, batch or promotional discounts are assumed.</w:t>
      </w:r>
    </w:p>
    <w:p>
      <w:pPr>
        <w:pStyle w:val="Heading2"/>
      </w:pPr>
      <w:r>
        <w:t>OCR and embeddings</w:t>
      </w:r>
    </w:p>
    <w:p>
      <w:pPr>
        <w:spacing w:line="264" w:lineRule="auto" w:after="160"/>
      </w:pPr>
      <w:r>
        <w:rPr>
          <w:sz w:val="21"/>
        </w:rPr>
        <w:t>Half of the 2,000 new pages added each month are assumed to require optical character recognition (OCR). Text indexing allows 600 tokens per page and 20% chunk overlap, or 1.44 million document tokens. Query embeddings allow 200 input tokens per question.</w:t>
      </w:r>
    </w:p>
    <w:p>
      <w:pPr>
        <w:spacing w:line="264" w:lineRule="auto" w:after="160"/>
      </w:pPr>
      <w:r>
        <w:rPr>
          <w:sz w:val="21"/>
        </w:rPr>
        <w:t>At INR 100 per USD, a typical month costs about INR 150 for OCR, INR 29 for document embeddings and INR 108 for query embeddings. The combined INR 287 fits within the INR 500 allowance. Rates are USD 1.50 per 1,000 OCR pages and USD 0.20 per million text-embedding tokens; OCR free allowances are not deducted.</w:t>
      </w:r>
    </w:p>
    <w:p>
      <w:pPr>
        <w:pStyle w:val="Heading2"/>
      </w:pPr>
      <w:r>
        <w:t>Tax and contingency</w:t>
      </w:r>
    </w:p>
    <w:p>
      <w:pPr>
        <w:spacing w:line="264" w:lineRule="auto" w:after="160"/>
      </w:pPr>
      <w:r>
        <w:rPr>
          <w:sz w:val="21"/>
        </w:rPr>
        <w:t>An 18% tax allowance is applied to the operating subtotal without deducting possible input credits. Actual tax treatment will follow supplier invoices. Contingency is 15% of recurring expenditure including this allowance. It covers currency movement, overages and estimation uncertainty and is held as a reserve.</w:t>
      </w:r>
    </w:p>
    <w:p>
      <w:r>
        <w:br w:type="page"/>
      </w:r>
    </w:p>
    <w:p>
      <w:pPr>
        <w:pStyle w:val="Heading1"/>
      </w:pPr>
      <w:r>
        <w:t>3 Monthly expenditure and funding</w:t>
      </w:r>
    </w:p>
    <w:p>
      <w:pPr>
        <w:spacing w:line="264" w:lineRule="auto" w:after="160"/>
      </w:pPr>
      <w:r>
        <w:rPr>
          <w:sz w:val="21"/>
        </w:rPr>
        <w:t>The projection runs from 1 November 2026 to 31 October 2027. Other recurring costs are INR 13,725 per month. Expenditure includes the provisional tax allowance and excludes contingency and initial setup. All monetary columns are in INR.</w:t>
      </w:r>
    </w:p>
    <w:tbl>
      <w:tblPr>
        <w:tblW w:type="auto" w:w="0"/>
        <w:jc w:val="center"/>
        <w:tblLayout w:type="fixed"/>
        <w:tblLook w:firstColumn="1" w:firstRow="1" w:lastColumn="0" w:lastRow="0" w:noHBand="0" w:noVBand="1" w:val="04A0"/>
      </w:tblPr>
      <w:tblGrid>
        <w:gridCol w:w="1584"/>
        <w:gridCol w:w="1584"/>
        <w:gridCol w:w="1656"/>
        <w:gridCol w:w="1656"/>
        <w:gridCol w:w="1584"/>
        <w:gridCol w:w="1656"/>
      </w:tblGrid>
      <w:tr>
        <w:trPr>
          <w:tblHeader/>
          <w:cantSplit/>
        </w:trPr>
        <w:tc>
          <w:tcPr>
            <w:tcW w:type="dxa" w:w="1584"/>
            <w:vAlign w:val="center"/>
            <w:shd w:fill="263F50"/>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color w:val="FFFFFF"/>
                <w:sz w:val="19"/>
              </w:rPr>
              <w:t>Month</w:t>
            </w:r>
          </w:p>
        </w:tc>
        <w:tc>
          <w:tcPr>
            <w:tcW w:type="dxa" w:w="1584"/>
            <w:vAlign w:val="center"/>
            <w:shd w:fill="263F50"/>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color w:val="FFFFFF"/>
                <w:sz w:val="19"/>
              </w:rPr>
              <w:t>Questions</w:t>
            </w:r>
          </w:p>
        </w:tc>
        <w:tc>
          <w:tcPr>
            <w:tcW w:type="dxa" w:w="1656"/>
            <w:vAlign w:val="center"/>
            <w:shd w:fill="263F50"/>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color w:val="FFFFFF"/>
                <w:sz w:val="19"/>
              </w:rPr>
              <w:t>AI cost</w:t>
            </w:r>
          </w:p>
        </w:tc>
        <w:tc>
          <w:tcPr>
            <w:tcW w:type="dxa" w:w="1656"/>
            <w:vAlign w:val="center"/>
            <w:shd w:fill="263F50"/>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color w:val="FFFFFF"/>
                <w:sz w:val="19"/>
              </w:rPr>
              <w:t>Other costs</w:t>
            </w:r>
          </w:p>
        </w:tc>
        <w:tc>
          <w:tcPr>
            <w:tcW w:type="dxa" w:w="1584"/>
            <w:vAlign w:val="center"/>
            <w:shd w:fill="263F50"/>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color w:val="FFFFFF"/>
                <w:sz w:val="19"/>
              </w:rPr>
              <w:t>Tax</w:t>
            </w:r>
          </w:p>
        </w:tc>
        <w:tc>
          <w:tcPr>
            <w:tcW w:type="dxa" w:w="1656"/>
            <w:vAlign w:val="center"/>
            <w:shd w:fill="263F50"/>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color w:val="FFFFFF"/>
                <w:sz w:val="19"/>
              </w:rPr>
              <w:t>Expenditure</w:t>
            </w:r>
          </w:p>
        </w:tc>
      </w:tr>
      <w:tr>
        <w:trPr>
          <w:cantSplit/>
        </w:trPr>
        <w:tc>
          <w:tcPr>
            <w:tcW w:type="dxa" w:w="1584"/>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19"/>
              </w:rPr>
              <w:t>Nov 2026</w:t>
            </w:r>
          </w:p>
        </w:tc>
        <w:tc>
          <w:tcPr>
            <w:tcW w:type="dxa" w:w="1584"/>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27,000</w:t>
            </w:r>
          </w:p>
        </w:tc>
        <w:tc>
          <w:tcPr>
            <w:tcW w:type="dxa" w:w="1656"/>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23,100</w:t>
            </w:r>
          </w:p>
        </w:tc>
        <w:tc>
          <w:tcPr>
            <w:tcW w:type="dxa" w:w="1656"/>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13,725</w:t>
            </w:r>
          </w:p>
        </w:tc>
        <w:tc>
          <w:tcPr>
            <w:tcW w:type="dxa" w:w="1584"/>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6,629</w:t>
            </w:r>
          </w:p>
        </w:tc>
        <w:tc>
          <w:tcPr>
            <w:tcW w:type="dxa" w:w="1656"/>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43,454</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19"/>
              </w:rPr>
              <w:t>Dec 2026</w:t>
            </w:r>
          </w:p>
        </w:tc>
        <w:tc>
          <w:tcPr>
            <w:tcW w:type="dxa" w:w="158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27,900</w:t>
            </w:r>
          </w:p>
        </w:tc>
        <w:tc>
          <w:tcPr>
            <w:tcW w:type="dxa" w:w="165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23,870</w:t>
            </w:r>
          </w:p>
        </w:tc>
        <w:tc>
          <w:tcPr>
            <w:tcW w:type="dxa" w:w="165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13,725</w:t>
            </w:r>
          </w:p>
        </w:tc>
        <w:tc>
          <w:tcPr>
            <w:tcW w:type="dxa" w:w="158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6,767</w:t>
            </w:r>
          </w:p>
        </w:tc>
        <w:tc>
          <w:tcPr>
            <w:tcW w:type="dxa" w:w="165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44,362</w:t>
            </w:r>
          </w:p>
        </w:tc>
      </w:tr>
      <w:tr>
        <w:trPr>
          <w:cantSplit/>
        </w:trPr>
        <w:tc>
          <w:tcPr>
            <w:tcW w:type="dxa" w:w="1584"/>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19"/>
              </w:rPr>
              <w:t>Jan 2027</w:t>
            </w:r>
          </w:p>
        </w:tc>
        <w:tc>
          <w:tcPr>
            <w:tcW w:type="dxa" w:w="1584"/>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27,900</w:t>
            </w:r>
          </w:p>
        </w:tc>
        <w:tc>
          <w:tcPr>
            <w:tcW w:type="dxa" w:w="1656"/>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43,563</w:t>
            </w:r>
          </w:p>
        </w:tc>
        <w:tc>
          <w:tcPr>
            <w:tcW w:type="dxa" w:w="1656"/>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13,725</w:t>
            </w:r>
          </w:p>
        </w:tc>
        <w:tc>
          <w:tcPr>
            <w:tcW w:type="dxa" w:w="1584"/>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10,312</w:t>
            </w:r>
          </w:p>
        </w:tc>
        <w:tc>
          <w:tcPr>
            <w:tcW w:type="dxa" w:w="1656"/>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67,600</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19"/>
              </w:rPr>
              <w:t>Feb 2027</w:t>
            </w:r>
          </w:p>
        </w:tc>
        <w:tc>
          <w:tcPr>
            <w:tcW w:type="dxa" w:w="158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25,200</w:t>
            </w:r>
          </w:p>
        </w:tc>
        <w:tc>
          <w:tcPr>
            <w:tcW w:type="dxa" w:w="165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39,347</w:t>
            </w:r>
          </w:p>
        </w:tc>
        <w:tc>
          <w:tcPr>
            <w:tcW w:type="dxa" w:w="165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13,725</w:t>
            </w:r>
          </w:p>
        </w:tc>
        <w:tc>
          <w:tcPr>
            <w:tcW w:type="dxa" w:w="158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9,553</w:t>
            </w:r>
          </w:p>
        </w:tc>
        <w:tc>
          <w:tcPr>
            <w:tcW w:type="dxa" w:w="165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62,625</w:t>
            </w:r>
          </w:p>
        </w:tc>
      </w:tr>
      <w:tr>
        <w:trPr>
          <w:cantSplit/>
        </w:trPr>
        <w:tc>
          <w:tcPr>
            <w:tcW w:type="dxa" w:w="1584"/>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19"/>
              </w:rPr>
              <w:t>Mar 2027</w:t>
            </w:r>
          </w:p>
        </w:tc>
        <w:tc>
          <w:tcPr>
            <w:tcW w:type="dxa" w:w="1584"/>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27,900</w:t>
            </w:r>
          </w:p>
        </w:tc>
        <w:tc>
          <w:tcPr>
            <w:tcW w:type="dxa" w:w="1656"/>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43,563</w:t>
            </w:r>
          </w:p>
        </w:tc>
        <w:tc>
          <w:tcPr>
            <w:tcW w:type="dxa" w:w="1656"/>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13,725</w:t>
            </w:r>
          </w:p>
        </w:tc>
        <w:tc>
          <w:tcPr>
            <w:tcW w:type="dxa" w:w="1584"/>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10,312</w:t>
            </w:r>
          </w:p>
        </w:tc>
        <w:tc>
          <w:tcPr>
            <w:tcW w:type="dxa" w:w="1656"/>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67,600</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19"/>
              </w:rPr>
              <w:t>Apr 2027</w:t>
            </w:r>
          </w:p>
        </w:tc>
        <w:tc>
          <w:tcPr>
            <w:tcW w:type="dxa" w:w="158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27,000</w:t>
            </w:r>
          </w:p>
        </w:tc>
        <w:tc>
          <w:tcPr>
            <w:tcW w:type="dxa" w:w="165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42,158</w:t>
            </w:r>
          </w:p>
        </w:tc>
        <w:tc>
          <w:tcPr>
            <w:tcW w:type="dxa" w:w="165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13,725</w:t>
            </w:r>
          </w:p>
        </w:tc>
        <w:tc>
          <w:tcPr>
            <w:tcW w:type="dxa" w:w="158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10,059</w:t>
            </w:r>
          </w:p>
        </w:tc>
        <w:tc>
          <w:tcPr>
            <w:tcW w:type="dxa" w:w="165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65,941</w:t>
            </w:r>
          </w:p>
        </w:tc>
      </w:tr>
      <w:tr>
        <w:trPr>
          <w:cantSplit/>
        </w:trPr>
        <w:tc>
          <w:tcPr>
            <w:tcW w:type="dxa" w:w="1584"/>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19"/>
              </w:rPr>
              <w:t>May 2027</w:t>
            </w:r>
          </w:p>
        </w:tc>
        <w:tc>
          <w:tcPr>
            <w:tcW w:type="dxa" w:w="1584"/>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27,900</w:t>
            </w:r>
          </w:p>
        </w:tc>
        <w:tc>
          <w:tcPr>
            <w:tcW w:type="dxa" w:w="1656"/>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43,563</w:t>
            </w:r>
          </w:p>
        </w:tc>
        <w:tc>
          <w:tcPr>
            <w:tcW w:type="dxa" w:w="1656"/>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13,725</w:t>
            </w:r>
          </w:p>
        </w:tc>
        <w:tc>
          <w:tcPr>
            <w:tcW w:type="dxa" w:w="1584"/>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10,312</w:t>
            </w:r>
          </w:p>
        </w:tc>
        <w:tc>
          <w:tcPr>
            <w:tcW w:type="dxa" w:w="1656"/>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67,600</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19"/>
              </w:rPr>
              <w:t>Jun 2027</w:t>
            </w:r>
          </w:p>
        </w:tc>
        <w:tc>
          <w:tcPr>
            <w:tcW w:type="dxa" w:w="158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27,000</w:t>
            </w:r>
          </w:p>
        </w:tc>
        <w:tc>
          <w:tcPr>
            <w:tcW w:type="dxa" w:w="165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42,158</w:t>
            </w:r>
          </w:p>
        </w:tc>
        <w:tc>
          <w:tcPr>
            <w:tcW w:type="dxa" w:w="165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13,725</w:t>
            </w:r>
          </w:p>
        </w:tc>
        <w:tc>
          <w:tcPr>
            <w:tcW w:type="dxa" w:w="158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10,059</w:t>
            </w:r>
          </w:p>
        </w:tc>
        <w:tc>
          <w:tcPr>
            <w:tcW w:type="dxa" w:w="165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65,941</w:t>
            </w:r>
          </w:p>
        </w:tc>
      </w:tr>
      <w:tr>
        <w:trPr>
          <w:cantSplit/>
        </w:trPr>
        <w:tc>
          <w:tcPr>
            <w:tcW w:type="dxa" w:w="1584"/>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19"/>
              </w:rPr>
              <w:t>Jul 2027</w:t>
            </w:r>
          </w:p>
        </w:tc>
        <w:tc>
          <w:tcPr>
            <w:tcW w:type="dxa" w:w="1584"/>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27,900</w:t>
            </w:r>
          </w:p>
        </w:tc>
        <w:tc>
          <w:tcPr>
            <w:tcW w:type="dxa" w:w="1656"/>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43,563</w:t>
            </w:r>
          </w:p>
        </w:tc>
        <w:tc>
          <w:tcPr>
            <w:tcW w:type="dxa" w:w="1656"/>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13,725</w:t>
            </w:r>
          </w:p>
        </w:tc>
        <w:tc>
          <w:tcPr>
            <w:tcW w:type="dxa" w:w="1584"/>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10,312</w:t>
            </w:r>
          </w:p>
        </w:tc>
        <w:tc>
          <w:tcPr>
            <w:tcW w:type="dxa" w:w="1656"/>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67,600</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19"/>
              </w:rPr>
              <w:t>Aug 2027</w:t>
            </w:r>
          </w:p>
        </w:tc>
        <w:tc>
          <w:tcPr>
            <w:tcW w:type="dxa" w:w="158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27,900</w:t>
            </w:r>
          </w:p>
        </w:tc>
        <w:tc>
          <w:tcPr>
            <w:tcW w:type="dxa" w:w="165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43,563</w:t>
            </w:r>
          </w:p>
        </w:tc>
        <w:tc>
          <w:tcPr>
            <w:tcW w:type="dxa" w:w="165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13,725</w:t>
            </w:r>
          </w:p>
        </w:tc>
        <w:tc>
          <w:tcPr>
            <w:tcW w:type="dxa" w:w="158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10,312</w:t>
            </w:r>
          </w:p>
        </w:tc>
        <w:tc>
          <w:tcPr>
            <w:tcW w:type="dxa" w:w="165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67,600</w:t>
            </w:r>
          </w:p>
        </w:tc>
      </w:tr>
      <w:tr>
        <w:trPr>
          <w:cantSplit/>
        </w:trPr>
        <w:tc>
          <w:tcPr>
            <w:tcW w:type="dxa" w:w="1584"/>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19"/>
              </w:rPr>
              <w:t>Sep 2027</w:t>
            </w:r>
          </w:p>
        </w:tc>
        <w:tc>
          <w:tcPr>
            <w:tcW w:type="dxa" w:w="1584"/>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27,000</w:t>
            </w:r>
          </w:p>
        </w:tc>
        <w:tc>
          <w:tcPr>
            <w:tcW w:type="dxa" w:w="1656"/>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42,158</w:t>
            </w:r>
          </w:p>
        </w:tc>
        <w:tc>
          <w:tcPr>
            <w:tcW w:type="dxa" w:w="1656"/>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13,725</w:t>
            </w:r>
          </w:p>
        </w:tc>
        <w:tc>
          <w:tcPr>
            <w:tcW w:type="dxa" w:w="1584"/>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10,059</w:t>
            </w:r>
          </w:p>
        </w:tc>
        <w:tc>
          <w:tcPr>
            <w:tcW w:type="dxa" w:w="1656"/>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65,941</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19"/>
              </w:rPr>
              <w:t>Oct 2027</w:t>
            </w:r>
          </w:p>
        </w:tc>
        <w:tc>
          <w:tcPr>
            <w:tcW w:type="dxa" w:w="158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27,900</w:t>
            </w:r>
          </w:p>
        </w:tc>
        <w:tc>
          <w:tcPr>
            <w:tcW w:type="dxa" w:w="165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43,563</w:t>
            </w:r>
          </w:p>
        </w:tc>
        <w:tc>
          <w:tcPr>
            <w:tcW w:type="dxa" w:w="165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13,725</w:t>
            </w:r>
          </w:p>
        </w:tc>
        <w:tc>
          <w:tcPr>
            <w:tcW w:type="dxa" w:w="158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10,312</w:t>
            </w:r>
          </w:p>
        </w:tc>
        <w:tc>
          <w:tcPr>
            <w:tcW w:type="dxa" w:w="165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19"/>
              </w:rPr>
              <w:t>67,600</w:t>
            </w:r>
          </w:p>
        </w:tc>
      </w:tr>
      <w:tr>
        <w:trPr>
          <w:cantSplit/>
        </w:trPr>
        <w:tc>
          <w:tcPr>
            <w:tcW w:type="dxa" w:w="1584"/>
            <w:vAlign w:val="center"/>
            <w:shd w:fill="E5EBE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color w:val="000000"/>
                <w:sz w:val="19"/>
              </w:rPr>
              <w:t>Annual total</w:t>
            </w:r>
          </w:p>
        </w:tc>
        <w:tc>
          <w:tcPr>
            <w:tcW w:type="dxa" w:w="1584"/>
            <w:vAlign w:val="center"/>
            <w:shd w:fill="E5EBE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color w:val="000000"/>
                <w:sz w:val="19"/>
              </w:rPr>
              <w:t>3,28,500</w:t>
            </w:r>
          </w:p>
        </w:tc>
        <w:tc>
          <w:tcPr>
            <w:tcW w:type="dxa" w:w="1656"/>
            <w:vAlign w:val="center"/>
            <w:shd w:fill="E5EBE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color w:val="000000"/>
                <w:sz w:val="19"/>
              </w:rPr>
              <w:t>4,74,166</w:t>
            </w:r>
          </w:p>
        </w:tc>
        <w:tc>
          <w:tcPr>
            <w:tcW w:type="dxa" w:w="1656"/>
            <w:vAlign w:val="center"/>
            <w:shd w:fill="E5EBE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color w:val="000000"/>
                <w:sz w:val="19"/>
              </w:rPr>
              <w:t>1,64,700</w:t>
            </w:r>
          </w:p>
        </w:tc>
        <w:tc>
          <w:tcPr>
            <w:tcW w:type="dxa" w:w="1584"/>
            <w:vAlign w:val="center"/>
            <w:shd w:fill="E5EBE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color w:val="000000"/>
                <w:sz w:val="19"/>
              </w:rPr>
              <w:t>1,14,996</w:t>
            </w:r>
          </w:p>
        </w:tc>
        <w:tc>
          <w:tcPr>
            <w:tcW w:type="dxa" w:w="1656"/>
            <w:vAlign w:val="center"/>
            <w:shd w:fill="E5EBE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color w:val="000000"/>
                <w:sz w:val="19"/>
              </w:rPr>
              <w:t>7,53,862</w:t>
            </w:r>
          </w:p>
        </w:tc>
      </w:tr>
    </w:tbl>
    <w:p>
      <w:pPr>
        <w:spacing w:after="160" w:line="264" w:lineRule="auto"/>
      </w:pPr>
      <w:r>
        <w:rPr>
          <w:sz w:val="21"/>
        </w:rPr>
      </w:r>
    </w:p>
    <w:p>
      <w:pPr>
        <w:pStyle w:val="Heading2"/>
      </w:pPr>
      <w:r>
        <w:t>Funding allocation</w:t>
      </w:r>
    </w:p>
    <w:tbl>
      <w:tblPr>
        <w:tblW w:type="auto" w:w="0"/>
        <w:jc w:val="center"/>
        <w:tblLayout w:type="fixed"/>
        <w:tblLook w:firstColumn="1" w:firstRow="1" w:lastColumn="0" w:lastRow="0" w:noHBand="0" w:noVBand="1" w:val="04A0"/>
      </w:tblPr>
      <w:tblGrid>
        <w:gridCol w:w="4464"/>
        <w:gridCol w:w="2664"/>
        <w:gridCol w:w="2736"/>
      </w:tblGrid>
      <w:tr>
        <w:trPr>
          <w:tblHeader/>
          <w:cantSplit/>
        </w:trPr>
        <w:tc>
          <w:tcPr>
            <w:tcW w:type="dxa" w:w="4464"/>
            <w:vAlign w:val="center"/>
            <w:shd w:fill="263F50"/>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color w:val="FFFFFF"/>
                <w:sz w:val="20"/>
              </w:rPr>
              <w:t>Period</w:t>
            </w:r>
          </w:p>
        </w:tc>
        <w:tc>
          <w:tcPr>
            <w:tcW w:type="dxa" w:w="2664"/>
            <w:vAlign w:val="center"/>
            <w:shd w:fill="263F50"/>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color w:val="FFFFFF"/>
                <w:sz w:val="20"/>
              </w:rPr>
              <w:t>Monthly allocation</w:t>
            </w:r>
          </w:p>
        </w:tc>
        <w:tc>
          <w:tcPr>
            <w:tcW w:type="dxa" w:w="2736"/>
            <w:vAlign w:val="center"/>
            <w:shd w:fill="263F50"/>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color w:val="FFFFFF"/>
                <w:sz w:val="20"/>
              </w:rPr>
              <w:t>Period total</w:t>
            </w:r>
          </w:p>
        </w:tc>
      </w:tr>
      <w:tr>
        <w:trPr>
          <w:cantSplit/>
        </w:trPr>
        <w:tc>
          <w:tcPr>
            <w:tcW w:type="dxa" w:w="4464"/>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20"/>
              </w:rPr>
              <w:t>November 2026 including initial allowance</w:t>
            </w:r>
          </w:p>
        </w:tc>
        <w:tc>
          <w:tcPr>
            <w:tcW w:type="dxa" w:w="2664"/>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20"/>
              </w:rPr>
              <w:t>65,000</w:t>
            </w:r>
          </w:p>
        </w:tc>
        <w:tc>
          <w:tcPr>
            <w:tcW w:type="dxa" w:w="2736"/>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20"/>
              </w:rPr>
              <w:t>65,000</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20"/>
              </w:rPr>
              <w:t>December 2026</w:t>
            </w:r>
          </w:p>
        </w:tc>
        <w:tc>
          <w:tcPr>
            <w:tcW w:type="dxa" w:w="266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20"/>
              </w:rPr>
              <w:t>55,000</w:t>
            </w:r>
          </w:p>
        </w:tc>
        <w:tc>
          <w:tcPr>
            <w:tcW w:type="dxa" w:w="273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20"/>
              </w:rPr>
              <w:t>55,000</w:t>
            </w:r>
          </w:p>
        </w:tc>
      </w:tr>
      <w:tr>
        <w:trPr>
          <w:cantSplit/>
        </w:trPr>
        <w:tc>
          <w:tcPr>
            <w:tcW w:type="dxa" w:w="4464"/>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20"/>
              </w:rPr>
              <w:t>January to October 2027 each month</w:t>
            </w:r>
          </w:p>
        </w:tc>
        <w:tc>
          <w:tcPr>
            <w:tcW w:type="dxa" w:w="2664"/>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20"/>
              </w:rPr>
              <w:t>78,000</w:t>
            </w:r>
          </w:p>
        </w:tc>
        <w:tc>
          <w:tcPr>
            <w:tcW w:type="dxa" w:w="2736"/>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20"/>
              </w:rPr>
              <w:t>7,80,000</w:t>
            </w:r>
          </w:p>
        </w:tc>
      </w:tr>
      <w:tr>
        <w:trPr>
          <w:cantSplit/>
        </w:trPr>
        <w:tc>
          <w:tcPr>
            <w:tcW w:type="dxa" w:w="4464"/>
            <w:vAlign w:val="center"/>
            <w:shd w:fill="E5EBE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color w:val="000000"/>
                <w:sz w:val="20"/>
              </w:rPr>
              <w:t>Annual budget</w:t>
            </w:r>
          </w:p>
        </w:tc>
        <w:tc>
          <w:tcPr>
            <w:tcW w:type="dxa" w:w="2664"/>
            <w:vAlign w:val="center"/>
            <w:shd w:fill="E5EBE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color w:val="000000"/>
                <w:sz w:val="20"/>
              </w:rPr>
            </w:r>
          </w:p>
        </w:tc>
        <w:tc>
          <w:tcPr>
            <w:tcW w:type="dxa" w:w="2736"/>
            <w:vAlign w:val="center"/>
            <w:shd w:fill="E5EBE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color w:val="000000"/>
                <w:sz w:val="20"/>
              </w:rPr>
              <w:t>9,00,000</w:t>
            </w:r>
          </w:p>
        </w:tc>
      </w:tr>
    </w:tbl>
    <w:p>
      <w:pPr>
        <w:spacing w:after="160" w:line="264" w:lineRule="auto"/>
      </w:pPr>
      <w:r>
        <w:rPr>
          <w:sz w:val="21"/>
        </w:rPr>
      </w:r>
    </w:p>
    <w:p>
      <w:pPr>
        <w:spacing w:line="264" w:lineRule="auto" w:after="160"/>
      </w:pPr>
      <w:r>
        <w:rPr>
          <w:sz w:val="21"/>
        </w:rPr>
        <w:t>The INR 9,00,000 allocation covers INR 7,53,862 of recurring expenditure, INR 1,13,079 of contingency and INR 10,000 for initial setup. A further INR 23,059 remains as headroom. Average recurring expenditure is INR 62,822 per month.</w:t>
      </w:r>
    </w:p>
    <w:p>
      <w:pPr>
        <w:spacing w:line="264" w:lineRule="auto" w:after="160"/>
      </w:pPr>
      <w:r>
        <w:rPr>
          <w:sz w:val="21"/>
        </w:rPr>
        <w:t>Calendar length explains variation within each pricing period. The January step reflects the Flash rate increase. Figures are calculated at full precision and rounded to the nearest rupee, so displayed rows may differ slightly from totals.</w:t>
      </w:r>
    </w:p>
    <w:p>
      <w:r>
        <w:br w:type="page"/>
      </w:r>
    </w:p>
    <w:p>
      <w:pPr>
        <w:pStyle w:val="Heading1"/>
      </w:pPr>
      <w:r>
        <w:t>4 Scenarios and scope</w:t>
      </w:r>
    </w:p>
    <w:p>
      <w:pPr>
        <w:spacing w:line="264" w:lineRule="auto" w:after="160"/>
      </w:pPr>
      <w:r>
        <w:rPr>
          <w:sz w:val="21"/>
        </w:rPr>
        <w:t>The scenarios vary daily active users while keeping the registered population at 1,000, use at 4.5 questions per active day and other allowances unchanged. Higher activity may also require more hosting capacity.</w:t>
      </w:r>
    </w:p>
    <w:tbl>
      <w:tblPr>
        <w:tblW w:type="auto" w:w="0"/>
        <w:jc w:val="center"/>
        <w:tblLayout w:type="fixed"/>
        <w:tblLook w:firstColumn="1" w:firstRow="1" w:lastColumn="0" w:lastRow="0" w:noHBand="0" w:noVBand="1" w:val="04A0"/>
      </w:tblPr>
      <w:tblGrid>
        <w:gridCol w:w="1584"/>
        <w:gridCol w:w="936"/>
        <w:gridCol w:w="3312"/>
        <w:gridCol w:w="4032"/>
      </w:tblGrid>
      <w:tr>
        <w:trPr>
          <w:tblHeader/>
          <w:cantSplit/>
        </w:trPr>
        <w:tc>
          <w:tcPr>
            <w:tcW w:type="dxa" w:w="1584"/>
            <w:vAlign w:val="center"/>
            <w:shd w:fill="263F50"/>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color w:val="FFFFFF"/>
                <w:sz w:val="20"/>
              </w:rPr>
              <w:t>Scenario</w:t>
            </w:r>
          </w:p>
        </w:tc>
        <w:tc>
          <w:tcPr>
            <w:tcW w:type="dxa" w:w="936"/>
            <w:vAlign w:val="center"/>
            <w:shd w:fill="263F50"/>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color w:val="FFFFFF"/>
                <w:sz w:val="20"/>
              </w:rPr>
              <w:t>DAU</w:t>
            </w:r>
          </w:p>
        </w:tc>
        <w:tc>
          <w:tcPr>
            <w:tcW w:type="dxa" w:w="3312"/>
            <w:vAlign w:val="center"/>
            <w:shd w:fill="263F50"/>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color w:val="FFFFFF"/>
                <w:sz w:val="20"/>
              </w:rPr>
              <w:t>Annual expenditure</w:t>
            </w:r>
          </w:p>
        </w:tc>
        <w:tc>
          <w:tcPr>
            <w:tcW w:type="dxa" w:w="4032"/>
            <w:vAlign w:val="center"/>
            <w:shd w:fill="263F50"/>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color w:val="FFFFFF"/>
                <w:sz w:val="20"/>
              </w:rPr>
              <w:t>Funding including reserve and setup</w:t>
            </w:r>
          </w:p>
        </w:tc>
      </w:tr>
      <w:tr>
        <w:trPr>
          <w:cantSplit/>
        </w:trPr>
        <w:tc>
          <w:tcPr>
            <w:tcW w:type="dxa" w:w="1584"/>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20"/>
              </w:rPr>
              <w:t>Low</w:t>
            </w:r>
          </w:p>
        </w:tc>
        <w:tc>
          <w:tcPr>
            <w:tcW w:type="dxa" w:w="936"/>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20"/>
              </w:rPr>
              <w:t>100</w:t>
            </w:r>
          </w:p>
        </w:tc>
        <w:tc>
          <w:tcPr>
            <w:tcW w:type="dxa" w:w="3312"/>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20"/>
              </w:rPr>
              <w:t>4,74,104</w:t>
            </w:r>
          </w:p>
        </w:tc>
        <w:tc>
          <w:tcPr>
            <w:tcW w:type="dxa" w:w="4032"/>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20"/>
              </w:rPr>
              <w:t>5,55,220</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20"/>
              </w:rPr>
              <w:t>Base</w:t>
            </w:r>
          </w:p>
        </w:tc>
        <w:tc>
          <w:tcPr>
            <w:tcW w:type="dxa" w:w="936"/>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20"/>
              </w:rPr>
              <w:t>200</w:t>
            </w:r>
          </w:p>
        </w:tc>
        <w:tc>
          <w:tcPr>
            <w:tcW w:type="dxa" w:w="3312"/>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20"/>
              </w:rPr>
              <w:t>7,53,862</w:t>
            </w:r>
          </w:p>
        </w:tc>
        <w:tc>
          <w:tcPr>
            <w:tcW w:type="dxa" w:w="4032"/>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20"/>
              </w:rPr>
              <w:t>8,76,941</w:t>
            </w:r>
          </w:p>
        </w:tc>
      </w:tr>
      <w:tr>
        <w:trPr>
          <w:cantSplit/>
        </w:trPr>
        <w:tc>
          <w:tcPr>
            <w:tcW w:type="dxa" w:w="1584"/>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20"/>
              </w:rPr>
              <w:t>High</w:t>
            </w:r>
          </w:p>
        </w:tc>
        <w:tc>
          <w:tcPr>
            <w:tcW w:type="dxa" w:w="936"/>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20"/>
              </w:rPr>
              <w:t>350</w:t>
            </w:r>
          </w:p>
        </w:tc>
        <w:tc>
          <w:tcPr>
            <w:tcW w:type="dxa" w:w="3312"/>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20"/>
              </w:rPr>
              <w:t>11,73,499</w:t>
            </w:r>
          </w:p>
        </w:tc>
        <w:tc>
          <w:tcPr>
            <w:tcW w:type="dxa" w:w="4032"/>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20"/>
              </w:rPr>
              <w:t>13,59,524</w:t>
            </w:r>
          </w:p>
        </w:tc>
      </w:tr>
    </w:tbl>
    <w:p>
      <w:pPr>
        <w:spacing w:after="160" w:line="264" w:lineRule="auto"/>
      </w:pPr>
      <w:r>
        <w:rPr>
          <w:sz w:val="21"/>
        </w:rPr>
      </w:r>
    </w:p>
    <w:p>
      <w:pPr>
        <w:pStyle w:val="Heading2"/>
      </w:pPr>
      <w:r>
        <w:t>Initial provisioning allowance</w:t>
      </w:r>
    </w:p>
    <w:tbl>
      <w:tblPr>
        <w:tblW w:type="auto" w:w="0"/>
        <w:jc w:val="center"/>
        <w:tblLayout w:type="fixed"/>
        <w:tblLook w:firstColumn="1" w:firstRow="1" w:lastColumn="0" w:lastRow="0" w:noHBand="0" w:noVBand="1" w:val="04A0"/>
      </w:tblPr>
      <w:tblGrid>
        <w:gridCol w:w="7200"/>
        <w:gridCol w:w="2664"/>
      </w:tblGrid>
      <w:tr>
        <w:trPr>
          <w:tblHeader/>
          <w:cantSplit/>
        </w:trPr>
        <w:tc>
          <w:tcPr>
            <w:tcW w:type="dxa" w:w="7200"/>
            <w:vAlign w:val="center"/>
            <w:shd w:fill="263F50"/>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color w:val="FFFFFF"/>
                <w:sz w:val="20"/>
              </w:rPr>
              <w:t>Initial setup item</w:t>
            </w:r>
          </w:p>
        </w:tc>
        <w:tc>
          <w:tcPr>
            <w:tcW w:type="dxa" w:w="2664"/>
            <w:vAlign w:val="center"/>
            <w:shd w:fill="263F50"/>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color w:val="FFFFFF"/>
                <w:sz w:val="20"/>
              </w:rPr>
              <w:t>INR</w:t>
            </w:r>
          </w:p>
        </w:tc>
      </w:tr>
      <w:tr>
        <w:trPr>
          <w:cantSplit/>
        </w:trPr>
        <w:tc>
          <w:tcPr>
            <w:tcW w:type="dxa" w:w="7200"/>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20"/>
              </w:rPr>
              <w:t>Initial document OCR and embeddings including tax allowance</w:t>
            </w:r>
          </w:p>
        </w:tc>
        <w:tc>
          <w:tcPr>
            <w:tcW w:type="dxa" w:w="2664"/>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20"/>
              </w:rPr>
              <w:t>1,100</w:t>
            </w:r>
          </w:p>
        </w:tc>
      </w:tr>
      <w:tr>
        <w:trPr>
          <w:cantSplit/>
        </w:trPr>
        <w:tc>
          <w:tcPr>
            <w:tcW w:type="dxa" w:w="7200"/>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20"/>
              </w:rPr>
              <w:t>Conditional sender registration or messaging onboarding</w:t>
            </w:r>
          </w:p>
        </w:tc>
        <w:tc>
          <w:tcPr>
            <w:tcW w:type="dxa" w:w="2664"/>
            <w:vAlign w:val="center"/>
            <w:shd w:fill="FFFFF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20"/>
              </w:rPr>
              <w:t>6,000</w:t>
            </w:r>
          </w:p>
        </w:tc>
      </w:tr>
      <w:tr>
        <w:trPr>
          <w:cantSplit/>
        </w:trPr>
        <w:tc>
          <w:tcPr>
            <w:tcW w:type="dxa" w:w="7200"/>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val="0"/>
                <w:color w:val="000000"/>
                <w:sz w:val="20"/>
              </w:rPr>
              <w:t>Other initial vendor fees and provisioning headroom</w:t>
            </w:r>
          </w:p>
        </w:tc>
        <w:tc>
          <w:tcPr>
            <w:tcW w:type="dxa" w:w="2664"/>
            <w:vAlign w:val="center"/>
            <w:shd w:fill="F1F4F6"/>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val="0"/>
                <w:color w:val="000000"/>
                <w:sz w:val="20"/>
              </w:rPr>
              <w:t>2,900</w:t>
            </w:r>
          </w:p>
        </w:tc>
      </w:tr>
      <w:tr>
        <w:trPr>
          <w:cantSplit/>
        </w:trPr>
        <w:tc>
          <w:tcPr>
            <w:tcW w:type="dxa" w:w="7200"/>
            <w:vAlign w:val="center"/>
            <w:shd w:fill="E5EBE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left"/>
            </w:pPr>
            <w:r>
              <w:rPr>
                <w:rFonts w:ascii="Calibri" w:hAnsi="Calibri"/>
                <w:b/>
                <w:color w:val="000000"/>
                <w:sz w:val="20"/>
              </w:rPr>
              <w:t>Total initial allowance</w:t>
            </w:r>
          </w:p>
        </w:tc>
        <w:tc>
          <w:tcPr>
            <w:tcW w:type="dxa" w:w="2664"/>
            <w:vAlign w:val="center"/>
            <w:shd w:fill="E5EBEF"/>
            <w:tcBorders>
              <w:top w:val="single" w:sz="4" w:color="D9D9D9"/>
              <w:left w:val="single" w:sz="4" w:color="D9D9D9"/>
              <w:bottom w:val="single" w:sz="4" w:color="D9D9D9"/>
              <w:right w:val="single" w:sz="4" w:color="D9D9D9"/>
            </w:tcBorders>
            <w:tcMar>
              <w:top w:w="75" w:type="dxa"/>
              <w:bottom w:w="75" w:type="dxa"/>
              <w:left w:w="95" w:type="dxa"/>
              <w:right w:w="95" w:type="dxa"/>
            </w:tcMar>
          </w:tcPr>
          <w:p>
            <w:pPr>
              <w:spacing w:after="0" w:before="0" w:line="250" w:lineRule="auto"/>
              <w:jc w:val="right"/>
            </w:pPr>
            <w:r>
              <w:rPr>
                <w:rFonts w:ascii="Calibri" w:hAnsi="Calibri"/>
                <w:b/>
                <w:color w:val="000000"/>
                <w:sz w:val="20"/>
              </w:rPr>
              <w:t>10,000</w:t>
            </w:r>
          </w:p>
        </w:tc>
      </w:tr>
    </w:tbl>
    <w:p>
      <w:pPr>
        <w:spacing w:after="160" w:line="264" w:lineRule="auto"/>
      </w:pPr>
      <w:r>
        <w:rPr>
          <w:sz w:val="21"/>
        </w:rPr>
      </w:r>
    </w:p>
    <w:p>
      <w:pPr>
        <w:spacing w:line="264" w:lineRule="auto" w:after="160"/>
      </w:pPr>
      <w:r>
        <w:rPr>
          <w:sz w:val="21"/>
        </w:rPr>
        <w:t>Initial OCR and embeddings for the assumed 10,000-page library cost about INR 894 before tax, or INR 1,055 including the tax allowance. Messaging onboarding and other setup amounts are conditional provisions, not committed fees. Domain renewal is already included in recurring costs.</w:t>
      </w:r>
    </w:p>
    <w:p>
      <w:pPr>
        <w:pStyle w:val="Heading2"/>
      </w:pPr>
      <w:r>
        <w:t>Costs outside this operating scope</w:t>
      </w:r>
    </w:p>
    <w:p>
      <w:pPr>
        <w:spacing w:line="264" w:lineRule="auto" w:after="160"/>
      </w:pPr>
      <w:r>
        <w:rPr>
          <w:sz w:val="21"/>
        </w:rPr>
        <w:t>This report covers app operating costs. Development and maintenance labour, salaries, manual document review, and sales and marketing labour remain outside the budget.</w:t>
      </w:r>
    </w:p>
    <w:p>
      <w:pPr>
        <w:spacing w:line="264" w:lineRule="auto" w:after="160"/>
      </w:pPr>
      <w:r>
        <w:rPr>
          <w:sz w:val="21"/>
        </w:rPr>
        <w:t>Payment processing depends on collections. If subscriptions are sold online, allow approximately 3% of gross receipts separately and replace this estimate with the selected payment arrangement. No revenue is assumed or deducted here.</w:t>
      </w:r>
    </w:p>
    <w:p>
      <w:pPr>
        <w:spacing w:line="264" w:lineRule="auto" w:after="160"/>
      </w:pPr>
      <w:r>
        <w:rPr>
          <w:sz w:val="21"/>
        </w:rPr>
        <w:t>Paid content licences, formal security audits, enterprise support, restricted hosting and contractual availability guarantees require separate budgets if needed. Advanced extraction, web search, voice, imagery and managed point-in-time database recovery are also outside this estimate.</w:t>
      </w:r>
    </w:p>
    <w:p>
      <w:pPr>
        <w:pStyle w:val="Heading2"/>
      </w:pPr>
      <w:r>
        <w:t>Budget review</w:t>
      </w:r>
    </w:p>
    <w:p>
      <w:pPr>
        <w:spacing w:line="264" w:lineRule="auto" w:after="160"/>
      </w:pPr>
      <w:r>
        <w:rPr>
          <w:sz w:val="21"/>
        </w:rPr>
        <w:t>Review usage and invoices monthly. Reassess hosting if document processing slows answers, monthly questions exceed 30,000, or generation cost per question exceeds the estimate by 20%. Replace provisional allowances with actual bills as they become available.</w:t>
      </w:r>
    </w:p>
    <w:sectPr w:rsidR="00FC693F" w:rsidRPr="0006063C" w:rsidSect="00034616">
      <w:footerReference w:type="default" r:id="rId9"/>
      <w:pgSz w:w="11909" w:h="16834"/>
      <w:pgMar w:top="965" w:right="1008" w:bottom="936" w:left="1008" w:header="360"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Aranyabodh  |  Operating cost projection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pPr>
    <w:rPr>
      <w:rFonts w:ascii="Calibri" w:hAnsi="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Aranyabodh Annual Operating Cost Projection</dc:title>
  <dc:subject>November 2026 to October 2027 operating cost plan for 1000 registered users</dc:subject>
  <dc:creator>Aranyabodh</dc:creator>
  <cp:keywords/>
  <dc:description/>
  <cp:lastModifiedBy/>
  <cp:revision>1</cp:revision>
  <dcterms:created xsi:type="dcterms:W3CDTF">2013-12-23T23:15:00Z</dcterms:created>
  <dcterms:modified xsi:type="dcterms:W3CDTF">2013-12-23T23:15:00Z</dcterms:modified>
  <cp:category/>
</cp:coreProperties>
</file>