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51AA" w14:textId="0A4FF118" w:rsidR="0028679C" w:rsidRPr="0028679C" w:rsidRDefault="0028679C" w:rsidP="006E17F4">
      <w:pPr>
        <w:shd w:val="clear" w:color="auto" w:fill="C0000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Executive Summary Draft</w:t>
      </w:r>
    </w:p>
    <w:p w14:paraId="5CCF88AD" w14:textId="77777777" w:rsidR="006E17F4" w:rsidRPr="006E17F4" w:rsidRDefault="006E17F4" w:rsidP="006E17F4">
      <w:pPr>
        <w:pStyle w:val="NoSpacing"/>
        <w:rPr>
          <w:sz w:val="2"/>
          <w:szCs w:val="2"/>
        </w:rPr>
      </w:pPr>
    </w:p>
    <w:p w14:paraId="75E9CA1C" w14:textId="48B82E28" w:rsidR="0028679C" w:rsidRPr="0028679C" w:rsidRDefault="0028679C" w:rsidP="006E17F4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79C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</w:t>
      </w:r>
    </w:p>
    <w:p w14:paraId="61A34231" w14:textId="31263D8A" w:rsidR="0028679C" w:rsidRPr="0028679C" w:rsidRDefault="0028679C" w:rsidP="006E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Semiconductor wafer failures result in significant yield loss and financial impact. Traditional monitoring systems react after defects occur rather than proactively identifying high-risk conditions.</w:t>
      </w:r>
    </w:p>
    <w:p w14:paraId="4F2F3036" w14:textId="77777777" w:rsidR="0028679C" w:rsidRPr="0028679C" w:rsidRDefault="0028679C" w:rsidP="006E17F4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79C">
        <w:rPr>
          <w:rFonts w:ascii="Times New Roman" w:eastAsia="Times New Roman" w:hAnsi="Times New Roman" w:cs="Times New Roman"/>
          <w:b/>
          <w:bCs/>
          <w:sz w:val="36"/>
          <w:szCs w:val="36"/>
        </w:rPr>
        <w:t>2. Solution</w:t>
      </w:r>
    </w:p>
    <w:p w14:paraId="60595C5C" w14:textId="3DA4DE30" w:rsidR="0028679C" w:rsidRPr="0028679C" w:rsidRDefault="0028679C" w:rsidP="0028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 xml:space="preserve">A predictive analytics framework </w:t>
      </w:r>
      <w:r w:rsidR="006E17F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8679C">
        <w:rPr>
          <w:rFonts w:ascii="Times New Roman" w:eastAsia="Times New Roman" w:hAnsi="Times New Roman" w:cs="Times New Roman"/>
          <w:sz w:val="24"/>
          <w:szCs w:val="24"/>
        </w:rPr>
        <w:t>s developed using the SECOM manufacturing dataset (590 sensor features) to:</w:t>
      </w:r>
    </w:p>
    <w:p w14:paraId="5F391FF8" w14:textId="77777777" w:rsidR="0028679C" w:rsidRPr="0028679C" w:rsidRDefault="0028679C" w:rsidP="0028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Predict wafer failure probability</w:t>
      </w:r>
    </w:p>
    <w:p w14:paraId="2D8C522C" w14:textId="77777777" w:rsidR="0028679C" w:rsidRPr="0028679C" w:rsidRDefault="0028679C" w:rsidP="00286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Identify key defect-driving process parameters</w:t>
      </w:r>
    </w:p>
    <w:p w14:paraId="5DE9BD20" w14:textId="6FA8F7DA" w:rsidR="0028679C" w:rsidRPr="006E17F4" w:rsidRDefault="0028679C" w:rsidP="006E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Translate predictive performance into financial impact</w:t>
      </w:r>
    </w:p>
    <w:p w14:paraId="6B0954C1" w14:textId="77777777" w:rsidR="0028679C" w:rsidRPr="0028679C" w:rsidRDefault="0028679C" w:rsidP="006E17F4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79C">
        <w:rPr>
          <w:rFonts w:ascii="Times New Roman" w:eastAsia="Times New Roman" w:hAnsi="Times New Roman" w:cs="Times New Roman"/>
          <w:b/>
          <w:bCs/>
          <w:sz w:val="36"/>
          <w:szCs w:val="36"/>
        </w:rPr>
        <w:t>3. Model Performance</w:t>
      </w:r>
    </w:p>
    <w:p w14:paraId="6005720A" w14:textId="77777777" w:rsidR="0028679C" w:rsidRPr="0028679C" w:rsidRDefault="0028679C" w:rsidP="00286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Logistic Regression ROC AUC ≈ 0.71</w:t>
      </w:r>
    </w:p>
    <w:p w14:paraId="4BF4C246" w14:textId="77777777" w:rsidR="0028679C" w:rsidRPr="0028679C" w:rsidRDefault="0028679C" w:rsidP="00286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79C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8679C">
        <w:rPr>
          <w:rFonts w:ascii="Times New Roman" w:eastAsia="Times New Roman" w:hAnsi="Times New Roman" w:cs="Times New Roman"/>
          <w:sz w:val="24"/>
          <w:szCs w:val="24"/>
        </w:rPr>
        <w:t xml:space="preserve"> ROC AUC ≈ 0.71</w:t>
      </w:r>
    </w:p>
    <w:p w14:paraId="07CDCCB4" w14:textId="77777777" w:rsidR="0028679C" w:rsidRPr="0028679C" w:rsidRDefault="0028679C" w:rsidP="00286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Failure Recall (after imbalance handling) ≈ 24%</w:t>
      </w:r>
    </w:p>
    <w:p w14:paraId="1EA191B9" w14:textId="70FE1822" w:rsidR="0028679C" w:rsidRPr="0028679C" w:rsidRDefault="0028679C" w:rsidP="006E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While overall separability is moderate (consistent with known SECOM dataset limitations), the model successfully identifies a subset of high-risk wafers.</w:t>
      </w:r>
    </w:p>
    <w:p w14:paraId="37601D94" w14:textId="77777777" w:rsidR="0028679C" w:rsidRPr="0028679C" w:rsidRDefault="0028679C" w:rsidP="006E17F4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79C">
        <w:rPr>
          <w:rFonts w:ascii="Times New Roman" w:eastAsia="Times New Roman" w:hAnsi="Times New Roman" w:cs="Times New Roman"/>
          <w:b/>
          <w:bCs/>
          <w:sz w:val="36"/>
          <w:szCs w:val="36"/>
        </w:rPr>
        <w:t>4. Key Risk Drivers</w:t>
      </w:r>
    </w:p>
    <w:p w14:paraId="7D5B9985" w14:textId="77777777" w:rsidR="0028679C" w:rsidRPr="0028679C" w:rsidRDefault="0028679C" w:rsidP="0028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SHAP analysis identified a small subset of sensor features driving defect probability, particularly:</w:t>
      </w:r>
    </w:p>
    <w:p w14:paraId="3E1D6C97" w14:textId="77777777" w:rsidR="0028679C" w:rsidRPr="0028679C" w:rsidRDefault="0028679C" w:rsidP="00286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Feature_60</w:t>
      </w:r>
    </w:p>
    <w:p w14:paraId="09DBBEA4" w14:textId="77777777" w:rsidR="0028679C" w:rsidRPr="0028679C" w:rsidRDefault="0028679C" w:rsidP="00286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Feature_96</w:t>
      </w:r>
    </w:p>
    <w:p w14:paraId="4E2D4EA0" w14:textId="77777777" w:rsidR="0028679C" w:rsidRPr="0028679C" w:rsidRDefault="0028679C" w:rsidP="00286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Feature_122</w:t>
      </w:r>
    </w:p>
    <w:p w14:paraId="3B2E410B" w14:textId="77777777" w:rsidR="0028679C" w:rsidRPr="0028679C" w:rsidRDefault="0028679C" w:rsidP="0028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Higher values of these parameters were strongly associated with increased failure risk.</w:t>
      </w:r>
    </w:p>
    <w:p w14:paraId="310F4122" w14:textId="5489AB45" w:rsidR="0028679C" w:rsidRPr="0028679C" w:rsidRDefault="0028679C" w:rsidP="006E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This suggests that excessive process conditions may contribute to yield degradation.</w:t>
      </w:r>
    </w:p>
    <w:p w14:paraId="7D73D90B" w14:textId="77777777" w:rsidR="006E17F4" w:rsidRDefault="006E17F4" w:rsidP="00286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14283F4" w14:textId="407C591F" w:rsidR="0028679C" w:rsidRPr="0028679C" w:rsidRDefault="0028679C" w:rsidP="006E17F4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79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Financial Impact</w:t>
      </w:r>
    </w:p>
    <w:p w14:paraId="5FCCEFDF" w14:textId="77777777" w:rsidR="0028679C" w:rsidRPr="0028679C" w:rsidRDefault="0028679C" w:rsidP="0028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Using conservative assumptions:</w:t>
      </w:r>
    </w:p>
    <w:p w14:paraId="541B1BBF" w14:textId="77777777" w:rsidR="0028679C" w:rsidRPr="0028679C" w:rsidRDefault="0028679C" w:rsidP="00286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24% failure detection rate</w:t>
      </w:r>
    </w:p>
    <w:p w14:paraId="2F045125" w14:textId="77777777" w:rsidR="0028679C" w:rsidRPr="0028679C" w:rsidRDefault="0028679C" w:rsidP="00286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$5,000 cost per failed wafer</w:t>
      </w:r>
    </w:p>
    <w:p w14:paraId="53A9BB5A" w14:textId="77777777" w:rsidR="0028679C" w:rsidRPr="0028679C" w:rsidRDefault="0028679C" w:rsidP="00286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10,000 wafers per month</w:t>
      </w:r>
    </w:p>
    <w:p w14:paraId="31854D67" w14:textId="77777777" w:rsidR="0028679C" w:rsidRPr="0028679C" w:rsidRDefault="0028679C" w:rsidP="0028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The system demonstrates:</w:t>
      </w:r>
    </w:p>
    <w:p w14:paraId="61F73CDC" w14:textId="77777777" w:rsidR="0028679C" w:rsidRPr="0028679C" w:rsidRDefault="0028679C" w:rsidP="00286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Meaningful monthly cost reduction</w:t>
      </w:r>
    </w:p>
    <w:p w14:paraId="64E6B8F5" w14:textId="77777777" w:rsidR="0028679C" w:rsidRPr="0028679C" w:rsidRDefault="0028679C" w:rsidP="00286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Strong annual ROI potential</w:t>
      </w:r>
    </w:p>
    <w:p w14:paraId="02528492" w14:textId="77777777" w:rsidR="0028679C" w:rsidRPr="0028679C" w:rsidRDefault="0028679C" w:rsidP="00286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Short payback period</w:t>
      </w:r>
    </w:p>
    <w:p w14:paraId="52DD6204" w14:textId="08EA9413" w:rsidR="0028679C" w:rsidRPr="0028679C" w:rsidRDefault="0028679C" w:rsidP="006E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Even modest predictive capability generates substantial financial value in high-cost manufacturing environments.</w:t>
      </w:r>
    </w:p>
    <w:p w14:paraId="120609D9" w14:textId="77777777" w:rsidR="0028679C" w:rsidRPr="0028679C" w:rsidRDefault="0028679C" w:rsidP="006E17F4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79C">
        <w:rPr>
          <w:rFonts w:ascii="Times New Roman" w:eastAsia="Times New Roman" w:hAnsi="Times New Roman" w:cs="Times New Roman"/>
          <w:b/>
          <w:bCs/>
          <w:sz w:val="36"/>
          <w:szCs w:val="36"/>
        </w:rPr>
        <w:t>6. Strategic Value</w:t>
      </w:r>
    </w:p>
    <w:p w14:paraId="0CB48DDF" w14:textId="77777777" w:rsidR="0028679C" w:rsidRPr="0028679C" w:rsidRDefault="0028679C" w:rsidP="00286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This system does not rely on perfect prediction accuracy.</w:t>
      </w:r>
      <w:r w:rsidRPr="0028679C">
        <w:rPr>
          <w:rFonts w:ascii="Times New Roman" w:eastAsia="Times New Roman" w:hAnsi="Times New Roman" w:cs="Times New Roman"/>
          <w:sz w:val="24"/>
          <w:szCs w:val="24"/>
        </w:rPr>
        <w:br/>
        <w:t>Instead, it provides:</w:t>
      </w:r>
    </w:p>
    <w:p w14:paraId="05B354CB" w14:textId="77777777" w:rsidR="0028679C" w:rsidRPr="0028679C" w:rsidRDefault="0028679C" w:rsidP="00286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Early risk visibility</w:t>
      </w:r>
    </w:p>
    <w:p w14:paraId="4BC8ACBD" w14:textId="77777777" w:rsidR="0028679C" w:rsidRPr="0028679C" w:rsidRDefault="0028679C" w:rsidP="00286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Process parameter prioritization</w:t>
      </w:r>
    </w:p>
    <w:p w14:paraId="6C97A2F4" w14:textId="77777777" w:rsidR="0028679C" w:rsidRPr="0028679C" w:rsidRDefault="0028679C" w:rsidP="00286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Financial decision support</w:t>
      </w:r>
    </w:p>
    <w:p w14:paraId="7814E9B5" w14:textId="2D5368FB" w:rsidR="00E16BF8" w:rsidRPr="006E17F4" w:rsidRDefault="0028679C" w:rsidP="006E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79C">
        <w:rPr>
          <w:rFonts w:ascii="Times New Roman" w:eastAsia="Times New Roman" w:hAnsi="Times New Roman" w:cs="Times New Roman"/>
          <w:sz w:val="24"/>
          <w:szCs w:val="24"/>
        </w:rPr>
        <w:t>It transforms raw sensor data into actionable operational and economic insight.</w:t>
      </w:r>
    </w:p>
    <w:sectPr w:rsidR="00E16BF8" w:rsidRPr="006E1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6571"/>
    <w:multiLevelType w:val="multilevel"/>
    <w:tmpl w:val="F47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55A4"/>
    <w:multiLevelType w:val="multilevel"/>
    <w:tmpl w:val="628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D5B34"/>
    <w:multiLevelType w:val="multilevel"/>
    <w:tmpl w:val="4AA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26C70"/>
    <w:multiLevelType w:val="multilevel"/>
    <w:tmpl w:val="ABD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A7AF8"/>
    <w:multiLevelType w:val="multilevel"/>
    <w:tmpl w:val="91D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A6A23"/>
    <w:multiLevelType w:val="multilevel"/>
    <w:tmpl w:val="FE1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9C"/>
    <w:rsid w:val="0028679C"/>
    <w:rsid w:val="006E17F4"/>
    <w:rsid w:val="00E16BF8"/>
    <w:rsid w:val="00FD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6BF4"/>
  <w15:chartTrackingRefBased/>
  <w15:docId w15:val="{528DF00F-DC21-43F7-95ED-2ECA5C5B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7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6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6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6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E17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4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Tewary</dc:creator>
  <cp:keywords/>
  <dc:description/>
  <cp:lastModifiedBy>Anshuman Tewary</cp:lastModifiedBy>
  <cp:revision>2</cp:revision>
  <dcterms:created xsi:type="dcterms:W3CDTF">2026-02-18T18:14:00Z</dcterms:created>
  <dcterms:modified xsi:type="dcterms:W3CDTF">2026-02-18T18:14:00Z</dcterms:modified>
</cp:coreProperties>
</file>