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0"/>
          <w:szCs w:val="30"/>
        </w:rPr>
        <w:t xml:space="preserve">ApexPlanet Data Analytics Internship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Task 2 — Exploratory Data Analysis (EDA) &amp; Business Intelligence</w:t>
      </w:r>
    </w:p>
    <w:p>
      <w:pPr>
        <w:spacing w:after="150"/>
      </w:pPr>
      <w:r>
        <w:t xml:space="preserve">This report covers descriptive statistics, univariate and multivariate visual analysis, and seven SQL-driven business questions answered against a normalized (fact + dimension) relational model built from the Task 1 cleaned dataset (1,000 transactions).</w:t>
      </w:r>
    </w:p>
    <w:p>
      <w:pPr>
        <w:pStyle w:val="Heading1"/>
        <w:spacing w:after="150" w:before="300"/>
      </w:pPr>
      <w:r>
        <w:t xml:space="preserve">1. Descriptive Statistics &amp; Univariate Analysis</w:t>
      </w:r>
    </w:p>
    <w:p>
      <w:pPr>
        <w:pStyle w:val="Heading2"/>
        <w:spacing w:after="120" w:before="240"/>
      </w:pPr>
      <w:r>
        <w:t xml:space="preserve">1.1 Numerical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125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Skew</w:t>
            </w:r>
          </w:p>
        </w:tc>
      </w:tr>
      <w:tr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41.3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13.7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Unit_Price (INR)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25,487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14,179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146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25,399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49,998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-0.03</w:t>
            </w:r>
          </w:p>
        </w:tc>
      </w:tr>
      <w:tr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Total_Sales (INR)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139,399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114,100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437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108,594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493,678</w:t>
            </w:r>
          </w:p>
        </w:tc>
        <w:tc>
          <w:tcPr>
            <w:tcW w:type="dxa" w:w="1125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Age, Quantity, and Unit_Price are all approximately symmetric (skew near 0), consistent with uniformly-distributed simulated ranges. Total_Sales is right-skewed (skew ≈ 0.99) because it is the product of two independent variables — a small share of orders combine both high quantity and high unit price, pulling the tail right.</w:t>
      </w:r>
    </w:p>
    <w:p>
      <w:pPr>
        <w:pStyle w:val="Heading2"/>
        <w:spacing w:after="120" w:before="240"/>
      </w:pPr>
      <w:r>
        <w:t xml:space="preserve">1.2 Categorical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Unique Values</w:t>
            </w:r>
          </w:p>
        </w:tc>
        <w:tc>
          <w:tcPr>
            <w:tcW w:type="dxa" w:w="30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Most Common (share)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 (51.1%)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Patna (13.5%)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(18.4%)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 (35.4%)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Age_Group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26-35 (22.3%)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Price_Tier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20K-40K (42.2%)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Electronics is the dominant category (35.4% of orders) and Mobile the top-selling individual product (18.4%). Gender is nearly balanced (51.1% Male / 48.9% Female). Premium-priced items (INR 20K–40K) make up the largest price tier at 42.2% of transactions.</w:t>
      </w:r>
    </w:p>
    <w:p>
      <w:pPr>
        <w:pStyle w:val="Heading2"/>
        <w:spacing w:after="120" w:before="240"/>
      </w:pPr>
      <w:r>
        <w:t xml:space="preserve">1.3 Distribution Charts</w:t>
      </w:r>
    </w:p>
    <w:p>
      <w:pPr>
        <w:spacing w:after="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Distributions of Age, Quantity, Unit_Price, and Total_Sales.</w:t>
      </w:r>
    </w:p>
    <w:p>
      <w:pPr>
        <w:spacing w:after="60"/>
        <w:jc w:val="center"/>
      </w:pPr>
      <w:r>
        <w:drawing>
          <wp:inline distT="0" distB="0" distL="0" distR="0">
            <wp:extent cx="5334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Order counts by Category, City, Gender, and Age Group.</w:t>
      </w:r>
    </w:p>
    <w:p>
      <w:pPr>
        <w:spacing w:after="6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Total revenue by Category and by Product.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SQL for Business Questions</w:t>
      </w:r>
    </w:p>
    <w:p>
      <w:pPr>
        <w:spacing w:after="150"/>
      </w:pPr>
      <w:r>
        <w:t xml:space="preserve">A normalized schema was built in SQLite from the cleaned dataset to practice filtering, aggregation, and multi-table joins: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dim_customers (Customer_ID, Customer_Name, Age, Gender, City) — 947 unique customers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dim_products (Product, Category) — 6 products across 5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fact_sales (Order_ID, Order_Date, Customer_ID, Product, Quantity, Unit_Price, Total_Sales, date parts) — 1,000 transactions</w:t>
      </w:r>
    </w:p>
    <w:p>
      <w:pPr>
        <w:spacing w:after="150"/>
      </w:pPr>
      <w:r>
        <w:t xml:space="preserve">Full SQL text for all 7 queries is in sql_business_questions.sql; full result sets are in sql_query_results.xlsx. Key results below.</w:t>
      </w:r>
    </w:p>
    <w:p>
      <w:pPr>
        <w:pStyle w:val="Heading2"/>
        <w:spacing w:after="120" w:before="240"/>
      </w:pPr>
      <w:r>
        <w:t xml:space="preserve">Q1. Top 5 products by revenue in the last 6 months of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13,009,495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12,739,833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11,560,952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467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11,149,392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10,215,564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Q3. Which city generates the highest revenue and average order value?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Order Value (INR)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Kolkata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19,932,381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145,492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Bengaluru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19,345,877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149,968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Patna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19,067,769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140,204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Mumbai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17,819,673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137,074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17,391,714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138,029</w:t>
            </w:r>
          </w:p>
        </w:tc>
      </w:tr>
    </w:tbl>
    <w:p>
      <w:pPr>
        <w:spacing w:after="150"/>
      </w:pPr>
      <w:r>
        <w:t xml:space="preserve">Kolkata leads in total revenue, but Pune has the highest average order value (INR 150,256) despite fewer orders — a smaller, higher-spending customer base.</w:t>
      </w:r>
    </w:p>
    <w:p>
      <w:pPr>
        <w:pStyle w:val="Heading2"/>
        <w:spacing w:after="120" w:before="240"/>
      </w:pPr>
      <w:r>
        <w:t xml:space="preserve">Q4. Which customer age group contributes the most revenue?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Order Value (INR)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26-35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31,745,367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139,847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36-45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29,831,683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138,110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56-65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27,508,192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139,635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46-55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27,506,685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134,837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22,807,512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146,202</w:t>
            </w:r>
          </w:p>
        </w:tc>
      </w:tr>
    </w:tbl>
    <w:p>
      <w:pPr>
        <w:spacing w:after="150"/>
      </w:pPr>
      <w:r>
        <w:t xml:space="preserve">The 26-35 age group contributes the most total revenue, but the 18-25 group has the highest average order value (INR 146,202) — fewer, larger purchases.</w:t>
      </w:r>
    </w:p>
    <w:p>
      <w:pPr>
        <w:pStyle w:val="Heading2"/>
        <w:spacing w:after="120" w:before="240"/>
      </w:pPr>
      <w:r>
        <w:t xml:space="preserve">Q7. Weekday vs. weekend sales pattern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 Type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225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Order Value (INR)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Weekday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101,028,319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141,894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Weekend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288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38,371,120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133,233</w:t>
            </w:r>
          </w:p>
        </w:tc>
      </w:tr>
    </w:tbl>
    <w:p>
      <w:pPr>
        <w:spacing w:after="150"/>
      </w:pPr>
      <w:r>
        <w:t xml:space="preserve">Weekdays account for ~71% of orders and ~72% of revenue, roughly proportional to the 5:2 weekday/weekend day-count ratio — order value per transaction is similar across both.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Multivariate Analysis &amp; Correlation</w:t>
      </w:r>
    </w:p>
    <w:p>
      <w:pPr>
        <w:pStyle w:val="Heading2"/>
        <w:spacing w:after="120" w:before="240"/>
      </w:pPr>
      <w:r>
        <w:t xml:space="preserve">3.1 Correlation Heatmap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shd w:fill="1F4E7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Total_Sales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0.69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Total_Sales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0.69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150"/>
      </w:pPr>
    </w:p>
    <w:p>
      <w:pPr>
        <w:spacing w:after="60"/>
        <w:jc w:val="center"/>
      </w:pPr>
      <w:r>
        <w:drawing>
          <wp:inline distT="0" distB="0" distL="0" distR="0">
            <wp:extent cx="4000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Correlation heatmap across numerical variables.</w:t>
      </w:r>
    </w:p>
    <w:p>
      <w:pPr>
        <w:spacing w:after="150"/>
      </w:pPr>
      <w:r>
        <w:t xml:space="preserve">Total_Sales correlates moderately with both Quantity (r=0.65) and Unit_Price (r=0.69) — expected, since it is their product. Age shows essentially no linear relationship with any purchasing variable (|r| &lt; 0.03), meaning age alone is a weak predictor of spend in this dataset.</w:t>
      </w:r>
    </w:p>
    <w:p>
      <w:pPr>
        <w:pStyle w:val="Heading2"/>
        <w:spacing w:after="120" w:before="240"/>
      </w:pPr>
      <w:r>
        <w:t xml:space="preserve">3.2 Age vs. Total Sales, by Category</w:t>
      </w:r>
    </w:p>
    <w:p>
      <w:pPr>
        <w:spacing w:after="60"/>
        <w:jc w:val="center"/>
      </w:pPr>
      <w:r>
        <w:drawing>
          <wp:inline distT="0" distB="0" distL="0" distR="0">
            <wp:extent cx="4953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5. Age vs Total Sales, colored by Category — no visible age-based clustering.</w:t>
      </w:r>
    </w:p>
    <w:p>
      <w:pPr>
        <w:pStyle w:val="Heading2"/>
        <w:spacing w:after="120" w:before="240"/>
      </w:pPr>
      <w:r>
        <w:t xml:space="preserve">3.3 Unit Price vs. Quantity</w:t>
      </w:r>
    </w:p>
    <w:p>
      <w:pPr>
        <w:spacing w:after="60"/>
        <w:jc w:val="center"/>
      </w:pPr>
      <w:r>
        <w:drawing>
          <wp:inline distT="0" distB="0" distL="0" distR="0">
            <wp:extent cx="4953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6. Unit Price vs Quantity — confirms these two drivers of revenue are uncorrelated with each other.</w:t>
      </w:r>
    </w:p>
    <w:p>
      <w:pPr>
        <w:pStyle w:val="Heading2"/>
        <w:spacing w:after="120" w:before="240"/>
      </w:pPr>
      <w:r>
        <w:t xml:space="preserve">3.4 Age Distribution by Product Category</w:t>
      </w:r>
    </w:p>
    <w:p>
      <w:pPr>
        <w:spacing w:after="6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7. Age spread is similar across all categories — no category skews toward a particular age group.</w:t>
      </w:r>
    </w:p>
    <w:p>
      <w:pPr>
        <w:pStyle w:val="Heading2"/>
        <w:spacing w:after="120" w:before="240"/>
      </w:pPr>
      <w:r>
        <w:t xml:space="preserve">3.5 Pair Plot</w:t>
      </w:r>
    </w:p>
    <w:p>
      <w:pPr>
        <w:spacing w:after="60"/>
        <w:jc w:val="center"/>
      </w:pPr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8. Pairwise relationships between Age, Quantity, Unit Price, and Total Sales, by Category.</w:t>
      </w:r>
    </w:p>
    <w:p>
      <w:pPr>
        <w:pStyle w:val="Heading2"/>
        <w:spacing w:after="120" w:before="240"/>
      </w:pPr>
      <w:r>
        <w:t xml:space="preserve">3.6 Monthly Revenue Trend</w:t>
      </w:r>
    </w:p>
    <w:p>
      <w:pPr>
        <w:spacing w:after="6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9. Monthly revenue is fairly stable (~INR 9-13M/month) with no strong seasonal pattern in this sample.</w:t>
      </w:r>
    </w:p>
    <w:p>
      <w:pPr>
        <w:pStyle w:val="Heading1"/>
        <w:spacing w:after="150" w:before="300"/>
      </w:pPr>
      <w:r>
        <w:t xml:space="preserve">4.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(led by Mobile and Laptop) is the strongest category by both order volume and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Total_Sales is driven jointly by Quantity and Unit_Price (each r ≈ 0.65-0.69); neither Age nor Gender meaningfully predicts spend on their 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Kolkata, Bengaluru, and Patna are the top three cities by revenue; Pune stands out for the highest average order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26-35 age group is the single largest revenue contributor; the 18-25 group spends the most per order on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are steady month-to-month with no dramatic seasonality, and weekday/weekend performance is proportional to the number of days in each.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d5b3788c44f912d8209bf1566a4de906c227b2.png"/><Relationship Id="rId8" Type="http://schemas.openxmlformats.org/officeDocument/2006/relationships/image" Target="media/1419494f4abfe56cfd2cfce29042b1a19a163460.png"/><Relationship Id="rId9" Type="http://schemas.openxmlformats.org/officeDocument/2006/relationships/image" Target="media/4154677408fc4964c3f8684adcd72401f31bee3a.png"/><Relationship Id="rId10" Type="http://schemas.openxmlformats.org/officeDocument/2006/relationships/image" Target="media/23771cf6c302591d51c8eb0c7771151a957cf966.png"/><Relationship Id="rId11" Type="http://schemas.openxmlformats.org/officeDocument/2006/relationships/image" Target="media/2172a5fabcd9b4f76743bb84fbc5ac866b3caa43.png"/><Relationship Id="rId12" Type="http://schemas.openxmlformats.org/officeDocument/2006/relationships/image" Target="media/ffcd6a4a968854212b93ce260481cd3751739791.png"/><Relationship Id="rId13" Type="http://schemas.openxmlformats.org/officeDocument/2006/relationships/image" Target="media/a8150f7a468b8ef204a412b66c9f84eba10164b4.png"/><Relationship Id="rId14" Type="http://schemas.openxmlformats.org/officeDocument/2006/relationships/image" Target="media/c30c8743ce9af559c5cbd0ad66c6e20abfa98e8e.png"/><Relationship Id="rId15" Type="http://schemas.openxmlformats.org/officeDocument/2006/relationships/image" Target="media/5cf1704eb75256c39b58ffbc41f2247baf2808b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2026-07-04T18:26:00.604Z</dcterms:created>
  <dcterms:modified xsi:type="dcterms:W3CDTF">2026-07-04T18:26:00.605Z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