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2: Containerization &amp; Kubernetes Orchestration</w:t>
      </w:r>
    </w:p>
    <w:p>
      <w:pPr>
        <w:jc w:val="center"/>
      </w:pPr>
      <w:r>
        <w:rPr>
          <w:b/>
          <w:color w:val="27AE60"/>
          <w:sz w:val="28"/>
        </w:rPr>
        <w:t>Task 2: Manage Docker Containers, Images &amp; Docker Compose</w:t>
      </w:r>
    </w:p>
    <w:p>
      <w:r>
        <w:t>Score Weightage: 5 Marks | Submission Mode: File Upload</w:t>
      </w:r>
    </w:p>
    <w:p>
      <w:r>
        <w:t>---------------------------------------------------------------------------</w:t>
      </w:r>
    </w:p>
    <w:p>
      <w:pPr>
        <w:pStyle w:val="Heading1"/>
      </w:pPr>
      <w:r>
        <w:t>1. Container Lifecycle Management (Screenshot)</w:t>
      </w:r>
    </w:p>
    <w:p>
      <w:r>
        <w:t>Demonstration of container inspection, stopping, starting, removing, and system disk cleanup:</w:t>
      </w:r>
    </w:p>
    <w:p>
      <w:r>
        <w:drawing>
          <wp:inline xmlns:a="http://schemas.openxmlformats.org/drawingml/2006/main" xmlns:pic="http://schemas.openxmlformats.org/drawingml/2006/picture">
            <wp:extent cx="5669280" cy="3527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01_container_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Image Tagging &amp; Registry Push to Docker Hub (Screenshot)</w:t>
      </w:r>
    </w:p>
    <w:p>
      <w:r>
        <w:t>Demonstration of logging in, tagging with version and latest tags, and pushing layers to registry:</w:t>
      </w:r>
    </w:p>
    <w:p>
      <w:r>
        <w:drawing>
          <wp:inline xmlns:a="http://schemas.openxmlformats.org/drawingml/2006/main" xmlns:pic="http://schemas.openxmlformats.org/drawingml/2006/picture">
            <wp:extent cx="5669280" cy="2557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02_docker_tag_and_pu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Multi-Container Orchestration with Docker Compose (Screenshot)</w:t>
      </w:r>
    </w:p>
    <w:p>
      <w:r>
        <w:t>Starting multi-container stack (Flask Web Service + Redis Cache Database) via docker compose up:</w:t>
      </w:r>
    </w:p>
    <w:p>
      <w:r>
        <w:drawing>
          <wp:inline xmlns:a="http://schemas.openxmlformats.org/drawingml/2006/main" xmlns:pic="http://schemas.openxmlformats.org/drawingml/2006/picture">
            <wp:extent cx="5669280" cy="22803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03_compose_build_and_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8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Multi-Service Communication &amp; Volume Persistence (Screenshot)</w:t>
      </w:r>
    </w:p>
    <w:p>
      <w:r>
        <w:t>Testing persistent session hit counts across services and tearing down the stack:</w:t>
      </w:r>
    </w:p>
    <w:p>
      <w:r>
        <w:drawing>
          <wp:inline xmlns:a="http://schemas.openxmlformats.org/drawingml/2006/main" xmlns:pic="http://schemas.openxmlformats.org/drawingml/2006/picture">
            <wp:extent cx="5669280" cy="26960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04_compose_testing_and_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605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