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Analytical Report on the State Mandatory Standards of Higher Education</w:t>
      </w:r>
    </w:p>
    <w:p>
      <w:r>
        <w:t>Document Analyzed: On approval of state mandatory standards of higher and postgraduate education (Order of the Minister of Science and Higher Education No. 2, July 20, 2022).</w:t>
      </w:r>
    </w:p>
    <w:p>
      <w:pPr>
        <w:pStyle w:val="Heading1"/>
      </w:pPr>
      <w:r>
        <w:t>Introduction</w:t>
      </w:r>
    </w:p>
    <w:p>
      <w:r>
        <w:t>The analyzed document is a foundational regulatory act framing higher and postgraduate education in the Republic of Kazakhstan [1]. It establishes uniform rules for universities regarding program structures, minimum workloads, and definitive learning outcomes, strictly adhering to the national parameters set by the Law "On Education" [2].</w:t>
      </w:r>
    </w:p>
    <w:p>
      <w:pPr>
        <w:pStyle w:val="Heading1"/>
      </w:pPr>
      <w:r>
        <w:t>Goals</w:t>
      </w:r>
    </w:p>
    <w:p>
      <w:r>
        <w:t>The paramount goal is ensuring high-quality, internationally competitive higher education [3-5]. By integrating the European Credit Transfer and Accumulation System (ECTS), the standard directly facilitates academic mobility, enhances qualification transparency, and systematically aligns graduate competencies with global labor market demands [6, 7].</w:t>
      </w:r>
    </w:p>
    <w:p>
      <w:pPr>
        <w:pStyle w:val="Heading1"/>
      </w:pPr>
      <w:r>
        <w:t>Objectives of the Document</w:t>
      </w:r>
    </w:p>
    <w:p>
      <w:r>
        <w:t>The act pursues distinct interrelated objectives:</w:t>
      </w:r>
    </w:p>
    <w:p>
      <w:pPr>
        <w:pStyle w:val="ListBullet"/>
      </w:pPr>
      <w:r>
        <w:t>Structuring Content: Mandates the division into general education (minimum 56 credits), basic, and profiling disciplines, ensuring foundational literacies [8].</w:t>
      </w:r>
    </w:p>
    <w:p>
      <w:pPr>
        <w:pStyle w:val="ListBullet"/>
      </w:pPr>
      <w:r>
        <w:t>Competence-Based Learning: Establishes descriptors and learning outcomes focusing heavily on pragmatic skills (e.g., microqualifications) rather than only theoretical assimilation [9, 10].</w:t>
      </w:r>
    </w:p>
    <w:p>
      <w:pPr>
        <w:pStyle w:val="ListBullet"/>
      </w:pPr>
      <w:r>
        <w:t>Workload Regulation: Standardizes maximum academic loads, balancing formal contact hours and students' independent study [11].</w:t>
      </w:r>
    </w:p>
    <w:p>
      <w:pPr>
        <w:pStyle w:val="Heading1"/>
      </w:pPr>
      <w:r>
        <w:t>Scope of Regulation</w:t>
      </w:r>
    </w:p>
    <w:p>
      <w:r>
        <w:t>This regulation governs the pedagogical architecture across Bachelor's, Master's, and Doctoral degrees [12]. It explicitly prescribes the balance between mandatory elements, university-determined subjects, and elective courses, alongside defining assessment criteria and graduation requirements across all educational forms [13, 14].</w:t>
      </w:r>
    </w:p>
    <w:p>
      <w:pPr>
        <w:pStyle w:val="Heading1"/>
      </w:pPr>
      <w:r>
        <w:t>Development Rationale</w:t>
      </w:r>
    </w:p>
    <w:p>
      <w:r>
        <w:t>Developed under the Law "On Education," this advanced standard proactively modernizes educational infrastructure. The inclusion of flexible mechanisms—such as Individual Study Plans, stackable degrees, and nano-credits—reflects a deliberate shift towards continuous adaptability [15]. Furthermore, by granting universities autonomy in modifying certain state-mandated syllabi, the legislative framework effectively bridges formal academic theory with dynamic, employer-driven requirements [16].</w:t>
      </w:r>
    </w:p>
    <w:p>
      <w:pPr>
        <w:pStyle w:val="Heading1"/>
      </w:pPr>
      <w:r>
        <w:t>Conclusion</w:t>
      </w:r>
    </w:p>
    <w:p>
      <w:r>
        <w:t>The Act functions as an essential pedagogical mechanism [17]. It successfully reconciles strict state oversight—through mandatory fundamental disciplines—with the vital institutional autonomy needed to cultivate flexible, student-centered learning trajectories aligned perfectly with contemporary economic contexts.</w:t>
      </w:r>
    </w:p>
    <w:p>
      <w:pPr>
        <w:pStyle w:val="Heading1"/>
      </w:pPr>
      <w:r>
        <w:t>References</w:t>
      </w:r>
    </w:p>
    <w:p>
      <w:r>
        <w:t>1. Ministry of Science and Higher Education of the Republic of Kazakhstan. (2022). On approval of state mandatory standards of higher and postgraduate education. Order No. 2, July 20, 2022. Adilet Legal Information System. Available at: https://adilet.zan.kz/rus/docs/V2200028916</w:t>
      </w:r>
    </w:p>
    <w:p>
      <w:r>
        <w:t>2. Parliament of the Republic of Kazakhstan. (2023). Law of the Republic of Kazakhstan "On Education" (Amended 2023). Adilet Legal Information System. Available at: https://adilet.zan.kz/rus/docs/Z070000319_</w:t>
      </w:r>
    </w:p>
    <w:p>
      <w:r>
        <w:t>3. Unknown et al. (2025). RISKS OF TRANSNATIONAL EDUCATION IN KAZAKHSTAN: OPENINGAND OPERATION OF INTERNATIONAL BRANCH CAMPUSES. DOI: https://doi.org/10.59787/2413-5488-2025-52-4-67-83</w:t>
      </w:r>
    </w:p>
    <w:p>
      <w:r>
        <w:t>4. Aimoldina et al. (2024). EXPLORING NEEDS ANALYSIS AMONG HIGHER EDUCATION STUDENTS IN TEACHING LANGUAGES FOR SPECIFIC PURPOSES. DOI: https://doi.org/10.59787/2413-5488-2024-46-2-88-100</w:t>
      </w:r>
    </w:p>
    <w:p>
      <w:r>
        <w:t>5. Zhunussova et al. (2025). Five metafunctions of good university teachers: a narrative inquiry in Kazakhstan. DOI: https://doi.org/10.1080/13562517.2025.2587644</w:t>
      </w:r>
    </w:p>
    <w:p>
      <w:r>
        <w:t>6. Unknown et al. (2025). GENDER EQUALITY IN HIGHER EDUCATION: INTERNATIONAL EXPERIENCE AND THE KAZAKHSTANI PRACTICE. DOI: https://doi.org/10.59787/2413-5488-2025-52-4-99-117</w:t>
      </w:r>
    </w:p>
    <w:p>
      <w:r>
        <w:t>7. Unknown et al. (2025). THE FUNDAMENTAL VALUES OF THE EUROPEAN HIGHER EDUCATION AREA: WHAT ARE THEY, AND HOW DID THEY DEVELOP?. DOI: https://doi.org/10.59787/2413-5488-2025-52-4-118-128</w:t>
      </w:r>
    </w:p>
    <w:p>
      <w:r>
        <w:t>8. Unknown et al. (2025). DIGITAL APPROACHES FOR IMPLEMENTING GAME-BASED TECHNOLOGIES IN FOREIGN LANGUAGE TEACHING FOR STUDENTS. DOI: https://doi.org/10.59787/2413-5488-2025-52-4-19-28</w:t>
      </w:r>
    </w:p>
    <w:p>
      <w:r>
        <w:t>9. Zhankorazova et al. (2025). Comparison of left ventricular hemodynamic forces measured by transthoracic echocardiography and cardiac magnetic resonance imaging in healthy adults. DOI: https://doi.org/10.1038/s41598-025-13966-5</w:t>
      </w:r>
    </w:p>
    <w:p>
      <w:r>
        <w:t>10. Moldashev et al. (2025). UNDERGRADUATES’ PERSPECTIVES ON TEACHING AS A CAREER: EVIDENCE FROM KAZAKHSTAN. DOI: https://doi.org/10.59787/2413-5488-2025-51-3-92-106</w:t>
      </w:r>
    </w:p>
    <w:p>
      <w:r>
        <w:t>11. Mukhamejanova et al. (2025). Research-based teacher education in Kazakhstan: student perspectives on educational research methods courses. DOI: https://doi.org/10.1080/02607476.2025.2503008</w:t>
      </w:r>
    </w:p>
    <w:p>
      <w:r>
        <w:t>12. Rakisheva et al. (2025). MOF-decorated track-etched membranes for the U(VI) ions sorption removal. DOI: https://doi.org/10.1038/s41598-025-20467-y</w:t>
      </w:r>
    </w:p>
    <w:p>
      <w:r>
        <w:t>13. Unknown et al. (2024). Enhancing Geometry Teaching in STEAM Education with Interactive Learning Environments. DOI: https://doi.org/10.18178/ijiet.2024.14.9.2153</w:t>
      </w:r>
    </w:p>
    <w:p>
      <w:r>
        <w:t>14. Sarmanov et al. (2024). Salinisation effects on benthic invertebrate assemblages in shallow lakes in arid and semiarid climate zones. DOI: https://doi.org/10.1038/s41598-024-82527-z</w:t>
      </w:r>
    </w:p>
    <w:p>
      <w:r>
        <w:t>15. Kalendar et al. (2025). Comprehensive web-based platform for advanced PCR design, genotyping, synthetic biology, molecular diagnostics, and sequence analysis. DOI: https://doi.org/10.1016/j.omtn.2025.102716</w:t>
      </w:r>
    </w:p>
    <w:p>
      <w:r>
        <w:t>16. Abilmazhinova et al. (2024). STATE REGULATION OF QUALITY ASSURANCE OF HIGHER EDUCATION IN THE REPUBLIC OF KAZAKHSTAN. DOI: https://doi.org/10.59787/2413-5488-2024-45-1-23-31</w:t>
      </w:r>
    </w:p>
    <w:p>
      <w:r>
        <w:t>17. Unknown et al. (2025). THE IMPACT OF INTERNATIONAL UNIVERSITY EDUCATIONAL PROGRAMS ON THE COMPETITIVENESS OF KAZAKHSTANI STUDENTS. DOI: https://doi.org/10.59787/2413-5488-2025-52-4-84-98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