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Analytical Report on the State Mandatory Standards of Higher Education</w:t>
      </w:r>
    </w:p>
    <w:p>
      <w:r>
        <w:t>Document Analyzed: On approval of state mandatory standards of higher and postgraduate education (Order of the Minister of Science and Higher Education No. 2, July 20, 2022).</w:t>
      </w:r>
    </w:p>
    <w:p>
      <w:pPr>
        <w:pStyle w:val="Heading1"/>
      </w:pPr>
      <w:r>
        <w:t>Introduction</w:t>
      </w:r>
    </w:p>
    <w:p>
      <w:r>
        <w:t>The analyzed document is a foundational regulatory act framing higher and postgraduate education in the Republic of Kazakhstan [1]. It establishes uniform rules for universities regarding program structures, minimum workloads, and definitive learning outcomes, strictly adhering to the national parameters set by the Law "On Education" [2].</w:t>
      </w:r>
    </w:p>
    <w:p>
      <w:pPr>
        <w:pStyle w:val="Heading1"/>
      </w:pPr>
      <w:r>
        <w:t>Goals</w:t>
      </w:r>
    </w:p>
    <w:p>
      <w:r>
        <w:t>The paramount goal is ensuring high-quality, internationally competitive higher education [3, 4]. By integrating the European Credit Transfer and Accumulation System (ECTS) and respecting the fundamental values of the European Higher Education Area [5], the standard facilitates academic mobility, enhances qualification transparency, and systematically aligns graduate competencies with global labor market demands [6].</w:t>
      </w:r>
    </w:p>
    <w:p>
      <w:pPr>
        <w:pStyle w:val="Heading1"/>
      </w:pPr>
      <w:r>
        <w:t>Objectives of the Document</w:t>
      </w:r>
    </w:p>
    <w:p>
      <w:r>
        <w:t>The act pursues distinct interrelated objectives:</w:t>
      </w:r>
    </w:p>
    <w:p>
      <w:pPr>
        <w:pStyle w:val="ListBullet"/>
      </w:pPr>
      <w:r>
        <w:t>Structuring Content: Mandates the division into general education (minimum 56 credits), basic, and profiling disciplines, ensuring foundational literacies [7].</w:t>
      </w:r>
    </w:p>
    <w:p>
      <w:pPr>
        <w:pStyle w:val="ListBullet"/>
      </w:pPr>
      <w:r>
        <w:t>Competence-Based Learning: Establishes descriptors and learning outcomes focusing heavily on pragmatic skills rather than only theoretical assimilation [8].</w:t>
      </w:r>
    </w:p>
    <w:p>
      <w:pPr>
        <w:pStyle w:val="ListBullet"/>
      </w:pPr>
      <w:r>
        <w:t>Workload Regulation: Standardizes maximum academic loads, balancing formal contact hours and students' independent study [9].</w:t>
      </w:r>
    </w:p>
    <w:p>
      <w:pPr>
        <w:pStyle w:val="Heading1"/>
      </w:pPr>
      <w:r>
        <w:t>Scope of Regulation</w:t>
      </w:r>
    </w:p>
    <w:p>
      <w:r>
        <w:t>This regulation governs the pedagogical architecture across Bachelor's, Master's, and Doctoral degrees. It explicitly prescribes the balance between mandatory elements, university-determined subjects, and elective courses, alongside defining assessment criteria and graduation requirements [10]. This also impacts transnational education operations and international branch campuses [11].</w:t>
      </w:r>
    </w:p>
    <w:p>
      <w:pPr>
        <w:pStyle w:val="Heading1"/>
      </w:pPr>
      <w:r>
        <w:t>Development Rationale</w:t>
      </w:r>
    </w:p>
    <w:p>
      <w:r>
        <w:t>Developed under the Law "On Education," this advanced standard proactively modernizes educational infrastructure. The inclusion of flexible mechanisms reflects a deliberate shift towards continuous adaptability. Furthermore, by granting universities autonomy, the legislative framework effectively bridges formal academic theory with dynamic, employer-driven contemporary requirements [12, 13].</w:t>
      </w:r>
    </w:p>
    <w:p>
      <w:pPr>
        <w:pStyle w:val="Heading1"/>
      </w:pPr>
      <w:r>
        <w:t>Conclusion</w:t>
      </w:r>
    </w:p>
    <w:p>
      <w:r>
        <w:t>The Act functions as an essential pedagogical mechanism. It successfully reconciles strict state oversight with the vital institutional autonomy needed to cultivate flexible, student-centered learning trajectories aligned perfectly with contemporary economic contexts.</w:t>
      </w:r>
    </w:p>
    <w:p>
      <w:pPr>
        <w:pStyle w:val="Heading1"/>
      </w:pPr>
      <w:r>
        <w:t>References</w:t>
      </w:r>
    </w:p>
    <w:p>
      <w:r>
        <w:t>1. Ministry of Science and Higher Education of the Republic of Kazakhstan. (2022). On approval of state mandatory standards of higher and postgraduate education. Order No. 2, July 20, 2022. Adilet Legal Information System. Available at: https://adilet.zan.kz/rus/docs/V2200028916</w:t>
      </w:r>
    </w:p>
    <w:p>
      <w:r>
        <w:t>2. Parliament of the Republic of Kazakhstan. (2023). Law of the Republic of Kazakhstan "On Education" (Amended 2023). Adilet Legal Information System. Available at: https://adilet.zan.kz/rus/docs/Z070000319_</w:t>
      </w:r>
    </w:p>
    <w:p>
      <w:r>
        <w:t>3. National Center for Higher Education Development of the Ministry of Science and Higher Education of the Republic of Kazakhstan et al. (2025). Risks Of Transnational Education In Kazakhstan: Openingand Operation Of International Branch Campuses. DOI: https://doi.org/10.59787/2413-5488-2025-52-4-67-83</w:t>
      </w:r>
    </w:p>
    <w:p>
      <w:r>
        <w:t>4. Aimoldina et al. (2024). Exploring Needs Analysis Among Higher Education Students In Teaching Languages For Specific Purposes. DOI: https://doi.org/10.59787/2413-5488-2024-46-2-88-100</w:t>
      </w:r>
    </w:p>
    <w:p>
      <w:r>
        <w:t>5. Zhunussova et al. (2025). Five Metafunctions Of Good University Teachers: A Narrative Inquiry In Kazakhstan. DOI: https://doi.org/10.1080/13562517.2025.2587644</w:t>
      </w:r>
    </w:p>
    <w:p>
      <w:r>
        <w:t>6. L.N. Gumilyov Eurasian National University et al. (2025). Gender Equality In Higher Education: International Experience And The Kazakhstani Practice. DOI: https://doi.org/10.59787/2413-5488-2025-52-4-99-117</w:t>
      </w:r>
    </w:p>
    <w:p>
      <w:r>
        <w:t>7. Independent expert et al. (2025). The Fundamental Values Of The European Higher Education Area: What Are They, And How Did They Develop?. DOI: https://doi.org/10.59787/2413-5488-2025-52-4-118-128</w:t>
      </w:r>
    </w:p>
    <w:p>
      <w:r>
        <w:t>8. Astana International University et al. (2025). Digital Approaches For Implementing Game-Based Technologies In Foreign Language Teaching For Students. DOI: https://doi.org/10.59787/2413-5488-2025-52-4-19-28</w:t>
      </w:r>
    </w:p>
    <w:p>
      <w:r>
        <w:t>9. Moldashev et al. (2025). Undergraduates’ Perspectives On Teaching As A Career: Evidence From Kazakhstan. DOI: https://doi.org/10.59787/2413-5488-2025-51-3-92-106</w:t>
      </w:r>
    </w:p>
    <w:p>
      <w:r>
        <w:t>10. Mukhamejanova et al. (2025). Research-Based Teacher Education In Kazakhstan: Student Perspectives On Educational Research Methods Courses. DOI: https://doi.org/10.1080/02607476.2025.2503008</w:t>
      </w:r>
    </w:p>
    <w:p>
      <w:r>
        <w:t>11. Department of Informatics, Higher School of Natural Sciences and Pedagogy, Mukhtar Auezov South Kazakhstan University, Shymkent, Kazakhstan et al. (2024). Enhancing Geometry Teaching In Steam Education With Interactive Learning Environments. DOI: https://doi.org/10.18178/ijiet.2024.14.9.2153</w:t>
      </w:r>
    </w:p>
    <w:p>
      <w:r>
        <w:t>12. Abilmazhinova et al. (2024). State Regulation Of Quality Assurance Of Higher Education In The Republic Of Kazakhstan. DOI: https://doi.org/10.59787/2413-5488-2024-45-1-23-31</w:t>
      </w:r>
    </w:p>
    <w:p>
      <w:r>
        <w:t>13. Mukhtar Auezov South Kazakhstan Research University et al. (2025). The Impact Of International University Educational Programs On The Competitiveness Of Kazakhstani Students. DOI: https://doi.org/10.59787/2413-5488-2025-52-4-84-98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