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F4CDA" w14:textId="77777777" w:rsidR="000272E5" w:rsidRDefault="000272E5">
      <w:pPr>
        <w:spacing w:line="240" w:lineRule="auto"/>
        <w:rPr>
          <w:rFonts w:ascii="Google Sans" w:eastAsia="Google Sans" w:hAnsi="Google Sans" w:cs="Google Sans"/>
          <w:b/>
          <w:color w:val="0070C0"/>
          <w:u w:val="single"/>
        </w:rPr>
      </w:pPr>
    </w:p>
    <w:p w14:paraId="78A43AA8" w14:textId="77777777" w:rsidR="000272E5"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14:paraId="4F6B3BC9" w14:textId="77777777" w:rsidR="000272E5"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5FE1787E" w14:textId="77777777" w:rsidR="000272E5"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 xml:space="preserve">As you continue through this course, you may use this template to record your findings after completing an activity or just to take notes on what you've learned about a specific tool or concept. You can also use this chart </w:t>
      </w:r>
      <w:proofErr w:type="gramStart"/>
      <w:r>
        <w:rPr>
          <w:rFonts w:ascii="Google Sans" w:eastAsia="Google Sans" w:hAnsi="Google Sans" w:cs="Google Sans"/>
          <w:sz w:val="24"/>
          <w:szCs w:val="24"/>
        </w:rPr>
        <w:t>as a way to</w:t>
      </w:r>
      <w:proofErr w:type="gramEnd"/>
      <w:r>
        <w:rPr>
          <w:rFonts w:ascii="Google Sans" w:eastAsia="Google Sans" w:hAnsi="Google Sans" w:cs="Google Sans"/>
          <w:sz w:val="24"/>
          <w:szCs w:val="24"/>
        </w:rPr>
        <w:t xml:space="preserve"> continue practicing applying the NIST CSF framework to different situations you may encounter.</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0272E5" w14:paraId="1539AFEA" w14:textId="77777777">
        <w:trPr>
          <w:trHeight w:val="420"/>
        </w:trPr>
        <w:tc>
          <w:tcPr>
            <w:tcW w:w="2055" w:type="dxa"/>
            <w:tcMar>
              <w:top w:w="100" w:type="dxa"/>
              <w:left w:w="100" w:type="dxa"/>
              <w:bottom w:w="100" w:type="dxa"/>
              <w:right w:w="100" w:type="dxa"/>
            </w:tcMar>
          </w:tcPr>
          <w:p w14:paraId="67D857E2" w14:textId="77777777" w:rsidR="000272E5" w:rsidRDefault="00000000">
            <w:pPr>
              <w:widowControl w:val="0"/>
              <w:spacing w:line="360" w:lineRule="auto"/>
              <w:rPr>
                <w:rFonts w:ascii="Google Sans" w:eastAsia="Google Sans" w:hAnsi="Google Sans" w:cs="Google Sans"/>
                <w:b/>
              </w:rPr>
            </w:pPr>
            <w:r>
              <w:rPr>
                <w:rFonts w:ascii="Google Sans" w:eastAsia="Google Sans" w:hAnsi="Google Sans" w:cs="Google Sans"/>
                <w:b/>
              </w:rPr>
              <w:t>Summary</w:t>
            </w:r>
          </w:p>
        </w:tc>
        <w:tc>
          <w:tcPr>
            <w:tcW w:w="8025" w:type="dxa"/>
            <w:tcMar>
              <w:top w:w="100" w:type="dxa"/>
              <w:left w:w="100" w:type="dxa"/>
              <w:bottom w:w="100" w:type="dxa"/>
              <w:right w:w="100" w:type="dxa"/>
            </w:tcMar>
          </w:tcPr>
          <w:p w14:paraId="71B05855" w14:textId="77777777" w:rsidR="000272E5" w:rsidRDefault="00000000">
            <w:pPr>
              <w:widowControl w:val="0"/>
              <w:spacing w:line="360" w:lineRule="auto"/>
              <w:rPr>
                <w:rFonts w:ascii="Google Sans" w:eastAsia="Google Sans" w:hAnsi="Google Sans" w:cs="Google Sans"/>
              </w:rPr>
            </w:pPr>
            <w:r>
              <w:rPr>
                <w:rFonts w:ascii="Google Sans" w:eastAsia="Google Sans" w:hAnsi="Google Sans" w:cs="Google Sans"/>
              </w:rPr>
              <w:t>The company experienced a security event when all network services suddenly stopped responding. The cybersecurity team found the disruption was caused by a distributed denial of services (DDoS) attack through a flood of incoming ICMP packets. The team responded by blocking the attack and stopping all non-critical network services, so that critical network services could be restored.</w:t>
            </w:r>
          </w:p>
        </w:tc>
      </w:tr>
      <w:tr w:rsidR="000272E5" w14:paraId="0B1062CE" w14:textId="77777777">
        <w:trPr>
          <w:trHeight w:val="420"/>
        </w:trPr>
        <w:tc>
          <w:tcPr>
            <w:tcW w:w="2055" w:type="dxa"/>
            <w:tcMar>
              <w:top w:w="100" w:type="dxa"/>
              <w:left w:w="100" w:type="dxa"/>
              <w:bottom w:w="100" w:type="dxa"/>
              <w:right w:w="100" w:type="dxa"/>
            </w:tcMar>
          </w:tcPr>
          <w:p w14:paraId="611E615F" w14:textId="77777777" w:rsidR="000272E5"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658A70A5" w14:textId="77777777" w:rsidR="000272E5"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A malicious actor or </w:t>
            </w:r>
            <w:proofErr w:type="gramStart"/>
            <w:r>
              <w:rPr>
                <w:rFonts w:ascii="Google Sans" w:eastAsia="Google Sans" w:hAnsi="Google Sans" w:cs="Google Sans"/>
              </w:rPr>
              <w:t>actors</w:t>
            </w:r>
            <w:proofErr w:type="gramEnd"/>
            <w:r>
              <w:rPr>
                <w:rFonts w:ascii="Google Sans" w:eastAsia="Google Sans" w:hAnsi="Google Sans" w:cs="Google Sans"/>
              </w:rPr>
              <w:t xml:space="preserve"> targeted the company with an ICMP flood attack. The entire internal network was affected. All critical network resources needed to be secured and restored to a functioning state.</w:t>
            </w:r>
          </w:p>
        </w:tc>
      </w:tr>
      <w:tr w:rsidR="000272E5" w14:paraId="55B48273" w14:textId="77777777">
        <w:trPr>
          <w:trHeight w:val="420"/>
        </w:trPr>
        <w:tc>
          <w:tcPr>
            <w:tcW w:w="2055" w:type="dxa"/>
            <w:tcMar>
              <w:top w:w="100" w:type="dxa"/>
              <w:left w:w="100" w:type="dxa"/>
              <w:bottom w:w="100" w:type="dxa"/>
              <w:right w:w="100" w:type="dxa"/>
            </w:tcMar>
          </w:tcPr>
          <w:p w14:paraId="0EAB2BCA" w14:textId="77777777" w:rsidR="000272E5"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57BBABA3" w14:textId="77777777" w:rsidR="000272E5" w:rsidRDefault="00000000">
            <w:pPr>
              <w:widowControl w:val="0"/>
              <w:spacing w:line="360" w:lineRule="auto"/>
              <w:rPr>
                <w:rFonts w:ascii="Google Sans" w:eastAsia="Google Sans" w:hAnsi="Google Sans" w:cs="Google Sans"/>
              </w:rPr>
            </w:pPr>
            <w:r>
              <w:rPr>
                <w:rFonts w:ascii="Google Sans" w:eastAsia="Google Sans" w:hAnsi="Google Sans" w:cs="Google Sans"/>
              </w:rPr>
              <w:t>The cybersecurity team implemented a new firewall rule to limit the rate of incoming ICMP packets and an IDS/IPS system to filter out some ICMP traffic based on suspicious characteristics.</w:t>
            </w:r>
          </w:p>
        </w:tc>
      </w:tr>
      <w:tr w:rsidR="000272E5" w14:paraId="19F2E6BA" w14:textId="77777777">
        <w:trPr>
          <w:trHeight w:val="1061"/>
        </w:trPr>
        <w:tc>
          <w:tcPr>
            <w:tcW w:w="2055" w:type="dxa"/>
            <w:tcMar>
              <w:top w:w="100" w:type="dxa"/>
              <w:left w:w="100" w:type="dxa"/>
              <w:bottom w:w="100" w:type="dxa"/>
              <w:right w:w="100" w:type="dxa"/>
            </w:tcMar>
          </w:tcPr>
          <w:p w14:paraId="08FD67BF" w14:textId="77777777" w:rsidR="000272E5"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tcMar>
              <w:top w:w="100" w:type="dxa"/>
              <w:left w:w="100" w:type="dxa"/>
              <w:bottom w:w="100" w:type="dxa"/>
              <w:right w:w="100" w:type="dxa"/>
            </w:tcMar>
          </w:tcPr>
          <w:p w14:paraId="7C81C86D" w14:textId="77777777" w:rsidR="000272E5"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cybersecurity team configured source IP address verification on the firewall to check for spoofed IP addresses on incoming ICMP packets and implemented network monitoring software to detect abnormal traffic patterns. </w:t>
            </w:r>
          </w:p>
        </w:tc>
      </w:tr>
      <w:tr w:rsidR="000272E5" w14:paraId="70A1440A" w14:textId="77777777">
        <w:trPr>
          <w:trHeight w:val="420"/>
        </w:trPr>
        <w:tc>
          <w:tcPr>
            <w:tcW w:w="2055" w:type="dxa"/>
            <w:tcMar>
              <w:top w:w="100" w:type="dxa"/>
              <w:left w:w="100" w:type="dxa"/>
              <w:bottom w:w="100" w:type="dxa"/>
              <w:right w:w="100" w:type="dxa"/>
            </w:tcMar>
          </w:tcPr>
          <w:p w14:paraId="168A1B0E" w14:textId="77777777" w:rsidR="000272E5" w:rsidRDefault="00000000">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tcMar>
              <w:top w:w="100" w:type="dxa"/>
              <w:left w:w="100" w:type="dxa"/>
              <w:bottom w:w="100" w:type="dxa"/>
              <w:right w:w="100" w:type="dxa"/>
            </w:tcMar>
          </w:tcPr>
          <w:p w14:paraId="4B3CA560" w14:textId="77777777" w:rsidR="000272E5"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For future security events, the cybersecurity team will isolate affected </w:t>
            </w:r>
            <w:r>
              <w:rPr>
                <w:rFonts w:ascii="Google Sans" w:eastAsia="Google Sans" w:hAnsi="Google Sans" w:cs="Google Sans"/>
              </w:rPr>
              <w:lastRenderedPageBreak/>
              <w:t>systems to prevent further disruption to the network. They will attempt to restore any critical systems and services that were disrupted by the event. Then, the team will analyze network logs to check for suspicious and abnormal activity. The team will also report all incidents to upper management and appropriate legal authorities, if applicable.</w:t>
            </w:r>
          </w:p>
        </w:tc>
      </w:tr>
      <w:tr w:rsidR="000272E5" w14:paraId="0DB474AD" w14:textId="77777777">
        <w:trPr>
          <w:trHeight w:val="420"/>
        </w:trPr>
        <w:tc>
          <w:tcPr>
            <w:tcW w:w="2055" w:type="dxa"/>
            <w:tcMar>
              <w:top w:w="100" w:type="dxa"/>
              <w:left w:w="100" w:type="dxa"/>
              <w:bottom w:w="100" w:type="dxa"/>
              <w:right w:w="100" w:type="dxa"/>
            </w:tcMar>
          </w:tcPr>
          <w:p w14:paraId="75BC309C" w14:textId="77777777" w:rsidR="000272E5"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Recover</w:t>
            </w:r>
          </w:p>
        </w:tc>
        <w:tc>
          <w:tcPr>
            <w:tcW w:w="8025" w:type="dxa"/>
            <w:tcMar>
              <w:top w:w="100" w:type="dxa"/>
              <w:left w:w="100" w:type="dxa"/>
              <w:bottom w:w="100" w:type="dxa"/>
              <w:right w:w="100" w:type="dxa"/>
            </w:tcMar>
          </w:tcPr>
          <w:p w14:paraId="4FA1CFF9" w14:textId="77777777" w:rsidR="000272E5"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To recover from a DDoS attack by ICMP flooding, access to network services </w:t>
            </w:r>
            <w:proofErr w:type="gramStart"/>
            <w:r>
              <w:rPr>
                <w:rFonts w:ascii="Google Sans" w:eastAsia="Google Sans" w:hAnsi="Google Sans" w:cs="Google Sans"/>
              </w:rPr>
              <w:t>need</w:t>
            </w:r>
            <w:proofErr w:type="gramEnd"/>
            <w:r>
              <w:rPr>
                <w:rFonts w:ascii="Google Sans" w:eastAsia="Google Sans" w:hAnsi="Google Sans" w:cs="Google Sans"/>
              </w:rPr>
              <w:t xml:space="preserve"> to be restored to a normal functioning state. In the future, external ICMP flood attacks can be blocked at the firewall. Then, all non-critical network services should be stopped to reduce internal network traffic. Next, critical network services should be restored first. Finally, once the flood of ICMP packets have timed out, all non-critical network systems and services can be brought back online.</w:t>
            </w:r>
          </w:p>
        </w:tc>
      </w:tr>
    </w:tbl>
    <w:p w14:paraId="5EECD5EE" w14:textId="77777777" w:rsidR="000272E5" w:rsidRDefault="000272E5">
      <w:pPr>
        <w:spacing w:after="200" w:line="360" w:lineRule="auto"/>
        <w:ind w:left="-360" w:right="-360"/>
        <w:rPr>
          <w:rFonts w:ascii="Google Sans" w:eastAsia="Google Sans" w:hAnsi="Google Sans" w:cs="Google Sans"/>
        </w:rPr>
      </w:pPr>
    </w:p>
    <w:p w14:paraId="3ED7F76F" w14:textId="77777777" w:rsidR="000272E5" w:rsidRDefault="00000000">
      <w:pPr>
        <w:spacing w:after="200" w:line="360" w:lineRule="auto"/>
        <w:ind w:left="-360" w:right="-360"/>
        <w:rPr>
          <w:rFonts w:ascii="Google Sans" w:eastAsia="Google Sans" w:hAnsi="Google Sans" w:cs="Google Sans"/>
        </w:rPr>
      </w:pPr>
      <w:r>
        <w:pict w14:anchorId="5DE772B0">
          <v:rect id="_x0000_i1025" style="width:0;height:1.5pt" o:hralign="center" o:hrstd="t" o:hr="t" fillcolor="#a0a0a0" stroked="f"/>
        </w:pict>
      </w:r>
    </w:p>
    <w:p w14:paraId="7E3C2D58" w14:textId="77777777" w:rsidR="000272E5" w:rsidRDefault="000272E5">
      <w:pPr>
        <w:spacing w:line="360" w:lineRule="auto"/>
        <w:ind w:left="-360" w:right="-360"/>
        <w:rPr>
          <w:rFonts w:ascii="Google Sans" w:eastAsia="Google Sans" w:hAnsi="Google Sans" w:cs="Google Sans"/>
        </w:rPr>
      </w:pPr>
    </w:p>
    <w:tbl>
      <w:tblPr>
        <w:tblStyle w:val="a0"/>
        <w:tblW w:w="1006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65"/>
      </w:tblGrid>
      <w:tr w:rsidR="000272E5" w:rsidRPr="0065171B" w14:paraId="7423AF3F" w14:textId="77777777">
        <w:tc>
          <w:tcPr>
            <w:tcW w:w="10065" w:type="dxa"/>
            <w:tcMar>
              <w:top w:w="100" w:type="dxa"/>
              <w:left w:w="100" w:type="dxa"/>
              <w:bottom w:w="100" w:type="dxa"/>
              <w:right w:w="100" w:type="dxa"/>
            </w:tcMar>
          </w:tcPr>
          <w:p w14:paraId="65A488DF" w14:textId="47285F66" w:rsidR="000272E5" w:rsidRPr="0065171B" w:rsidRDefault="00000000">
            <w:pPr>
              <w:widowControl w:val="0"/>
              <w:pBdr>
                <w:top w:val="nil"/>
                <w:left w:val="nil"/>
                <w:bottom w:val="nil"/>
                <w:right w:val="nil"/>
                <w:between w:val="nil"/>
              </w:pBdr>
              <w:spacing w:line="240" w:lineRule="auto"/>
              <w:rPr>
                <w:rFonts w:ascii="Calibri" w:eastAsia="Google Sans" w:hAnsi="Calibri" w:cs="Calibri"/>
              </w:rPr>
            </w:pPr>
            <w:r w:rsidRPr="0065171B">
              <w:rPr>
                <w:rFonts w:ascii="Calibri" w:eastAsia="Google Sans" w:hAnsi="Calibri" w:cs="Calibri"/>
              </w:rPr>
              <w:t>Reflections/Notes:</w:t>
            </w:r>
            <w:r w:rsidR="0065171B" w:rsidRPr="0065171B">
              <w:rPr>
                <w:rFonts w:ascii="Calibri" w:eastAsia="Google Sans" w:hAnsi="Calibri" w:cs="Calibri"/>
              </w:rPr>
              <w:t xml:space="preserve"> </w:t>
            </w:r>
            <w:r w:rsidR="0065171B" w:rsidRPr="0065171B">
              <w:rPr>
                <w:rFonts w:ascii="Calibri" w:eastAsia="Google Sans" w:hAnsi="Calibri" w:cs="Calibri"/>
              </w:rPr>
              <w:t>This incident showed the importance of quick detection and response to minimize network downtime. I learned how DDoS attacks like ICMP floods can overwhelm systems and why strong firewall rules, IDS/IPS tools, and monitoring are essential. Regular reviews of network traffic and proactive defense measures can help prevent similar incidents in the future.</w:t>
            </w:r>
          </w:p>
        </w:tc>
      </w:tr>
    </w:tbl>
    <w:p w14:paraId="1806F4BB" w14:textId="77777777" w:rsidR="000272E5" w:rsidRPr="0065171B" w:rsidRDefault="000272E5">
      <w:pPr>
        <w:spacing w:line="360" w:lineRule="auto"/>
        <w:ind w:left="-360" w:right="-360"/>
        <w:rPr>
          <w:rFonts w:ascii="Calibri" w:eastAsia="Google Sans" w:hAnsi="Calibri" w:cs="Calibri"/>
        </w:rPr>
      </w:pPr>
    </w:p>
    <w:sectPr w:rsidR="000272E5" w:rsidRPr="0065171B">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8F7E7" w14:textId="77777777" w:rsidR="004A358C" w:rsidRDefault="004A358C">
      <w:pPr>
        <w:spacing w:line="240" w:lineRule="auto"/>
      </w:pPr>
      <w:r>
        <w:separator/>
      </w:r>
    </w:p>
  </w:endnote>
  <w:endnote w:type="continuationSeparator" w:id="0">
    <w:p w14:paraId="414A6A66" w14:textId="77777777" w:rsidR="004A358C" w:rsidRDefault="004A35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66D7C701-E78D-4368-88B5-3895EB96F0F3}"/>
    <w:embedBold r:id="rId2" w:fontKey="{0D4DE291-5F49-4408-B4E1-80F3E05042CB}"/>
  </w:font>
  <w:font w:name="Calibri">
    <w:panose1 w:val="020F0502020204030204"/>
    <w:charset w:val="00"/>
    <w:family w:val="swiss"/>
    <w:pitch w:val="variable"/>
    <w:sig w:usb0="E4002EFF" w:usb1="C200247B" w:usb2="00000009" w:usb3="00000000" w:csb0="000001FF" w:csb1="00000000"/>
    <w:embedRegular r:id="rId3" w:fontKey="{34129434-61AE-4546-8E28-94A58A4DB39B}"/>
  </w:font>
  <w:font w:name="Cambria">
    <w:panose1 w:val="02040503050406030204"/>
    <w:charset w:val="00"/>
    <w:family w:val="roman"/>
    <w:pitch w:val="variable"/>
    <w:sig w:usb0="E00006FF" w:usb1="420024FF" w:usb2="02000000" w:usb3="00000000" w:csb0="0000019F" w:csb1="00000000"/>
    <w:embedRegular r:id="rId4" w:fontKey="{649D850C-3EA4-4103-83DA-993DCC0772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F99BC" w14:textId="77777777" w:rsidR="000272E5" w:rsidRDefault="000272E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639E3" w14:textId="77777777" w:rsidR="004A358C" w:rsidRDefault="004A358C">
      <w:pPr>
        <w:spacing w:line="240" w:lineRule="auto"/>
      </w:pPr>
      <w:r>
        <w:separator/>
      </w:r>
    </w:p>
  </w:footnote>
  <w:footnote w:type="continuationSeparator" w:id="0">
    <w:p w14:paraId="1034B74B" w14:textId="77777777" w:rsidR="004A358C" w:rsidRDefault="004A35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91DEC" w14:textId="77777777" w:rsidR="000272E5" w:rsidRDefault="000272E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2ACC9" w14:textId="77777777" w:rsidR="000272E5" w:rsidRDefault="00000000">
    <w:r>
      <w:rPr>
        <w:noProof/>
      </w:rPr>
      <w:drawing>
        <wp:inline distT="114300" distB="114300" distL="114300" distR="114300" wp14:anchorId="06F49547" wp14:editId="700F8228">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2E5"/>
    <w:rsid w:val="000272E5"/>
    <w:rsid w:val="00052E86"/>
    <w:rsid w:val="00130696"/>
    <w:rsid w:val="001F5452"/>
    <w:rsid w:val="00402550"/>
    <w:rsid w:val="00455F4C"/>
    <w:rsid w:val="004A358C"/>
    <w:rsid w:val="0065171B"/>
    <w:rsid w:val="00810C4B"/>
    <w:rsid w:val="00B14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E85C5"/>
  <w15:docId w15:val="{0AEDB339-B020-4D1A-83B8-A34A350F9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404</Words>
  <Characters>2309</Characters>
  <Application>Microsoft Office Word</Application>
  <DocSecurity>0</DocSecurity>
  <Lines>19</Lines>
  <Paragraphs>5</Paragraphs>
  <ScaleCrop>false</ScaleCrop>
  <Company>HP</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Joshi</dc:creator>
  <cp:lastModifiedBy>Joshi, Anshu</cp:lastModifiedBy>
  <cp:revision>3</cp:revision>
  <dcterms:created xsi:type="dcterms:W3CDTF">2025-09-25T18:48:00Z</dcterms:created>
  <dcterms:modified xsi:type="dcterms:W3CDTF">2025-11-06T00:21:00Z</dcterms:modified>
</cp:coreProperties>
</file>