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АРХИТЕКТУРА РЕШЕНИЯ</w:t>
      </w:r>
    </w:p>
    <w:p>
      <w:pPr>
        <w:spacing w:line="360" w:lineRule="auto" w:after="6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Наименование: Контроль проведения документов по согласованию в 1С:Документооборот</w:t>
      </w:r>
    </w:p>
    <w:p>
      <w:pPr>
        <w:spacing w:line="360" w:lineRule="auto" w:after="6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Расширение: нп_КонтрольПроведенияПоДО (префикс нп_)</w:t>
      </w:r>
    </w:p>
    <w:p>
      <w:pPr>
        <w:spacing w:line="360" w:lineRule="auto" w:after="6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Платформа: 1С:Предприятие 8.3 / ERP. Управление холдингом</w:t>
      </w:r>
    </w:p>
    <w:p>
      <w:pPr>
        <w:spacing w:line="360" w:lineRule="auto" w:after="6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Назначение расширения: адаптация (Customization)</w:t>
      </w:r>
    </w:p>
    <w:p>
      <w:pPr>
        <w:spacing w:line="360" w:lineRule="auto" w:after="160" w:before="24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 Назначение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Решение обеспечивает серверный контроль проведения документов ERP до получения состояния «Согласован» в 1С:Документооборот (ДО), а также защиту согласованного (или находящегося на согласовании) документа от проведения по «старому» согласованию после существенных изменений.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Пилотный тип документа: Документ.ПеремещениеТоваров. Подключение других типов выполняется настройками без изменения кода.</w:t>
      </w:r>
    </w:p>
    <w:p>
      <w:pPr>
        <w:spacing w:line="360" w:lineRule="auto" w:after="160" w:before="24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2. Границы решения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Входит в решение</w:t>
            </w:r>
          </w:p>
        </w:tc>
        <w:tc>
          <w:tcPr>
            <w:tcW w:type="dxa" w:w="484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Не входит</w:t>
            </w:r>
          </w:p>
        </w:tc>
      </w:tr>
      <w:tr>
        <w:tc>
          <w:tcPr>
            <w:tcW w:type="dxa" w:w="484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Запрет проведения без состояния «Согласован»</w:t>
            </w:r>
          </w:p>
        </w:tc>
        <w:tc>
          <w:tcPr>
            <w:tcW w:type="dxa" w:w="484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Автопроведение после согласования</w:t>
            </w:r>
          </w:p>
        </w:tc>
      </w:tr>
      <w:tr>
        <w:tc>
          <w:tcPr>
            <w:tcW w:type="dxa" w:w="484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Настройки по типу документа и организации</w:t>
            </w:r>
          </w:p>
        </w:tc>
        <w:tc>
          <w:tcPr>
            <w:tcW w:type="dxa" w:w="484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Правка типовых модулей БИД в основной конфигурации</w:t>
            </w:r>
          </w:p>
        </w:tc>
      </w:tr>
      <w:tr>
        <w:tc>
          <w:tcPr>
            <w:tcW w:type="dxa" w:w="484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Отбор по реквизитам (СКД) и участникам (включая/исключая)</w:t>
            </w:r>
          </w:p>
        </w:tc>
        <w:tc>
          <w:tcPr>
            <w:tcW w:type="dxa" w:w="484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Согласование через подсистему УХ как основной контур</w:t>
            </w:r>
          </w:p>
        </w:tc>
      </w:tr>
      <w:tr>
        <w:tc>
          <w:tcPr>
            <w:tcW w:type="dxa" w:w="484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Пересогласование при существенных изменениях (ДО 3)</w:t>
            </w:r>
          </w:p>
        </w:tc>
        <w:tc>
          <w:tcPr>
            <w:tcW w:type="dxa" w:w="484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Заимствование документов в расширение</w:t>
            </w:r>
          </w:p>
        </w:tc>
      </w:tr>
      <w:tr>
        <w:tc>
          <w:tcPr>
            <w:tcW w:type="dxa" w:w="484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Отображение статуса согласования на форме</w:t>
            </w:r>
          </w:p>
        </w:tc>
        <w:tc>
          <w:tcPr>
            <w:tcW w:type="dxa" w:w="484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Отдельная роль обхода контроля</w:t>
            </w:r>
          </w:p>
        </w:tc>
      </w:tr>
    </w:tbl>
    <w:p/>
    <w:p>
      <w:pPr>
        <w:spacing w:line="360" w:lineRule="auto" w:after="160" w:before="24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3. Контекст и зависимости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Решение опирается на типовую библиотеку интеграции с Документооборотом (БИД):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– связь ERP ↔ ДО: РегистрСведений.ОбъектыИнтегрированныеС1СДокументооборотом;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– состояние согласования: РегистрСведений.СостоянияСогласованияВДокументообороте;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– API ДО 3: ИнтеграцияС1СДокументооборот3 (ПрерватьОбработку, НачатьОбработку);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– точки UX типовых форм: МодификацияКонфигурацииПереопределяемый, СобытияФормКлиент.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Источник истины для контроля проведения — регистр состояний ДО (не обязательный веб-вызов на каждое проведение).</w:t>
      </w:r>
    </w:p>
    <w:p>
      <w:pPr>
        <w:spacing w:line="360" w:lineRule="auto" w:after="160" w:before="24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 Состав объектов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Объект метаданных</w:t>
            </w:r>
          </w:p>
        </w:tc>
        <w:tc>
          <w:tcPr>
            <w:tcW w:type="dxa" w:w="484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Роль</w:t>
            </w:r>
          </w:p>
        </w:tc>
      </w:tr>
      <w:tr>
        <w:tc>
          <w:tcPr>
            <w:tcW w:type="dxa" w:w="484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РС.нп_НастройкиКонтроляПроведенияПоДО</w:t>
            </w:r>
          </w:p>
        </w:tc>
        <w:tc>
          <w:tcPr>
            <w:tcW w:type="dxa" w:w="484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Условия контроля: тип, организация, дата начала, отбор СКД, участники</w:t>
            </w:r>
          </w:p>
        </w:tc>
      </w:tr>
      <w:tr>
        <w:tc>
          <w:tcPr>
            <w:tcW w:type="dxa" w:w="484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РС.нп_РазрешенныеРеквизитыПриСогласованииДО</w:t>
            </w:r>
          </w:p>
        </w:tc>
        <w:tc>
          <w:tcPr>
            <w:tcW w:type="dxa" w:w="484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Белый список реквизитов (изменения без пересогласования)</w:t>
            </w:r>
          </w:p>
        </w:tc>
      </w:tr>
      <w:tr>
        <w:tc>
          <w:tcPr>
            <w:tcW w:type="dxa" w:w="484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РС.нп_ПризнакиПересогласованияДО</w:t>
            </w:r>
          </w:p>
        </w:tc>
        <w:tc>
          <w:tcPr>
            <w:tcW w:type="dxa" w:w="484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Признак «требуется пересогласование» по документу</w:t>
            </w:r>
          </w:p>
        </w:tc>
      </w:tr>
      <w:tr>
        <w:tc>
          <w:tcPr>
            <w:tcW w:type="dxa" w:w="484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Перечисление.нп_ВидыСтрокУчастниковКонтроля</w:t>
            </w:r>
          </w:p>
        </w:tc>
        <w:tc>
          <w:tcPr>
            <w:tcW w:type="dxa" w:w="484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Виды строк участников: Включая / Исключая</w:t>
            </w:r>
          </w:p>
        </w:tc>
      </w:tr>
      <w:tr>
        <w:tc>
          <w:tcPr>
            <w:tcW w:type="dxa" w:w="484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Подписка.нп_КонтрольПроведенияПоДОПередЗаписьюДокумента</w:t>
            </w:r>
          </w:p>
        </w:tc>
        <w:tc>
          <w:tcPr>
            <w:tcW w:type="dxa" w:w="484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Серверная точка контроля при записи/проведении</w:t>
            </w:r>
          </w:p>
        </w:tc>
      </w:tr>
      <w:tr>
        <w:tc>
          <w:tcPr>
            <w:tcW w:type="dxa" w:w="484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ОМ.нп_КонтрольПроведенияПоСогласованиюДО</w:t>
            </w:r>
          </w:p>
        </w:tc>
        <w:tc>
          <w:tcPr>
            <w:tcW w:type="dxa" w:w="484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Основная логика и API</w:t>
            </w:r>
          </w:p>
        </w:tc>
      </w:tr>
      <w:tr>
        <w:tc>
          <w:tcPr>
            <w:tcW w:type="dxa" w:w="484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ОМ.нп_КонтрольПроведенияПоСогласованиюДОКлиент</w:t>
            </w:r>
          </w:p>
        </w:tc>
        <w:tc>
          <w:tcPr>
            <w:tcW w:type="dxa" w:w="484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Вопрос подтверждения на форме</w:t>
            </w:r>
          </w:p>
        </w:tc>
      </w:tr>
      <w:tr>
        <w:tc>
          <w:tcPr>
            <w:tcW w:type="dxa" w:w="484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ОМ.нп_КонтрольПроведенияПоСогласованиюДОПовтИсп</w:t>
            </w:r>
          </w:p>
        </w:tc>
        <w:tc>
          <w:tcPr>
            <w:tcW w:type="dxa" w:w="484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Кэш настроек и состава групп</w:t>
            </w:r>
          </w:p>
        </w:tc>
      </w:tr>
      <w:tr>
        <w:tc>
          <w:tcPr>
            <w:tcW w:type="dxa" w:w="484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ОМ.СобытияФормКлиент (&amp;После)</w:t>
            </w:r>
          </w:p>
        </w:tc>
        <w:tc>
          <w:tcPr>
            <w:tcW w:type="dxa" w:w="484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Подключение клиентского вопроса</w:t>
            </w:r>
          </w:p>
        </w:tc>
      </w:tr>
      <w:tr>
        <w:tc>
          <w:tcPr>
            <w:tcW w:type="dxa" w:w="484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ОМ.МодификацияКонфигурацииПереопределяемый (&amp;После)</w:t>
            </w:r>
          </w:p>
        </w:tc>
        <w:tc>
          <w:tcPr>
            <w:tcW w:type="dxa" w:w="484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Статус согласования на форме</w:t>
            </w:r>
          </w:p>
        </w:tc>
      </w:tr>
      <w:tr>
        <w:tc>
          <w:tcPr>
            <w:tcW w:type="dxa" w:w="484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Отчет.нп_СогласованныеНеПроведенныеПеремещения</w:t>
            </w:r>
          </w:p>
        </w:tc>
        <w:tc>
          <w:tcPr>
            <w:tcW w:type="dxa" w:w="484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Согласованные, но не проведённые перемещения</w:t>
            </w:r>
          </w:p>
        </w:tc>
      </w:tr>
      <w:tr>
        <w:tc>
          <w:tcPr>
            <w:tcW w:type="dxa" w:w="484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Подсистема.нп_КонтрольПроведенияПоДО</w:t>
            </w:r>
          </w:p>
        </w:tc>
        <w:tc>
          <w:tcPr>
            <w:tcW w:type="dxa" w:w="484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Объединение объектов в интерфейсе</w:t>
            </w:r>
          </w:p>
        </w:tc>
      </w:tr>
    </w:tbl>
    <w:p/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Заимствуются справочники для типов измерений: Организации, Пользователи, ГруппыПользователей.</w:t>
      </w:r>
    </w:p>
    <w:p>
      <w:pPr>
        <w:spacing w:line="360" w:lineRule="auto" w:after="160" w:before="24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5. Логическая схема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Поток обработки: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1. Форма документа → СобытияФормКлиент (вопрос при существенных изменениях).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2. Запись объекта → подписка ПередЗаписью нп_КонтрольПроведенияПоДОПередЗаписьюДокумента.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3. ОМ нп_КонтрольПроведенияПоСогласованиюДО: применимость настройки; существенные изменения → Прервать/Начать ДО 3; при проведении — только «Согласован».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4. Источники данных: РС настроек, РС признаков, РС состояний ДО и связи объектов, API ДО 3.</w:t>
      </w:r>
    </w:p>
    <w:p>
      <w:pPr>
        <w:spacing w:line="360" w:lineRule="auto" w:after="160" w:before="24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6. Алгоритм контроля</w:t>
      </w:r>
    </w:p>
    <w:p>
      <w:pPr>
        <w:spacing w:line="360" w:lineRule="auto" w:after="160" w:before="24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6.1. Применимость настройки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Контроль применяется, если одновременно: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1. для пары «полное имя документа + организация» есть запись с КонтролироватьПроведение = Да;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2. дата документа ≥ ДатаНачалаДействия (если дата начала заполнена);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3. выполнен отбор по реквизитам (СКД; пустой отбор = все документы типа);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4. текущий пользователь проходит отбор участников (пусто = все; сначала «Включая», затем «Исключая»);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5. включены константы использования интеграции/согласования через ДО.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Полноправные пользователи не освобождаются от контроля автоматически.</w:t>
      </w:r>
    </w:p>
    <w:p>
      <w:pPr>
        <w:spacing w:line="360" w:lineRule="auto" w:after="160" w:before="24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6.2. Запрет проведения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При РежимЗаписи = Проведение проведение разрешено только при состоянии «Согласован» в регистре ДО. Иначе — отказ с сообщением вида: «Проведение документа невозможно. Печатная форма "…" не согласована в системе Документооборот.» (наименование берётся из настройки НаименованиеПечатнойФормы, для перемещения по умолчанию — «Накладная на перемещение»).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Запись без проведения и отмена проведения контролем проведения не блокируются (кроме сценария пересогласования).</w:t>
      </w:r>
    </w:p>
    <w:p>
      <w:pPr>
        <w:spacing w:line="360" w:lineRule="auto" w:after="160" w:before="24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6.3. Существенные изменения и пересогласование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Защищённое окно: есть связь с ДО и состояние ≠ «НеСогласован» (включая пустое состояние, «НаСогласовании», «Согласован»).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Существенные отличия — любые отличия объекта от данных в ИБ по реквизитам шапки, дате и табличным частям, кроме реквизитов из белого списка нп_РазрешенныеРеквизитыПриСогласованииДО. Пустой белый список означает, что любое отличие считается существенным.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При существенных изменениях: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1. на форме — вопрос подтверждения;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2. на сервере — установка признака, вызов ДО 3: ПрерватьОбработку → НачатьОбработку;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3. проведённый документ принудительно распроводится (либо проведение не выполняется);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4. провести снова можно только после нового состояния «Согласован».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Проведение без изменения данных не инициирует пересогласование. Устаревший признак при уже полученном «Согласован» сбрасывается.</w:t>
      </w:r>
    </w:p>
    <w:p>
      <w:pPr>
        <w:spacing w:line="360" w:lineRule="auto" w:after="160" w:before="24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7. Клиентский и серверный контуры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Контур</w:t>
            </w:r>
          </w:p>
        </w:tc>
        <w:tc>
          <w:tcPr>
            <w:tcW w:type="dxa" w:w="323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Механизм</w:t>
            </w:r>
          </w:p>
        </w:tc>
        <w:tc>
          <w:tcPr>
            <w:tcW w:type="dxa" w:w="323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Задача</w:t>
            </w:r>
          </w:p>
        </w:tc>
      </w:tr>
      <w:tr>
        <w:tc>
          <w:tcPr>
            <w:tcW w:type="dxa" w:w="323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Клиент</w:t>
            </w:r>
          </w:p>
        </w:tc>
        <w:tc>
          <w:tcPr>
            <w:tcW w:type="dxa" w:w="323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СобытияФормКлиент.ПередЗаписью → клиентский ОМ</w:t>
            </w:r>
          </w:p>
        </w:tc>
        <w:tc>
          <w:tcPr>
            <w:tcW w:type="dxa" w:w="323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Подтверждение изменений в защищённом окне</w:t>
            </w:r>
          </w:p>
        </w:tc>
      </w:tr>
      <w:tr>
        <w:tc>
          <w:tcPr>
            <w:tcW w:type="dxa" w:w="323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Сервер</w:t>
            </w:r>
          </w:p>
        </w:tc>
        <w:tc>
          <w:tcPr>
            <w:tcW w:type="dxa" w:w="323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Подписка ПередЗаписью на все DocumentObject</w:t>
            </w:r>
          </w:p>
        </w:tc>
        <w:tc>
          <w:tcPr>
            <w:tcW w:type="dxa" w:w="323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Гарантированный контроль независимо от формы</w:t>
            </w:r>
          </w:p>
        </w:tc>
      </w:tr>
      <w:tr>
        <w:tc>
          <w:tcPr>
            <w:tcW w:type="dxa" w:w="323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UX</w:t>
            </w:r>
          </w:p>
        </w:tc>
        <w:tc>
          <w:tcPr>
            <w:tcW w:type="dxa" w:w="323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МодификацияКонфигурацииПереопределяемый</w:t>
            </w:r>
          </w:p>
        </w:tc>
        <w:tc>
          <w:tcPr>
            <w:tcW w:type="dxa" w:w="323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Вывод статуса согласования на форме</w:t>
            </w:r>
          </w:p>
        </w:tc>
      </w:tr>
    </w:tbl>
    <w:p/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Документы в расширение не заимствуются: контролируемые типы задаются только записями регистра настроек.</w:t>
      </w:r>
    </w:p>
    <w:p>
      <w:pPr>
        <w:spacing w:line="360" w:lineRule="auto" w:after="160" w:before="24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8. Поставка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Артефакт</w:t>
            </w:r>
          </w:p>
        </w:tc>
        <w:tc>
          <w:tcPr>
            <w:tcW w:type="dxa" w:w="484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Путь</w:t>
            </w:r>
          </w:p>
        </w:tc>
      </w:tr>
      <w:tr>
        <w:tc>
          <w:tcPr>
            <w:tcW w:type="dxa" w:w="484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Готовое расширение</w:t>
            </w:r>
          </w:p>
        </w:tc>
        <w:tc>
          <w:tcPr>
            <w:tcW w:type="dxa" w:w="484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Extensions/нп_КонтрольПроведенияПоДО/нп_КонтрольПроведенияПоДО.cfe</w:t>
            </w:r>
          </w:p>
        </w:tc>
      </w:tr>
      <w:tr>
        <w:tc>
          <w:tcPr>
            <w:tcW w:type="dxa" w:w="484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Выгрузка конфигуратора</w:t>
            </w:r>
          </w:p>
        </w:tc>
        <w:tc>
          <w:tcPr>
            <w:tcW w:type="dxa" w:w="484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Extensions/нп_КонтрольПроведенияПоДО/configurator/</w:t>
            </w:r>
          </w:p>
        </w:tc>
      </w:tr>
      <w:tr>
        <w:tc>
          <w:tcPr>
            <w:tcW w:type="dxa" w:w="484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Исходники EDT</w:t>
            </w:r>
          </w:p>
        </w:tc>
        <w:tc>
          <w:tcPr>
            <w:tcW w:type="dxa" w:w="484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Extensions/нп_КонтрольПроведенияПоДО/src/ и рабочая копия в uhnp.НП</w:t>
            </w:r>
          </w:p>
        </w:tc>
      </w:tr>
    </w:tbl>
    <w:p/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Не допускается одновременное подключение пакета поставки и тех же объектов внутри uhnp.НП в одной информационной базе (дубли UUID).</w:t>
      </w:r>
    </w:p>
    <w:p>
      <w:pPr>
        <w:spacing w:line="360" w:lineRule="auto" w:after="160" w:before="24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9. Риски и ограничения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1. Неполный белый список приводит к лишним пересогласованиям — список уточняется в эксплуатации.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2. Дата документа раньше порога ДатаНачалаДействия выводит документ из-под контроля.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3. Недоступность ДО 3 при перезапуске обработки блокирует сценарий пересогласования до восстановления связи.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4. Рассинхрон обмена БИД влияет на актуальность статуса на форме; контроль проведения опирается на регистр состояний.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