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Chapter 4 Results, Discussion, and Limitations Draft</w:t>
      </w:r>
    </w:p>
    <w:p>
      <w:pPr>
        <w:spacing w:after="240"/>
      </w:pPr>
      <w:r>
        <w:rPr>
          <w:i/>
          <w:color w:val="555555"/>
          <w:sz w:val="24"/>
        </w:rPr>
        <w:t>Bayesian and machine-learning complementary reconstruction of annual runoff loads</w:t>
      </w:r>
    </w:p>
    <w:p>
      <w:r>
        <w:rPr>
          <w:b/>
        </w:rPr>
        <w:t xml:space="preserve">Draft status: </w:t>
      </w:r>
      <w:r>
        <w:t>Review draft for structure and scientific framing. Yellow-highlighted text marks literature tie-ins, recommended citation checks, or implementation notes that should be accepted, revised, or removed before the chapter is finalized.</w:t>
      </w:r>
    </w:p>
    <w:p>
      <w:pPr>
        <w:pStyle w:val="Heading1"/>
      </w:pPr>
      <w:r>
        <w:t>3 Results and Discussion</w:t>
      </w:r>
    </w:p>
    <w:p>
      <w:r>
        <w:t>The purpose of this chapter is not to select a single preferred reconstruction model, but to evaluate how two complementary approaches support historical reconstruction of annual runoff volume and constituent loads from a long-term edge-of-field dataset with irregular sampling, changing instrumentation, and incomplete analyte coverage. The results are therefore organized from model calibration, to annual and cumulative reconstructed loads, to diagnostic agreement between the Bayesian and ML approaches.</w:t>
      </w:r>
    </w:p>
    <w:p>
      <w:pPr>
        <w:pStyle w:val="Heading2"/>
      </w:pPr>
      <w:r>
        <w:t>3.1 ML calibration, interval coverage, and predictor structure</w:t>
      </w:r>
    </w:p>
    <w:p>
      <w:r>
        <w:t xml:space="preserve">The ML calibration results provide the first check on whether the CatBoost and split-conformal workflow can support historical reconstruction within the observed study domain. In the leave-one-year-out (LOYO) validation, concentration prediction interval coverage ranged from </w:t>
      </w:r>
      <w:r>
        <w:t>66.3% in 2025 to 97.2% in 2011</w:t>
      </w:r>
      <w:r>
        <w:t xml:space="preserve">, with no held-out concentration records available for 2018 or 2019. Volume interval coverage ranged from </w:t>
      </w:r>
      <w:r>
        <w:t>11.1% in 2024 to 100.0% in 2011</w:t>
      </w:r>
      <w:r>
        <w:t>, with absent observed-volume validation years in 2018, 2019, and 2022. These values should be interpreted jointly with the width of the intervals, because high coverage can reflect appropriately broad intervals rather than highly precise prediction.</w:t>
      </w:r>
    </w:p>
    <w:p>
      <w:r>
        <w:t xml:space="preserve">The year-specific coverage pattern should be discussed as evidence of where the historical data record does and does not support independent predictive validation. </w:t>
      </w:r>
      <w:r>
        <w:rPr>
          <w:highlight w:val="yellow"/>
        </w:rPr>
        <w:t>This interpretation follows the broader edge-of-field monitoring literature, which emphasizes that missing observations, changing methods, and measurement uncertainty are intrinsic features of long-term operational water-quality datasets rather than minor data-cleaning inconveniences (Harmel et al., 2006, 2023; Daniels et al., 2018; Harmel, King, et al., 2018).</w:t>
      </w:r>
    </w:p>
    <w:p>
      <w:r>
        <w:rPr>
          <w:highlight w:val="yellow"/>
        </w:rPr>
        <w:t>In the draft discussion, the low volume coverage in 2024 should be examined specifically. Potential explanations include sparse or atypical volume observations, method-specific measurement behavior, event structure, or management/weather conditions not explicitly modeled. This should be framed as a diagnostic finding rather than a post-hoc correction.</w:t>
      </w:r>
    </w:p>
    <w:p>
      <w:r>
        <w:t>The feature-importance figures should be used qualitatively. The concentration model was dominated by analyte identity and inflow concentration, indicating that cross-analyte differences and source-water chemistry carried much of the predictive structure. The volume model placed greater importance on seasonal timing variables, measurement/flume method, and inflow volume, which is consistent with volume prediction being more tightly linked to hydrologic timing and field-measurement context than to analyte chemistry.</w:t>
      </w:r>
    </w:p>
    <w:p>
      <w:r>
        <w:rPr>
          <w:highlight w:val="yellow"/>
        </w:rPr>
        <w:t>Because CatBoost importance is descriptive and model-specific, it should not be interpreted as a causal ranking of hydrologic or biogeochemical drivers.</w:t>
      </w:r>
    </w:p>
    <w:p>
      <w:pPr>
        <w:spacing w:before="80" w:after="80"/>
      </w:pPr>
      <w:r>
        <w:rPr>
          <w:b/>
        </w:rPr>
        <w:t>Figure 4.1.</w:t>
      </w:r>
      <w:r>
        <w:t xml:space="preserve"> [Insert figure: figures/ml/v3p0_physical_event/pi_coverage_by_year.png]</w:t>
      </w:r>
      <w:r>
        <w:t xml:space="preserve"> LOYO prediction interval coverage by year and target.</w:t>
      </w:r>
    </w:p>
    <w:p>
      <w:pPr>
        <w:spacing w:before="80" w:after="80"/>
      </w:pPr>
      <w:r>
        <w:rPr>
          <w:b/>
        </w:rPr>
        <w:t>Figure 4.2.</w:t>
      </w:r>
      <w:r>
        <w:t xml:space="preserve"> [Insert figure: figures/ml/v3p0_physical_event/feature_importance_logC.png]</w:t>
      </w:r>
      <w:r>
        <w:t xml:space="preserve"> Descriptive concentration-model feature importance.</w:t>
      </w:r>
    </w:p>
    <w:p>
      <w:pPr>
        <w:spacing w:before="80" w:after="80"/>
      </w:pPr>
      <w:r>
        <w:rPr>
          <w:b/>
        </w:rPr>
        <w:t>Figure 4.3.</w:t>
      </w:r>
      <w:r>
        <w:t xml:space="preserve"> [Insert figure: figures/ml/v3p0_physical_event/feature_importance_logV.png]</w:t>
      </w:r>
      <w:r>
        <w:t xml:space="preserve"> Descriptive volume-model feature importance.</w:t>
      </w:r>
    </w:p>
    <w:p>
      <w:pPr>
        <w:pStyle w:val="Heading2"/>
      </w:pPr>
      <w:r>
        <w:t>3.2 Annual and cumulative load reconstruction</w:t>
      </w:r>
    </w:p>
    <w:p>
      <w:r>
        <w:t>Annual load reconstruction is the primary result of the complementary Bayesian and ML analysis. The central question is how the complete 2011 to 2025 treatment record can be represented when direct event-level observations are incomplete across years, analytes, and treatments. For this section, annual figures should present Bayesian and ML model-based annual loads for the full study period, while observed annual values should be included only where the observed record is complete enough to calculate a defensible annual load.</w:t>
      </w:r>
    </w:p>
    <w:p>
      <w:r>
        <w:rPr>
          <w:highlight w:val="yellow"/>
        </w:rPr>
        <w:t>Manuscript rule to implement before final figures and tables: observed annual load points should be shown only when all concentration-volume event loads required for a year, treatment, and analyte are observed. If the annual observed record is incomplete, the table cell should be NA or a dash, and no observed point should be plotted. Partial observed subtotals should not be presented as annual observed loads.</w:t>
      </w:r>
    </w:p>
    <w:p>
      <w:r>
        <w:t>This distinction is central to the chapter argument. Missing observed annual loads are not a weakness to hide; they are the reason a model-based reconstruction is needed. A dash in the observed column communicates that the study did not directly observe a complete annual load for that year, while the Bayesian and ML estimates communicate two independently structured reconstructions of that missing annual quantity.</w:t>
      </w:r>
    </w:p>
    <w:p>
      <w:r>
        <w:t xml:space="preserve">The reconstructed cumulative patterns should be discussed first for the analytes of greatest management relevance, then expanded to the full analyte suite. Bayesian model-only estimates indicate lower cumulative TSS under MT and ST relative to CT (48.2% and 40.9% lower, respectively), and lower cumulative TKN under MT and ST (31.3% and 30.3% lower, respectively). The ML full-record reconstruction points also indicate lower TSS under MT and ST (35.6% and 25.8% lower than CT), with smaller but directionally similar reductions for TKN (17.5% and 22.7%). </w:t>
      </w:r>
      <w:r>
        <w:rPr>
          <w:highlight w:val="yellow"/>
        </w:rPr>
        <w:t>These patterns are consistent with prior conservation-tillage and surface-irrigation literature showing stronger management effects for sediment and particulate-associated nutrients than for dissolved constituents (Bjorneberg, Aase, et al., 2006; Kleinman et al., 2015; Prasad, Thomason, et al., 2023; Trimarco et al., 2025).</w:t>
      </w:r>
    </w:p>
    <w:p>
      <w:r>
        <w:t>The cumulative phosphorus and nitrogen patterns require more careful discussion. Bayesian model-only estimates suggest lower TP under reduced disturbance, especially for ST, but the intervals remain wide. ML full-record point estimates do not show the same TP reduction pattern, which should be treated as a model-disagreement signal rather than suppressed. For TN, both approaches point toward lower cumulative loads under reduced disturbance, although the magnitude differs between the Bayesian and ML central estimates.</w:t>
      </w:r>
    </w:p>
    <w:p>
      <w:r>
        <w:t>Annual runoff volume should be placed in this section rather than separated from the load results. Across annual centers, Bayesian model-only runoff volume summed to approximately 5,787 kL for CT, 5,432 kL for MT, and 5,430 kL for ST; the ML full-record reconstruction summed to approximately 3,819 kL for CT, 3,481 kL for MT, and 3,512 kL for ST. These differences should be interpreted as model-specific reconstructions of the same incomplete hydrologic record rather than as direct observed annual totals.</w:t>
      </w:r>
    </w:p>
    <w:p>
      <w:pPr>
        <w:spacing w:before="80" w:after="80"/>
      </w:pPr>
      <w:r>
        <w:rPr>
          <w:b/>
        </w:rPr>
        <w:t>Figure 4.4.</w:t>
      </w:r>
      <w:r>
        <w:t xml:space="preserve"> [Insert figure: figures/comparison/v3p0_physical_event/annual_obs_vs_modeled/annual_load_tss_obs_vs_modeled_v3p0.png]</w:t>
      </w:r>
      <w:r>
        <w:t xml:space="preserve"> Annual TSS load reconstruction. Observed markers should be filtered to complete annual observed loads only.</w:t>
      </w:r>
    </w:p>
    <w:p>
      <w:pPr>
        <w:spacing w:before="80" w:after="80"/>
      </w:pPr>
      <w:r>
        <w:rPr>
          <w:b/>
        </w:rPr>
        <w:t>Figure 4.5.</w:t>
      </w:r>
      <w:r>
        <w:t xml:space="preserve"> [Insert figure: figures/comparison/v3p0_physical_event/annual_obs_vs_modeled/annual_load_tp_obs_vs_modeled_v3p0.png and annual_load_tn_obs_vs_modeled_v3p0.png]</w:t>
      </w:r>
      <w:r>
        <w:t xml:space="preserve"> Annual nutrient load reconstruction for TP and TN.</w:t>
      </w:r>
    </w:p>
    <w:p>
      <w:pPr>
        <w:spacing w:before="80" w:after="80"/>
      </w:pPr>
      <w:r>
        <w:rPr>
          <w:b/>
        </w:rPr>
        <w:t>Figure 4.6.</w:t>
      </w:r>
      <w:r>
        <w:t xml:space="preserve"> [Insert figure: figures/comparison/v3p0_physical_event/annual_runoff_volume_bayes_vs_ml_v3p0.png]</w:t>
      </w:r>
      <w:r>
        <w:t xml:space="preserve"> Annual runoff-volume reconstruction.</w:t>
      </w:r>
    </w:p>
    <w:p>
      <w:pPr>
        <w:spacing w:before="80" w:after="80"/>
      </w:pPr>
      <w:r>
        <w:rPr>
          <w:b/>
        </w:rPr>
        <w:t>Figure 4.7.</w:t>
      </w:r>
      <w:r>
        <w:t xml:space="preserve"> [Insert figure: figures/comparison/v3p0_physical_event/cumulative_loads_2011_2025.png]</w:t>
      </w:r>
      <w:r>
        <w:t xml:space="preserve"> Study-period cumulative loads by method, analyte, and treatment.</w:t>
      </w:r>
    </w:p>
    <w:p>
      <w:r>
        <w:rPr>
          <w:highlight w:val="yellow"/>
        </w:rPr>
        <w:t>Table 4.1 should be a compact annual reconstruction table for the selected main-text analytes and runoff volume. The complete 1,350-row annual load table should remain supplemental. The observed column in Table 4.1 should use NA/dash unless the year, treatment, and analyte meet the complete-observed-load rule.</w:t>
      </w:r>
    </w:p>
    <w:p>
      <w:pPr>
        <w:pStyle w:val="Heading2"/>
      </w:pPr>
      <w:r>
        <w:t>3.3 Goodness of fit, temporal agreement, and uncertainty interpretation</w:t>
      </w:r>
    </w:p>
    <w:p>
      <w:r>
        <w:t>The fit and agreement diagnostics should be interpreted after the annual load results, because they explain how much confidence to place in the reconstructed patterns. The Bayesian, ML reconstruction, and ML LOYO diagnostics answer related but different questions.</w:t>
      </w:r>
    </w:p>
    <w:p>
      <w:pPr>
        <w:pStyle w:val="ListBullet"/>
      </w:pPr>
      <w:r>
        <w:t>Bayesian posterior-predictive fit evaluates how well the fitted hierarchical model reproduces observed concentration and volume patterns within the full model.</w:t>
      </w:r>
    </w:p>
    <w:p>
      <w:pPr>
        <w:pStyle w:val="ListBullet"/>
      </w:pPr>
      <w:r>
        <w:t>ML full-record reconstruction fit evaluates the deterministic predictions used to produce the historical ML point-load reconstruction.</w:t>
      </w:r>
    </w:p>
    <w:p>
      <w:pPr>
        <w:pStyle w:val="ListBullet"/>
      </w:pPr>
      <w:r>
        <w:t>ML outer-LOYO validation evaluates held-out-year prediction error and is the stricter test of ML interpolation performance.</w:t>
      </w:r>
    </w:p>
    <w:p>
      <w:r>
        <w:t>Overall NRMSE patterns show that no single diagnostic can rank the models without context. For example, Bayesian posterior-predictive NRMSE was low for NO3 and TDS but high for TP and TSS. ML reconstruction NRMSE was lower than ML LOYO NRMSE for every analyte, as expected because the reconstruction points are fit to the full record while LOYO holds out years. The LOYO results therefore provide the more conservative assessment of predictive transfer across years.</w:t>
      </w:r>
    </w:p>
    <w:p>
      <w:r>
        <w:rPr>
          <w:highlight w:val="yellow"/>
        </w:rPr>
        <w:t>This section should explicitly avoid a winner-take-all interpretation of RMSE and NRMSE. Model-evaluation literature in hydrology and water quality cautions that fit statistics are sensitive to response scale, measurement uncertainty, and the intended use of the model (Moriasi et al., 2007; Harmel &amp; Smith, 2007; Guzman et al., 2015; Yen et al., 2014).</w:t>
      </w:r>
    </w:p>
    <w:p>
      <w:r>
        <w:t>Temporal Spearman correlations compare the annual rank ordering of Bayesian and ML central estimates within analyte and treatment. They do not test whether the two methods produced the same load magnitude. Agreement was strongest and most consistent for NO3, TN, and TDS, with several significant positive rank correlations across treatments. Agreement was weaker for OP, TP, and TSS, indicating that the methods sometimes differed in which years they identified as relatively high or low load years.</w:t>
      </w:r>
    </w:p>
    <w:p>
      <w:r>
        <w:t>The uncertainty discussion belongs here. Bayesian intervals represent posterior credible intervals for modeled annual loads. ML intervals represent calibration-residual prediction intervals generated from split-conformal residual resampling and are not confidence intervals for fitted parameters. The ML intervals were wide enough that plotting them on the primary annual time-series figures would obscure the central trends, so the main figures should prioritize readable centers while supplemental figures retain full uncertainty displays.</w:t>
      </w:r>
    </w:p>
    <w:p>
      <w:pPr>
        <w:spacing w:before="80" w:after="80"/>
      </w:pPr>
      <w:r>
        <w:rPr>
          <w:b/>
        </w:rPr>
        <w:t>Figure 4.8.</w:t>
      </w:r>
      <w:r>
        <w:t xml:space="preserve"> [Insert figure: figures/comparison/v3p0_physical_event/gof_nrmse_bayes_ml_reconstruction_loyo_overall.png]</w:t>
      </w:r>
      <w:r>
        <w:t xml:space="preserve"> Overall NRMSE for Bayesian fit, ML full-record reconstruction, and ML LOYO validation.</w:t>
      </w:r>
    </w:p>
    <w:p>
      <w:r>
        <w:t>Table 4.2. RMSE and NRMSE evaluation tracks.</w:t>
      </w:r>
    </w:p>
    <w:p>
      <w:r>
        <w:t>Source: results/comparison/v3p0_physical_event/rmse_nrmse_bayes_ml_reconstruction_loyo_publication.csv</w:t>
      </w:r>
    </w:p>
    <w:p>
      <w:r>
        <w:t>Table 4.3. Spearman rank agreement between Bayesian and ML annual central estimates.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shd w:fill="F4F6F9"/>
            <w:tcMar>
              <w:top w:w="80" w:type="dxa"/>
              <w:start w:w="120" w:type="dxa"/>
              <w:bottom w:w="80" w:type="dxa"/>
              <w:end w:w="120" w:type="dxa"/>
            </w:tcMar>
            <w:vAlign w:val="center"/>
          </w:tcPr>
          <w:p>
            <w:r>
              <w:rPr>
                <w:b/>
              </w:rPr>
              <w:t>Analyte</w:t>
            </w:r>
          </w:p>
        </w:tc>
        <w:tc>
          <w:tcPr>
            <w:tcW w:type="dxa" w:w="2448"/>
            <w:shd w:fill="F4F6F9"/>
            <w:tcMar>
              <w:top w:w="80" w:type="dxa"/>
              <w:start w:w="120" w:type="dxa"/>
              <w:bottom w:w="80" w:type="dxa"/>
              <w:end w:w="120" w:type="dxa"/>
            </w:tcMar>
            <w:vAlign w:val="center"/>
          </w:tcPr>
          <w:p>
            <w:r>
              <w:rPr>
                <w:b/>
              </w:rPr>
              <w:t>CT</w:t>
            </w:r>
          </w:p>
        </w:tc>
        <w:tc>
          <w:tcPr>
            <w:tcW w:type="dxa" w:w="2448"/>
            <w:shd w:fill="F4F6F9"/>
            <w:tcMar>
              <w:top w:w="80" w:type="dxa"/>
              <w:start w:w="120" w:type="dxa"/>
              <w:bottom w:w="80" w:type="dxa"/>
              <w:end w:w="120" w:type="dxa"/>
            </w:tcMar>
            <w:vAlign w:val="center"/>
          </w:tcPr>
          <w:p>
            <w:r>
              <w:rPr>
                <w:b/>
              </w:rPr>
              <w:t>MT</w:t>
            </w:r>
          </w:p>
        </w:tc>
        <w:tc>
          <w:tcPr>
            <w:tcW w:type="dxa" w:w="2448"/>
            <w:shd w:fill="F4F6F9"/>
            <w:tcMar>
              <w:top w:w="80" w:type="dxa"/>
              <w:start w:w="120" w:type="dxa"/>
              <w:bottom w:w="80" w:type="dxa"/>
              <w:end w:w="120" w:type="dxa"/>
            </w:tcMar>
            <w:vAlign w:val="center"/>
          </w:tcPr>
          <w:p>
            <w:r>
              <w:rPr>
                <w:b/>
              </w:rPr>
              <w:t>ST</w:t>
            </w:r>
          </w:p>
        </w:tc>
      </w:tr>
      <w:tr>
        <w:tc>
          <w:tcPr>
            <w:tcW w:type="dxa" w:w="1728"/>
            <w:tcMar>
              <w:top w:w="80" w:type="dxa"/>
              <w:start w:w="120" w:type="dxa"/>
              <w:bottom w:w="80" w:type="dxa"/>
              <w:end w:w="120" w:type="dxa"/>
            </w:tcMar>
            <w:vAlign w:val="center"/>
          </w:tcPr>
          <w:p>
            <w:r>
              <w:t>NH4</w:t>
            </w:r>
          </w:p>
        </w:tc>
        <w:tc>
          <w:tcPr>
            <w:tcW w:type="dxa" w:w="2448"/>
            <w:tcMar>
              <w:top w:w="80" w:type="dxa"/>
              <w:start w:w="120" w:type="dxa"/>
              <w:bottom w:w="80" w:type="dxa"/>
              <w:end w:w="120" w:type="dxa"/>
            </w:tcMar>
            <w:vAlign w:val="center"/>
          </w:tcPr>
          <w:p>
            <w:r>
              <w:t>0.33 (15)</w:t>
            </w:r>
          </w:p>
        </w:tc>
        <w:tc>
          <w:tcPr>
            <w:tcW w:type="dxa" w:w="2448"/>
            <w:tcMar>
              <w:top w:w="80" w:type="dxa"/>
              <w:start w:w="120" w:type="dxa"/>
              <w:bottom w:w="80" w:type="dxa"/>
              <w:end w:w="120" w:type="dxa"/>
            </w:tcMar>
            <w:vAlign w:val="center"/>
          </w:tcPr>
          <w:p>
            <w:r>
              <w:t>0.38 (15)</w:t>
            </w:r>
          </w:p>
        </w:tc>
        <w:tc>
          <w:tcPr>
            <w:tcW w:type="dxa" w:w="2448"/>
            <w:tcMar>
              <w:top w:w="80" w:type="dxa"/>
              <w:start w:w="120" w:type="dxa"/>
              <w:bottom w:w="80" w:type="dxa"/>
              <w:end w:w="120" w:type="dxa"/>
            </w:tcMar>
            <w:vAlign w:val="center"/>
          </w:tcPr>
          <w:p>
            <w:r>
              <w:t>0.37 (15)</w:t>
            </w:r>
          </w:p>
        </w:tc>
      </w:tr>
      <w:tr>
        <w:tc>
          <w:tcPr>
            <w:tcW w:type="dxa" w:w="1728"/>
            <w:tcMar>
              <w:top w:w="80" w:type="dxa"/>
              <w:start w:w="120" w:type="dxa"/>
              <w:bottom w:w="80" w:type="dxa"/>
              <w:end w:w="120" w:type="dxa"/>
            </w:tcMar>
            <w:vAlign w:val="center"/>
          </w:tcPr>
          <w:p>
            <w:r>
              <w:t>NO3</w:t>
            </w:r>
          </w:p>
        </w:tc>
        <w:tc>
          <w:tcPr>
            <w:tcW w:type="dxa" w:w="2448"/>
            <w:tcMar>
              <w:top w:w="80" w:type="dxa"/>
              <w:start w:w="120" w:type="dxa"/>
              <w:bottom w:w="80" w:type="dxa"/>
              <w:end w:w="120" w:type="dxa"/>
            </w:tcMar>
            <w:vAlign w:val="center"/>
          </w:tcPr>
          <w:p>
            <w:r>
              <w:t>0.55* (15)</w:t>
            </w:r>
          </w:p>
        </w:tc>
        <w:tc>
          <w:tcPr>
            <w:tcW w:type="dxa" w:w="2448"/>
            <w:tcMar>
              <w:top w:w="80" w:type="dxa"/>
              <w:start w:w="120" w:type="dxa"/>
              <w:bottom w:w="80" w:type="dxa"/>
              <w:end w:w="120" w:type="dxa"/>
            </w:tcMar>
            <w:vAlign w:val="center"/>
          </w:tcPr>
          <w:p>
            <w:r>
              <w:t>0.78* (15)</w:t>
            </w:r>
          </w:p>
        </w:tc>
        <w:tc>
          <w:tcPr>
            <w:tcW w:type="dxa" w:w="2448"/>
            <w:tcMar>
              <w:top w:w="80" w:type="dxa"/>
              <w:start w:w="120" w:type="dxa"/>
              <w:bottom w:w="80" w:type="dxa"/>
              <w:end w:w="120" w:type="dxa"/>
            </w:tcMar>
            <w:vAlign w:val="center"/>
          </w:tcPr>
          <w:p>
            <w:r>
              <w:t>0.67* (15)</w:t>
            </w:r>
          </w:p>
        </w:tc>
      </w:tr>
      <w:tr>
        <w:tc>
          <w:tcPr>
            <w:tcW w:type="dxa" w:w="1728"/>
            <w:tcMar>
              <w:top w:w="80" w:type="dxa"/>
              <w:start w:w="120" w:type="dxa"/>
              <w:bottom w:w="80" w:type="dxa"/>
              <w:end w:w="120" w:type="dxa"/>
            </w:tcMar>
            <w:vAlign w:val="center"/>
          </w:tcPr>
          <w:p>
            <w:r>
              <w:t>NO2</w:t>
            </w:r>
          </w:p>
        </w:tc>
        <w:tc>
          <w:tcPr>
            <w:tcW w:type="dxa" w:w="2448"/>
            <w:tcMar>
              <w:top w:w="80" w:type="dxa"/>
              <w:start w:w="120" w:type="dxa"/>
              <w:bottom w:w="80" w:type="dxa"/>
              <w:end w:w="120" w:type="dxa"/>
            </w:tcMar>
            <w:vAlign w:val="center"/>
          </w:tcPr>
          <w:p>
            <w:r>
              <w:t>0.58* (15)</w:t>
            </w:r>
          </w:p>
        </w:tc>
        <w:tc>
          <w:tcPr>
            <w:tcW w:type="dxa" w:w="2448"/>
            <w:tcMar>
              <w:top w:w="80" w:type="dxa"/>
              <w:start w:w="120" w:type="dxa"/>
              <w:bottom w:w="80" w:type="dxa"/>
              <w:end w:w="120" w:type="dxa"/>
            </w:tcMar>
            <w:vAlign w:val="center"/>
          </w:tcPr>
          <w:p>
            <w:r>
              <w:t>0.43 (15)</w:t>
            </w:r>
          </w:p>
        </w:tc>
        <w:tc>
          <w:tcPr>
            <w:tcW w:type="dxa" w:w="2448"/>
            <w:tcMar>
              <w:top w:w="80" w:type="dxa"/>
              <w:start w:w="120" w:type="dxa"/>
              <w:bottom w:w="80" w:type="dxa"/>
              <w:end w:w="120" w:type="dxa"/>
            </w:tcMar>
            <w:vAlign w:val="center"/>
          </w:tcPr>
          <w:p>
            <w:r>
              <w:t>0.50 (15)</w:t>
            </w:r>
          </w:p>
        </w:tc>
      </w:tr>
      <w:tr>
        <w:tc>
          <w:tcPr>
            <w:tcW w:type="dxa" w:w="1728"/>
            <w:tcMar>
              <w:top w:w="80" w:type="dxa"/>
              <w:start w:w="120" w:type="dxa"/>
              <w:bottom w:w="80" w:type="dxa"/>
              <w:end w:w="120" w:type="dxa"/>
            </w:tcMar>
            <w:vAlign w:val="center"/>
          </w:tcPr>
          <w:p>
            <w:r>
              <w:t>OP</w:t>
            </w:r>
          </w:p>
        </w:tc>
        <w:tc>
          <w:tcPr>
            <w:tcW w:type="dxa" w:w="2448"/>
            <w:tcMar>
              <w:top w:w="80" w:type="dxa"/>
              <w:start w:w="120" w:type="dxa"/>
              <w:bottom w:w="80" w:type="dxa"/>
              <w:end w:w="120" w:type="dxa"/>
            </w:tcMar>
            <w:vAlign w:val="center"/>
          </w:tcPr>
          <w:p>
            <w:r>
              <w:t>0.22 (15)</w:t>
            </w:r>
          </w:p>
        </w:tc>
        <w:tc>
          <w:tcPr>
            <w:tcW w:type="dxa" w:w="2448"/>
            <w:tcMar>
              <w:top w:w="80" w:type="dxa"/>
              <w:start w:w="120" w:type="dxa"/>
              <w:bottom w:w="80" w:type="dxa"/>
              <w:end w:w="120" w:type="dxa"/>
            </w:tcMar>
            <w:vAlign w:val="center"/>
          </w:tcPr>
          <w:p>
            <w:r>
              <w:t>0.25 (15)</w:t>
            </w:r>
          </w:p>
        </w:tc>
        <w:tc>
          <w:tcPr>
            <w:tcW w:type="dxa" w:w="2448"/>
            <w:tcMar>
              <w:top w:w="80" w:type="dxa"/>
              <w:start w:w="120" w:type="dxa"/>
              <w:bottom w:w="80" w:type="dxa"/>
              <w:end w:w="120" w:type="dxa"/>
            </w:tcMar>
            <w:vAlign w:val="center"/>
          </w:tcPr>
          <w:p>
            <w:r>
              <w:t>0.27 (15)</w:t>
            </w:r>
          </w:p>
        </w:tc>
      </w:tr>
      <w:tr>
        <w:tc>
          <w:tcPr>
            <w:tcW w:type="dxa" w:w="1728"/>
            <w:tcMar>
              <w:top w:w="80" w:type="dxa"/>
              <w:start w:w="120" w:type="dxa"/>
              <w:bottom w:w="80" w:type="dxa"/>
              <w:end w:w="120" w:type="dxa"/>
            </w:tcMar>
            <w:vAlign w:val="center"/>
          </w:tcPr>
          <w:p>
            <w:r>
              <w:t>Se</w:t>
            </w:r>
          </w:p>
        </w:tc>
        <w:tc>
          <w:tcPr>
            <w:tcW w:type="dxa" w:w="2448"/>
            <w:tcMar>
              <w:top w:w="80" w:type="dxa"/>
              <w:start w:w="120" w:type="dxa"/>
              <w:bottom w:w="80" w:type="dxa"/>
              <w:end w:w="120" w:type="dxa"/>
            </w:tcMar>
            <w:vAlign w:val="center"/>
          </w:tcPr>
          <w:p>
            <w:r>
              <w:t>0.26 (15)</w:t>
            </w:r>
          </w:p>
        </w:tc>
        <w:tc>
          <w:tcPr>
            <w:tcW w:type="dxa" w:w="2448"/>
            <w:tcMar>
              <w:top w:w="80" w:type="dxa"/>
              <w:start w:w="120" w:type="dxa"/>
              <w:bottom w:w="80" w:type="dxa"/>
              <w:end w:w="120" w:type="dxa"/>
            </w:tcMar>
            <w:vAlign w:val="center"/>
          </w:tcPr>
          <w:p>
            <w:r>
              <w:t>0.55* (15)</w:t>
            </w:r>
          </w:p>
        </w:tc>
        <w:tc>
          <w:tcPr>
            <w:tcW w:type="dxa" w:w="2448"/>
            <w:tcMar>
              <w:top w:w="80" w:type="dxa"/>
              <w:start w:w="120" w:type="dxa"/>
              <w:bottom w:w="80" w:type="dxa"/>
              <w:end w:w="120" w:type="dxa"/>
            </w:tcMar>
            <w:vAlign w:val="center"/>
          </w:tcPr>
          <w:p>
            <w:r>
              <w:t>0.60* (15)</w:t>
            </w:r>
          </w:p>
        </w:tc>
      </w:tr>
      <w:tr>
        <w:tc>
          <w:tcPr>
            <w:tcW w:type="dxa" w:w="1728"/>
            <w:tcMar>
              <w:top w:w="80" w:type="dxa"/>
              <w:start w:w="120" w:type="dxa"/>
              <w:bottom w:w="80" w:type="dxa"/>
              <w:end w:w="120" w:type="dxa"/>
            </w:tcMar>
            <w:vAlign w:val="center"/>
          </w:tcPr>
          <w:p>
            <w:r>
              <w:t>TDS</w:t>
            </w:r>
          </w:p>
        </w:tc>
        <w:tc>
          <w:tcPr>
            <w:tcW w:type="dxa" w:w="2448"/>
            <w:tcMar>
              <w:top w:w="80" w:type="dxa"/>
              <w:start w:w="120" w:type="dxa"/>
              <w:bottom w:w="80" w:type="dxa"/>
              <w:end w:w="120" w:type="dxa"/>
            </w:tcMar>
            <w:vAlign w:val="center"/>
          </w:tcPr>
          <w:p>
            <w:r>
              <w:t>0.39 (15)</w:t>
            </w:r>
          </w:p>
        </w:tc>
        <w:tc>
          <w:tcPr>
            <w:tcW w:type="dxa" w:w="2448"/>
            <w:tcMar>
              <w:top w:w="80" w:type="dxa"/>
              <w:start w:w="120" w:type="dxa"/>
              <w:bottom w:w="80" w:type="dxa"/>
              <w:end w:w="120" w:type="dxa"/>
            </w:tcMar>
            <w:vAlign w:val="center"/>
          </w:tcPr>
          <w:p>
            <w:r>
              <w:t>0.72* (15)</w:t>
            </w:r>
          </w:p>
        </w:tc>
        <w:tc>
          <w:tcPr>
            <w:tcW w:type="dxa" w:w="2448"/>
            <w:tcMar>
              <w:top w:w="80" w:type="dxa"/>
              <w:start w:w="120" w:type="dxa"/>
              <w:bottom w:w="80" w:type="dxa"/>
              <w:end w:w="120" w:type="dxa"/>
            </w:tcMar>
            <w:vAlign w:val="center"/>
          </w:tcPr>
          <w:p>
            <w:r>
              <w:t>0.68* (15)</w:t>
            </w:r>
          </w:p>
        </w:tc>
      </w:tr>
      <w:tr>
        <w:tc>
          <w:tcPr>
            <w:tcW w:type="dxa" w:w="1728"/>
            <w:tcMar>
              <w:top w:w="80" w:type="dxa"/>
              <w:start w:w="120" w:type="dxa"/>
              <w:bottom w:w="80" w:type="dxa"/>
              <w:end w:w="120" w:type="dxa"/>
            </w:tcMar>
            <w:vAlign w:val="center"/>
          </w:tcPr>
          <w:p>
            <w:r>
              <w:t>TKN</w:t>
            </w:r>
          </w:p>
        </w:tc>
        <w:tc>
          <w:tcPr>
            <w:tcW w:type="dxa" w:w="2448"/>
            <w:tcMar>
              <w:top w:w="80" w:type="dxa"/>
              <w:start w:w="120" w:type="dxa"/>
              <w:bottom w:w="80" w:type="dxa"/>
              <w:end w:w="120" w:type="dxa"/>
            </w:tcMar>
            <w:vAlign w:val="center"/>
          </w:tcPr>
          <w:p>
            <w:r>
              <w:t>0.48 (15)</w:t>
            </w:r>
          </w:p>
        </w:tc>
        <w:tc>
          <w:tcPr>
            <w:tcW w:type="dxa" w:w="2448"/>
            <w:tcMar>
              <w:top w:w="80" w:type="dxa"/>
              <w:start w:w="120" w:type="dxa"/>
              <w:bottom w:w="80" w:type="dxa"/>
              <w:end w:w="120" w:type="dxa"/>
            </w:tcMar>
            <w:vAlign w:val="center"/>
          </w:tcPr>
          <w:p>
            <w:r>
              <w:t>0.52* (15)</w:t>
            </w:r>
          </w:p>
        </w:tc>
        <w:tc>
          <w:tcPr>
            <w:tcW w:type="dxa" w:w="2448"/>
            <w:tcMar>
              <w:top w:w="80" w:type="dxa"/>
              <w:start w:w="120" w:type="dxa"/>
              <w:bottom w:w="80" w:type="dxa"/>
              <w:end w:w="120" w:type="dxa"/>
            </w:tcMar>
            <w:vAlign w:val="center"/>
          </w:tcPr>
          <w:p>
            <w:r>
              <w:t>0.49 (15)</w:t>
            </w:r>
          </w:p>
        </w:tc>
      </w:tr>
      <w:tr>
        <w:tc>
          <w:tcPr>
            <w:tcW w:type="dxa" w:w="1728"/>
            <w:tcMar>
              <w:top w:w="80" w:type="dxa"/>
              <w:start w:w="120" w:type="dxa"/>
              <w:bottom w:w="80" w:type="dxa"/>
              <w:end w:w="120" w:type="dxa"/>
            </w:tcMar>
            <w:vAlign w:val="center"/>
          </w:tcPr>
          <w:p>
            <w:r>
              <w:t>TN</w:t>
            </w:r>
          </w:p>
        </w:tc>
        <w:tc>
          <w:tcPr>
            <w:tcW w:type="dxa" w:w="2448"/>
            <w:tcMar>
              <w:top w:w="80" w:type="dxa"/>
              <w:start w:w="120" w:type="dxa"/>
              <w:bottom w:w="80" w:type="dxa"/>
              <w:end w:w="120" w:type="dxa"/>
            </w:tcMar>
            <w:vAlign w:val="center"/>
          </w:tcPr>
          <w:p>
            <w:r>
              <w:t>0.51* (15)</w:t>
            </w:r>
          </w:p>
        </w:tc>
        <w:tc>
          <w:tcPr>
            <w:tcW w:type="dxa" w:w="2448"/>
            <w:tcMar>
              <w:top w:w="80" w:type="dxa"/>
              <w:start w:w="120" w:type="dxa"/>
              <w:bottom w:w="80" w:type="dxa"/>
              <w:end w:w="120" w:type="dxa"/>
            </w:tcMar>
            <w:vAlign w:val="center"/>
          </w:tcPr>
          <w:p>
            <w:r>
              <w:t>0.62* (15)</w:t>
            </w:r>
          </w:p>
        </w:tc>
        <w:tc>
          <w:tcPr>
            <w:tcW w:type="dxa" w:w="2448"/>
            <w:tcMar>
              <w:top w:w="80" w:type="dxa"/>
              <w:start w:w="120" w:type="dxa"/>
              <w:bottom w:w="80" w:type="dxa"/>
              <w:end w:w="120" w:type="dxa"/>
            </w:tcMar>
            <w:vAlign w:val="center"/>
          </w:tcPr>
          <w:p>
            <w:r>
              <w:t>0.64* (15)</w:t>
            </w:r>
          </w:p>
        </w:tc>
      </w:tr>
      <w:tr>
        <w:tc>
          <w:tcPr>
            <w:tcW w:type="dxa" w:w="1728"/>
            <w:tcMar>
              <w:top w:w="80" w:type="dxa"/>
              <w:start w:w="120" w:type="dxa"/>
              <w:bottom w:w="80" w:type="dxa"/>
              <w:end w:w="120" w:type="dxa"/>
            </w:tcMar>
            <w:vAlign w:val="center"/>
          </w:tcPr>
          <w:p>
            <w:r>
              <w:t>TP</w:t>
            </w:r>
          </w:p>
        </w:tc>
        <w:tc>
          <w:tcPr>
            <w:tcW w:type="dxa" w:w="2448"/>
            <w:tcMar>
              <w:top w:w="80" w:type="dxa"/>
              <w:start w:w="120" w:type="dxa"/>
              <w:bottom w:w="80" w:type="dxa"/>
              <w:end w:w="120" w:type="dxa"/>
            </w:tcMar>
            <w:vAlign w:val="center"/>
          </w:tcPr>
          <w:p>
            <w:r>
              <w:t>0.43 (15)</w:t>
            </w:r>
          </w:p>
        </w:tc>
        <w:tc>
          <w:tcPr>
            <w:tcW w:type="dxa" w:w="2448"/>
            <w:tcMar>
              <w:top w:w="80" w:type="dxa"/>
              <w:start w:w="120" w:type="dxa"/>
              <w:bottom w:w="80" w:type="dxa"/>
              <w:end w:w="120" w:type="dxa"/>
            </w:tcMar>
            <w:vAlign w:val="center"/>
          </w:tcPr>
          <w:p>
            <w:r>
              <w:t>0.11 (15)</w:t>
            </w:r>
          </w:p>
        </w:tc>
        <w:tc>
          <w:tcPr>
            <w:tcW w:type="dxa" w:w="2448"/>
            <w:tcMar>
              <w:top w:w="80" w:type="dxa"/>
              <w:start w:w="120" w:type="dxa"/>
              <w:bottom w:w="80" w:type="dxa"/>
              <w:end w:w="120" w:type="dxa"/>
            </w:tcMar>
            <w:vAlign w:val="center"/>
          </w:tcPr>
          <w:p>
            <w:r>
              <w:t>0.31 (15)</w:t>
            </w:r>
          </w:p>
        </w:tc>
      </w:tr>
      <w:tr>
        <w:tc>
          <w:tcPr>
            <w:tcW w:type="dxa" w:w="1728"/>
            <w:tcMar>
              <w:top w:w="80" w:type="dxa"/>
              <w:start w:w="120" w:type="dxa"/>
              <w:bottom w:w="80" w:type="dxa"/>
              <w:end w:w="120" w:type="dxa"/>
            </w:tcMar>
            <w:vAlign w:val="center"/>
          </w:tcPr>
          <w:p>
            <w:r>
              <w:t>TSS</w:t>
            </w:r>
          </w:p>
        </w:tc>
        <w:tc>
          <w:tcPr>
            <w:tcW w:type="dxa" w:w="2448"/>
            <w:tcMar>
              <w:top w:w="80" w:type="dxa"/>
              <w:start w:w="120" w:type="dxa"/>
              <w:bottom w:w="80" w:type="dxa"/>
              <w:end w:w="120" w:type="dxa"/>
            </w:tcMar>
            <w:vAlign w:val="center"/>
          </w:tcPr>
          <w:p>
            <w:r>
              <w:t>0.37 (15)</w:t>
            </w:r>
          </w:p>
        </w:tc>
        <w:tc>
          <w:tcPr>
            <w:tcW w:type="dxa" w:w="2448"/>
            <w:tcMar>
              <w:top w:w="80" w:type="dxa"/>
              <w:start w:w="120" w:type="dxa"/>
              <w:bottom w:w="80" w:type="dxa"/>
              <w:end w:w="120" w:type="dxa"/>
            </w:tcMar>
            <w:vAlign w:val="center"/>
          </w:tcPr>
          <w:p>
            <w:r>
              <w:t>0.15 (15)</w:t>
            </w:r>
          </w:p>
        </w:tc>
        <w:tc>
          <w:tcPr>
            <w:tcW w:type="dxa" w:w="2448"/>
            <w:tcMar>
              <w:top w:w="80" w:type="dxa"/>
              <w:start w:w="120" w:type="dxa"/>
              <w:bottom w:w="80" w:type="dxa"/>
              <w:end w:w="120" w:type="dxa"/>
            </w:tcMar>
            <w:vAlign w:val="center"/>
          </w:tcPr>
          <w:p>
            <w:r>
              <w:t>0.18 (15)</w:t>
            </w:r>
          </w:p>
        </w:tc>
      </w:tr>
    </w:tbl>
    <w:p>
      <w:r>
        <w:t>Note: parenthetical values are paired-year counts. Asterisks indicate unadjusted p &lt; 0.05; these exploratory tests are not multiplicity adjusted.</w:t>
      </w:r>
    </w:p>
    <w:p>
      <w:pPr>
        <w:pStyle w:val="Heading2"/>
      </w:pPr>
      <w:r>
        <w:t>3.4 Model agreement, disagreement, and complementarity</w:t>
      </w:r>
    </w:p>
    <w:p>
      <w:r>
        <w:t>The Bayesian and ML reconstructions are most useful when interpreted as complementary representations of the historical dataset. Agreement between the methods strengthens confidence that a reconstructed pattern is supported by both a structured generative model and a flexible predictive model. Disagreement identifies areas where the data record, the model structure, or the outcome process deserves closer review.</w:t>
      </w:r>
    </w:p>
    <w:p>
      <w:r>
        <w:t>For sediment-associated constituents, especially TSS and TKN, both methods point toward lower cumulative loads under reduced-disturbance systems, although uncertainty and effect magnitude differ. This agreement supports the broad interpretation that reduced disturbance and residue retention are most effective for constituents tied to sediment detachment and particulate transport.</w:t>
      </w:r>
    </w:p>
    <w:p>
      <w:r>
        <w:t>For TP, dissolved constituents, and sparse analytes, model disagreement should be discussed directly. Disagreement may reflect sparse data, temporal changes in analytical coverage, differences in how the models use inflow chemistry and event volume, or genuine process complexity not captured equally by both approaches. The cross-model disagreement ledger should remain an audit source or supplemental diagnostic rather than a main manuscript table.</w:t>
      </w:r>
    </w:p>
    <w:p>
      <w:r>
        <w:t xml:space="preserve">The practical conclusion is that the ML model is useful for historical interpolation within the observed study domain, while the Bayesian model provides a more mechanism-aware framework for inference about management pathways and uncertainty propagation. </w:t>
      </w:r>
      <w:r>
        <w:rPr>
          <w:highlight w:val="yellow"/>
        </w:rPr>
        <w:t>This framing aligns with recent calls to combine empirical prediction, uncertainty accounting, and causal/process reasoning when analyzing long-term water-quality records with incomplete and evolving measurement support (Badrudeen et al., 2026; Beven, 2006; Harmel et al., 2023; Longchamps, Lanza, Wei, et al., 2025).</w:t>
      </w:r>
    </w:p>
    <w:p>
      <w:pPr>
        <w:pStyle w:val="Heading1"/>
      </w:pPr>
      <w:r>
        <w:t>4 Limitations</w:t>
      </w:r>
    </w:p>
    <w:p>
      <w:pPr>
        <w:pStyle w:val="Heading2"/>
      </w:pPr>
      <w:r>
        <w:t>4.1 Historical reconstruction, not forecasting</w:t>
      </w:r>
    </w:p>
    <w:p>
      <w:r>
        <w:t>The ML model should be interpreted as a historical interpolation tool for the observed Kerbel tillage-study domain. It should not be used for forecasting, extrapolation to new management regimes, or prediction under substantially different field conditions without recalibration and independent validation. The Bayesian model may be more defensible for within-study scenario interpretation because it encodes process structure and causal relationships, but its results also remain conditional on the model specification and the observed study domain.</w:t>
      </w:r>
    </w:p>
    <w:p>
      <w:pPr>
        <w:pStyle w:val="Heading2"/>
      </w:pPr>
      <w:r>
        <w:t>4.2 Observed annual-load completeness</w:t>
      </w:r>
    </w:p>
    <w:p>
      <w:r>
        <w:t>Observed annual loads are available only when the observed concentration-volume record is complete enough to represent the full annual load. Partial observed subtotals should not be reported as annual observed loads. This limitation should be visible in the tables and figures through NA/dash values rather than hidden through incomplete totals.</w:t>
      </w:r>
    </w:p>
    <w:p>
      <w:pPr>
        <w:pStyle w:val="Heading2"/>
      </w:pPr>
      <w:r>
        <w:t>4.3 Uncertainty interpretation</w:t>
      </w:r>
    </w:p>
    <w:p>
      <w:r>
        <w:t>Bayesian credible intervals, ML calibration-residual prediction intervals, observed event-bootstrap intervals, and LOYO error metrics quantify different forms of uncertainty or variability. They should not be described interchangeably. The wide ML uncertainty bands are an important limitation of the conformal residual approach at annual-load scale, even when the ML point estimates are useful for historical reconstruction.</w:t>
      </w:r>
    </w:p>
    <w:p>
      <w:pPr>
        <w:pStyle w:val="Heading2"/>
      </w:pPr>
      <w:r>
        <w:t>4.4 Model evaluation limits</w:t>
      </w:r>
    </w:p>
    <w:p>
      <w:r>
        <w:t>The Bayesian model was not evaluated using the same LOYO procedure as the ML model. Bayesian posterior-predictive fit, ML full-record reconstruction fit, and ML LOYO validation therefore should not be interpreted as identical model-selection criteria. The intended interpretation is diagnostic complementarity rather than formal selection of one superior model.</w:t>
      </w:r>
    </w:p>
    <w:p>
      <w:pPr>
        <w:pStyle w:val="Heading2"/>
      </w:pPr>
      <w:r>
        <w:t>4.5 Feature-importance limits</w:t>
      </w:r>
    </w:p>
    <w:p>
      <w:r>
        <w:t>The feature-importance plots summarize how the fitted CatBoost models used available predictors. They do not identify causal drivers of concentration or runoff volume. Causal interpretation should remain anchored in the Bayesian model structure, the DAG, and the study design rather than in ML importance rankings.</w:t>
      </w:r>
    </w:p>
    <w:p>
      <w:pPr>
        <w:pStyle w:val="Heading2"/>
      </w:pPr>
      <w:r>
        <w:t>4.6 Scope of applicability</w:t>
      </w:r>
    </w:p>
    <w:p>
      <w:r>
        <w:t>The conclusions apply to the measured treatments, crop rotations, irrigation practices, analyte suite, measurement history, and hydrologic event structure of the Kerbel long-term tillage study. Broader transfer to other sites, climates, irrigation systems, or management systems would require external validation, refitting, or additional process-based evidence.</w:t>
      </w:r>
    </w:p>
    <w:p>
      <w:r>
        <w:br w:type="page"/>
      </w:r>
    </w:p>
    <w:p>
      <w:pPr>
        <w:pStyle w:val="Heading1"/>
      </w:pPr>
      <w:r>
        <w:t>Draft Figure and Table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F4F6F9"/>
            <w:tcMar>
              <w:top w:w="80" w:type="dxa"/>
              <w:start w:w="120" w:type="dxa"/>
              <w:bottom w:w="80" w:type="dxa"/>
              <w:end w:w="120" w:type="dxa"/>
            </w:tcMar>
            <w:vAlign w:val="center"/>
          </w:tcPr>
          <w:p>
            <w:r>
              <w:rPr>
                <w:b/>
              </w:rPr>
              <w:t>Item</w:t>
            </w:r>
          </w:p>
        </w:tc>
        <w:tc>
          <w:tcPr>
            <w:tcW w:type="dxa" w:w="3168"/>
            <w:shd w:fill="F4F6F9"/>
            <w:tcMar>
              <w:top w:w="80" w:type="dxa"/>
              <w:start w:w="120" w:type="dxa"/>
              <w:bottom w:w="80" w:type="dxa"/>
              <w:end w:w="120" w:type="dxa"/>
            </w:tcMar>
            <w:vAlign w:val="center"/>
          </w:tcPr>
          <w:p>
            <w:r>
              <w:rPr>
                <w:b/>
              </w:rPr>
              <w:t>Main-text role</w:t>
            </w:r>
          </w:p>
        </w:tc>
        <w:tc>
          <w:tcPr>
            <w:tcW w:type="dxa" w:w="4464"/>
            <w:shd w:fill="F4F6F9"/>
            <w:tcMar>
              <w:top w:w="80" w:type="dxa"/>
              <w:start w:w="120" w:type="dxa"/>
              <w:bottom w:w="80" w:type="dxa"/>
              <w:end w:w="120" w:type="dxa"/>
            </w:tcMar>
            <w:vAlign w:val="center"/>
          </w:tcPr>
          <w:p>
            <w:r>
              <w:rPr>
                <w:b/>
              </w:rPr>
              <w:t>Source / action</w:t>
            </w:r>
          </w:p>
        </w:tc>
      </w:tr>
      <w:tr>
        <w:tc>
          <w:tcPr>
            <w:tcW w:type="dxa" w:w="1728"/>
            <w:tcMar>
              <w:top w:w="80" w:type="dxa"/>
              <w:start w:w="120" w:type="dxa"/>
              <w:bottom w:w="80" w:type="dxa"/>
              <w:end w:w="120" w:type="dxa"/>
            </w:tcMar>
            <w:vAlign w:val="center"/>
          </w:tcPr>
          <w:p>
            <w:r>
              <w:t>Figure 4.1</w:t>
            </w:r>
          </w:p>
        </w:tc>
        <w:tc>
          <w:tcPr>
            <w:tcW w:type="dxa" w:w="3168"/>
            <w:tcMar>
              <w:top w:w="80" w:type="dxa"/>
              <w:start w:w="120" w:type="dxa"/>
              <w:bottom w:w="80" w:type="dxa"/>
              <w:end w:w="120" w:type="dxa"/>
            </w:tcMar>
            <w:vAlign w:val="center"/>
          </w:tcPr>
          <w:p>
            <w:r>
              <w:t>ML LOYO interval coverage by year</w:t>
            </w:r>
          </w:p>
        </w:tc>
        <w:tc>
          <w:tcPr>
            <w:tcW w:type="dxa" w:w="4464"/>
            <w:tcMar>
              <w:top w:w="80" w:type="dxa"/>
              <w:start w:w="120" w:type="dxa"/>
              <w:bottom w:w="80" w:type="dxa"/>
              <w:end w:w="120" w:type="dxa"/>
            </w:tcMar>
            <w:vAlign w:val="center"/>
          </w:tcPr>
          <w:p>
            <w:r>
              <w:t>Use pi_coverage_by_year.png; describe overall coverage in prose.</w:t>
            </w:r>
          </w:p>
        </w:tc>
      </w:tr>
      <w:tr>
        <w:tc>
          <w:tcPr>
            <w:tcW w:type="dxa" w:w="1728"/>
            <w:tcMar>
              <w:top w:w="80" w:type="dxa"/>
              <w:start w:w="120" w:type="dxa"/>
              <w:bottom w:w="80" w:type="dxa"/>
              <w:end w:w="120" w:type="dxa"/>
            </w:tcMar>
            <w:vAlign w:val="center"/>
          </w:tcPr>
          <w:p>
            <w:r>
              <w:t>Figures 4.2-4.3</w:t>
            </w:r>
          </w:p>
        </w:tc>
        <w:tc>
          <w:tcPr>
            <w:tcW w:type="dxa" w:w="3168"/>
            <w:tcMar>
              <w:top w:w="80" w:type="dxa"/>
              <w:start w:w="120" w:type="dxa"/>
              <w:bottom w:w="80" w:type="dxa"/>
              <w:end w:w="120" w:type="dxa"/>
            </w:tcMar>
            <w:vAlign w:val="center"/>
          </w:tcPr>
          <w:p>
            <w:r>
              <w:t>Qualitative feature-importance review</w:t>
            </w:r>
          </w:p>
        </w:tc>
        <w:tc>
          <w:tcPr>
            <w:tcW w:type="dxa" w:w="4464"/>
            <w:tcMar>
              <w:top w:w="80" w:type="dxa"/>
              <w:start w:w="120" w:type="dxa"/>
              <w:bottom w:w="80" w:type="dxa"/>
              <w:end w:w="120" w:type="dxa"/>
            </w:tcMar>
            <w:vAlign w:val="center"/>
          </w:tcPr>
          <w:p>
            <w:r>
              <w:t>Use logC and logV importance figures; no main feature-importance table.</w:t>
            </w:r>
          </w:p>
        </w:tc>
      </w:tr>
      <w:tr>
        <w:tc>
          <w:tcPr>
            <w:tcW w:type="dxa" w:w="1728"/>
            <w:tcMar>
              <w:top w:w="80" w:type="dxa"/>
              <w:start w:w="120" w:type="dxa"/>
              <w:bottom w:w="80" w:type="dxa"/>
              <w:end w:w="120" w:type="dxa"/>
            </w:tcMar>
            <w:vAlign w:val="center"/>
          </w:tcPr>
          <w:p>
            <w:r>
              <w:t>Figures 4.4-4.6</w:t>
            </w:r>
          </w:p>
        </w:tc>
        <w:tc>
          <w:tcPr>
            <w:tcW w:type="dxa" w:w="3168"/>
            <w:tcMar>
              <w:top w:w="80" w:type="dxa"/>
              <w:start w:w="120" w:type="dxa"/>
              <w:bottom w:w="80" w:type="dxa"/>
              <w:end w:w="120" w:type="dxa"/>
            </w:tcMar>
            <w:vAlign w:val="center"/>
          </w:tcPr>
          <w:p>
            <w:r>
              <w:t>Annual load and volume reconstruction</w:t>
            </w:r>
          </w:p>
        </w:tc>
        <w:tc>
          <w:tcPr>
            <w:tcW w:type="dxa" w:w="4464"/>
            <w:tcMar>
              <w:top w:w="80" w:type="dxa"/>
              <w:start w:w="120" w:type="dxa"/>
              <w:bottom w:w="80" w:type="dxa"/>
              <w:end w:w="120" w:type="dxa"/>
            </w:tcMar>
            <w:vAlign w:val="center"/>
          </w:tcPr>
          <w:p>
            <w:r>
              <w:t>Use selected annual panels; filter observed points to complete annual observed loads only.</w:t>
            </w:r>
          </w:p>
        </w:tc>
      </w:tr>
      <w:tr>
        <w:tc>
          <w:tcPr>
            <w:tcW w:type="dxa" w:w="1728"/>
            <w:tcMar>
              <w:top w:w="80" w:type="dxa"/>
              <w:start w:w="120" w:type="dxa"/>
              <w:bottom w:w="80" w:type="dxa"/>
              <w:end w:w="120" w:type="dxa"/>
            </w:tcMar>
            <w:vAlign w:val="center"/>
          </w:tcPr>
          <w:p>
            <w:r>
              <w:t>Figure 4.7</w:t>
            </w:r>
          </w:p>
        </w:tc>
        <w:tc>
          <w:tcPr>
            <w:tcW w:type="dxa" w:w="3168"/>
            <w:tcMar>
              <w:top w:w="80" w:type="dxa"/>
              <w:start w:w="120" w:type="dxa"/>
              <w:bottom w:w="80" w:type="dxa"/>
              <w:end w:w="120" w:type="dxa"/>
            </w:tcMar>
            <w:vAlign w:val="center"/>
          </w:tcPr>
          <w:p>
            <w:r>
              <w:t>Cumulative-load summary</w:t>
            </w:r>
          </w:p>
        </w:tc>
        <w:tc>
          <w:tcPr>
            <w:tcW w:type="dxa" w:w="4464"/>
            <w:tcMar>
              <w:top w:w="80" w:type="dxa"/>
              <w:start w:w="120" w:type="dxa"/>
              <w:bottom w:w="80" w:type="dxa"/>
              <w:end w:w="120" w:type="dxa"/>
            </w:tcMar>
            <w:vAlign w:val="center"/>
          </w:tcPr>
          <w:p>
            <w:r>
              <w:t>Use cumulative_loads_2011_2025.png.</w:t>
            </w:r>
          </w:p>
        </w:tc>
      </w:tr>
      <w:tr>
        <w:tc>
          <w:tcPr>
            <w:tcW w:type="dxa" w:w="1728"/>
            <w:tcMar>
              <w:top w:w="80" w:type="dxa"/>
              <w:start w:w="120" w:type="dxa"/>
              <w:bottom w:w="80" w:type="dxa"/>
              <w:end w:w="120" w:type="dxa"/>
            </w:tcMar>
            <w:vAlign w:val="center"/>
          </w:tcPr>
          <w:p>
            <w:r>
              <w:t>Figure 4.8</w:t>
            </w:r>
          </w:p>
        </w:tc>
        <w:tc>
          <w:tcPr>
            <w:tcW w:type="dxa" w:w="3168"/>
            <w:tcMar>
              <w:top w:w="80" w:type="dxa"/>
              <w:start w:w="120" w:type="dxa"/>
              <w:bottom w:w="80" w:type="dxa"/>
              <w:end w:w="120" w:type="dxa"/>
            </w:tcMar>
            <w:vAlign w:val="center"/>
          </w:tcPr>
          <w:p>
            <w:r>
              <w:t>Fit diagnostics</w:t>
            </w:r>
          </w:p>
        </w:tc>
        <w:tc>
          <w:tcPr>
            <w:tcW w:type="dxa" w:w="4464"/>
            <w:tcMar>
              <w:top w:w="80" w:type="dxa"/>
              <w:start w:w="120" w:type="dxa"/>
              <w:bottom w:w="80" w:type="dxa"/>
              <w:end w:w="120" w:type="dxa"/>
            </w:tcMar>
            <w:vAlign w:val="center"/>
          </w:tcPr>
          <w:p>
            <w:r>
              <w:t>Use GOF NRMSE three-track figure.</w:t>
            </w:r>
          </w:p>
        </w:tc>
      </w:tr>
      <w:tr>
        <w:tc>
          <w:tcPr>
            <w:tcW w:type="dxa" w:w="1728"/>
            <w:tcMar>
              <w:top w:w="80" w:type="dxa"/>
              <w:start w:w="120" w:type="dxa"/>
              <w:bottom w:w="80" w:type="dxa"/>
              <w:end w:w="120" w:type="dxa"/>
            </w:tcMar>
            <w:vAlign w:val="center"/>
          </w:tcPr>
          <w:p>
            <w:r>
              <w:t>Table 4.1</w:t>
            </w:r>
          </w:p>
        </w:tc>
        <w:tc>
          <w:tcPr>
            <w:tcW w:type="dxa" w:w="3168"/>
            <w:tcMar>
              <w:top w:w="80" w:type="dxa"/>
              <w:start w:w="120" w:type="dxa"/>
              <w:bottom w:w="80" w:type="dxa"/>
              <w:end w:w="120" w:type="dxa"/>
            </w:tcMar>
            <w:vAlign w:val="center"/>
          </w:tcPr>
          <w:p>
            <w:r>
              <w:t>Compact annual reconstruction table</w:t>
            </w:r>
          </w:p>
        </w:tc>
        <w:tc>
          <w:tcPr>
            <w:tcW w:type="dxa" w:w="4464"/>
            <w:tcMar>
              <w:top w:w="80" w:type="dxa"/>
              <w:start w:w="120" w:type="dxa"/>
              <w:bottom w:w="80" w:type="dxa"/>
              <w:end w:w="120" w:type="dxa"/>
            </w:tcMar>
            <w:vAlign w:val="center"/>
          </w:tcPr>
          <w:p>
            <w:r>
              <w:t>Derive from annual load/volume summaries; observed column uses NA/dash unless complete.</w:t>
            </w:r>
          </w:p>
        </w:tc>
      </w:tr>
      <w:tr>
        <w:tc>
          <w:tcPr>
            <w:tcW w:type="dxa" w:w="1728"/>
            <w:tcMar>
              <w:top w:w="80" w:type="dxa"/>
              <w:start w:w="120" w:type="dxa"/>
              <w:bottom w:w="80" w:type="dxa"/>
              <w:end w:w="120" w:type="dxa"/>
            </w:tcMar>
            <w:vAlign w:val="center"/>
          </w:tcPr>
          <w:p>
            <w:r>
              <w:t>Table 4.2</w:t>
            </w:r>
          </w:p>
        </w:tc>
        <w:tc>
          <w:tcPr>
            <w:tcW w:type="dxa" w:w="3168"/>
            <w:tcMar>
              <w:top w:w="80" w:type="dxa"/>
              <w:start w:w="120" w:type="dxa"/>
              <w:bottom w:w="80" w:type="dxa"/>
              <w:end w:w="120" w:type="dxa"/>
            </w:tcMar>
            <w:vAlign w:val="center"/>
          </w:tcPr>
          <w:p>
            <w:r>
              <w:t>RMSE/NRMSE diagnostic table</w:t>
            </w:r>
          </w:p>
        </w:tc>
        <w:tc>
          <w:tcPr>
            <w:tcW w:type="dxa" w:w="4464"/>
            <w:tcMar>
              <w:top w:w="80" w:type="dxa"/>
              <w:start w:w="120" w:type="dxa"/>
              <w:bottom w:w="80" w:type="dxa"/>
              <w:end w:w="120" w:type="dxa"/>
            </w:tcMar>
            <w:vAlign w:val="center"/>
          </w:tcPr>
          <w:p>
            <w:r>
              <w:t>Use publication table or condensed excerpt.</w:t>
            </w:r>
          </w:p>
        </w:tc>
      </w:tr>
      <w:tr>
        <w:tc>
          <w:tcPr>
            <w:tcW w:type="dxa" w:w="1728"/>
            <w:tcMar>
              <w:top w:w="80" w:type="dxa"/>
              <w:start w:w="120" w:type="dxa"/>
              <w:bottom w:w="80" w:type="dxa"/>
              <w:end w:w="120" w:type="dxa"/>
            </w:tcMar>
            <w:vAlign w:val="center"/>
          </w:tcPr>
          <w:p>
            <w:r>
              <w:t>Table 4.3</w:t>
            </w:r>
          </w:p>
        </w:tc>
        <w:tc>
          <w:tcPr>
            <w:tcW w:type="dxa" w:w="3168"/>
            <w:tcMar>
              <w:top w:w="80" w:type="dxa"/>
              <w:start w:w="120" w:type="dxa"/>
              <w:bottom w:w="80" w:type="dxa"/>
              <w:end w:w="120" w:type="dxa"/>
            </w:tcMar>
            <w:vAlign w:val="center"/>
          </w:tcPr>
          <w:p>
            <w:r>
              <w:t>Spearman temporal agreement</w:t>
            </w:r>
          </w:p>
        </w:tc>
        <w:tc>
          <w:tcPr>
            <w:tcW w:type="dxa" w:w="4464"/>
            <w:tcMar>
              <w:top w:w="80" w:type="dxa"/>
              <w:start w:w="120" w:type="dxa"/>
              <w:bottom w:w="80" w:type="dxa"/>
              <w:end w:w="120" w:type="dxa"/>
            </w:tcMar>
            <w:vAlign w:val="center"/>
          </w:tcPr>
          <w:p>
            <w:r>
              <w:t>Included in this draft.</w:t>
            </w:r>
          </w:p>
        </w:tc>
      </w:tr>
    </w:tbl>
    <w:p>
      <w:pPr>
        <w:pStyle w:val="Heading1"/>
      </w:pPr>
      <w:r>
        <w:t>Citation Tie-ins to Verify</w:t>
      </w:r>
    </w:p>
    <w:p>
      <w:r>
        <w:rPr>
          <w:highlight w:val="yellow"/>
        </w:rPr>
        <w:t>Highlighted citation suggestions were drawn from the supplied Brown et al. draft PDF and should be checked against the final dissertation reference list. Candidate literature clusters: edge-of-field monitoring uncertainty and evolving measurement support (Harmel et al., 2006, 2023; Daniels et al., 2018; Harmel, King, et al., 2018); model evaluation and uncertainty (Moriasi et al., 2007; Harmel &amp; Smith, 2007; Guzman et al., 2015; Yen et al., 2014); conservation tillage effects on sediment and particulate nutrients (Bjorneberg, Aase, et al., 2006; Kleinman et al., 2015; Prasad, Thomason, et al., 2023; Trimarco et al., 2025); and legacy nutrient or temporal persistence context (Sharpley et al., 2013; Golden et al., 2023).</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