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>
  <w:body>
    <w:tbl>
      <w:tblPr>
        <w:tblStyle w:val="TableStyle0"/>
        <w:tblW w:w="1500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65"/>
        <w:gridCol w:w="480"/>
        <w:gridCol w:w="945"/>
        <w:gridCol w:w="1575"/>
        <w:gridCol w:w="1575"/>
        <w:gridCol w:w="4695"/>
        <w:gridCol w:w="2100"/>
        <w:gridCol w:w="1740"/>
        <w:gridCol w:w="1725"/>
      </w:tblGrid>
      <w:tr>
        <w:trPr>
          <w:cantSplit/>
          <w:trHeight w:val="22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94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0260" w:type="dxa"/>
            <w:gridSpan w:val="4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right"/>
            </w:pPr>
            <w:r/>
          </w:p>
        </w:tc>
      </w:tr>
      <w:tr>
        <w:trPr>
          <w:cantSplit/>
          <w:trHeight w:val="0" w:hRule="auto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14835" w:type="dxa"/>
            <w:gridSpan w:val="8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b/>
                <w:sz w:val="20"/>
                <w:szCs w:val="20"/>
              </w:rPr>
              <w:t>ПЕРЕДАТОЧНЫЙ АКТ</w:t>
            </w:r>
          </w:p>
        </w:tc>
      </w:tr>
      <w:tr>
        <w:trPr>
          <w:cantSplit/>
          <w:trHeight w:val="0" w:hRule="auto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575" w:type="dxa"/>
            <w:gridSpan w:val="4"/>
            <w:tcBorders>
              <w:top w:val="none" w:sz="5" w:space="0" w:color="auto"/>
              <w:left w:val="non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left"/>
            </w:pPr>
            <w:r/>
            <w:r>
              <w:rPr>
                <w:rFonts w:ascii="Times New Roman" w:hAnsi="Times New Roman"/>
                <w:sz w:val="20"/>
                <w:szCs w:val="20"/>
              </w:rPr>
              <w:t>г. Москва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695" w:type="dxa"/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2100" w:type="dxa"/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3465" w:type="dxa"/>
            <w:gridSpan w:val="2"/>
            <w:shd w:val="clear" w:color="auto" w:fill="auto"/>
            <w:textDirection w:val="lrTb"/>
            <w:vAlign w:val="top"/>
          </w:tcPr>
          <w:p>
            <w:pPr>
              <w:spacing w:after="0"/>
              <w:wordWrap w:val="1"/>
              <w:jc w:val="left"/>
            </w:pPr>
            <w:r/>
            <w:r>
              <w:rPr>
                <w:rFonts w:ascii="Times New Roman" w:hAnsi="Times New Roman"/>
                <w:sz w:val="20"/>
                <w:szCs w:val="20"/>
              </w:rPr>
              <w:t>14 апреля 2026 г.</w:t>
            </w:r>
          </w:p>
        </w:tc>
      </w:tr>
      <w:tr>
        <w:trPr>
          <w:cantSplit/>
          <w:trHeight w:val="0" w:hRule="auto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14835" w:type="dxa"/>
            <w:gridSpan w:val="8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left"/>
            </w:pPr>
            <w:r/>
            <w:r>
              <w:rPr>
                <w:rFonts w:ascii="Times New Roman" w:hAnsi="Times New Roman"/>
                <w:b/>
                <w:sz w:val="20"/>
                <w:szCs w:val="20"/>
              </w:rPr>
              <w:t>Специализированный фонд целевого капитала «Филантроп» "Алиса" , в лице директора Пантелеевой Людмилы Юрьевны, действующего на основании Устава, именуемое в дальнейшем «Учредитель управления», с одной стороны, </w:t>
              <w:br/>
              <w:t>
Акционерное общество «РЕГИОН Эссет Менеджмент», именуемое в дальнейшем «Управляющий», в лице Генерального директора Зайцевой Екатерины Александровны, действующей на основании Устава, с другой стороны, составили настоящий передаточный акт о том, что Учредитель управления передал, а Управляющий принял в доверительное управление денежные средства по договору № 181024-1/DU/UL от 18 октября 2024 г. за период 1 квартал 2026 г.</w:t>
            </w:r>
          </w:p>
        </w:tc>
      </w:tr>
      <w:tr>
        <w:trPr>
          <w:cantSplit/>
          <w:trHeight w:val="16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94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469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210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74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72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</w:tr>
      <w:tr>
        <w:trPr>
          <w:cantSplit/>
          <w:trHeight w:val="13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94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469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210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74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72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</w:tr>
      <w:tr>
        <w:trPr>
          <w:cantSplit/>
          <w:trHeight w:val="690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  <w:color w:val="000000"/>
              </w:rPr>
              <w:t>№ п/п</w:t>
            </w:r>
          </w:p>
        </w:tc>
        <w:tc>
          <w:tcPr>
            <w:tcW w:w="94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  <w:color w:val="000000"/>
              </w:rPr>
              <w:t>Дата  передачи</w:t>
            </w:r>
          </w:p>
        </w:tc>
        <w:tc>
          <w:tcPr>
            <w:tcW w:w="31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  <w:color w:val="000000"/>
              </w:rPr>
              <w:t>Платежный документ </w:t>
            </w:r>
          </w:p>
        </w:tc>
        <w:tc>
          <w:tcPr>
            <w:tcW w:w="8535" w:type="dxa"/>
            <w:gridSpan w:val="3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Назначение платежа</w:t>
            </w:r>
          </w:p>
        </w:tc>
        <w:tc>
          <w:tcPr>
            <w:tcW w:w="172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  <w:color w:val="000000"/>
              </w:rPr>
              <w:t>Сумма, руб.</w:t>
            </w:r>
          </w:p>
        </w:tc>
      </w:tr>
      <w:tr>
        <w:trPr>
          <w:cantSplit/>
          <w:trHeight w:val="0" w:hRule="auto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vMerge w:val="continue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945" w:type="dxa"/>
            <w:vMerge w:val="continue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  <w:color w:val="000000"/>
              </w:rPr>
              <w:t>Дата</w:t>
            </w:r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  <w:color w:val="000000"/>
              </w:rPr>
              <w:t>Номер </w:t>
            </w:r>
          </w:p>
        </w:tc>
        <w:tc>
          <w:tcPr>
            <w:tcW w:w="8535" w:type="dxa"/>
            <w:gridSpan w:val="3"/>
            <w:vMerge w:val="continue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725" w:type="dxa"/>
            <w:vMerge w:val="continue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</w:tr>
      <w:tr>
        <w:trPr>
          <w:cantSplit/>
          <w:trHeight w:val="0" w:hRule="auto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27.02.2026</w:t>
            </w:r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27.02.2026</w:t>
            </w:r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853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  <w:r>
              <w:rPr>
                <w:rFonts w:ascii="Times New Roman" w:hAnsi="Times New Roman"/>
                <w:sz w:val="18"/>
                <w:szCs w:val="18"/>
              </w:rPr>
              <w:t>Перечисление денежных средсв согласно Договору доверительного управления №181024-1/DU/UL от 18.10.2024г. (Д.У.) Сумма 880-00 Без налога (НДС)</w:t>
            </w:r>
          </w:p>
        </w:tc>
        <w:tc>
          <w:tcPr>
            <w:tcW w:w="1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right"/>
            </w:pPr>
            <w:r/>
            <w:r>
              <w:rPr>
                <w:rFonts w:ascii="Times New Roman" w:hAnsi="Times New Roman"/>
                <w:sz w:val="18"/>
                <w:szCs w:val="18"/>
              </w:rPr>
              <w:t>880,00</w:t>
            </w:r>
          </w:p>
        </w:tc>
      </w:tr>
      <w:tr>
        <w:trPr>
          <w:cantSplit/>
          <w:trHeight w:val="0" w:hRule="auto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9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31.03.2026</w:t>
            </w:r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31.03.2026</w:t>
            </w:r>
          </w:p>
        </w:tc>
        <w:tc>
          <w:tcPr>
            <w:tcW w:w="1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sz w:val="18"/>
                <w:szCs w:val="18"/>
              </w:rPr>
              <w:t>58</w:t>
            </w:r>
          </w:p>
        </w:tc>
        <w:tc>
          <w:tcPr>
            <w:tcW w:w="853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  <w:r>
              <w:rPr>
                <w:rFonts w:ascii="Times New Roman" w:hAnsi="Times New Roman"/>
                <w:sz w:val="18"/>
                <w:szCs w:val="18"/>
              </w:rPr>
              <w:t>Перечисление денежных средсв согласно Договору доверительного управления №181024-1/DU/UL от 18.10.2024г. (Д.У.) Сумма 1015-00 Без налога (НДС)</w:t>
            </w:r>
          </w:p>
        </w:tc>
        <w:tc>
          <w:tcPr>
            <w:tcW w:w="17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right"/>
            </w:pPr>
            <w:r/>
            <w:r>
              <w:rPr>
                <w:rFonts w:ascii="Times New Roman" w:hAnsi="Times New Roman"/>
                <w:sz w:val="18"/>
                <w:szCs w:val="18"/>
              </w:rPr>
              <w:t>1 015,00</w:t>
            </w:r>
          </w:p>
        </w:tc>
      </w:tr>
      <w:tr>
        <w:trPr>
          <w:cantSplit/>
          <w:trHeight w:val="22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14835" w:type="dxa"/>
            <w:gridSpan w:val="8"/>
            <w:tcBorders>
              <w:top w:val="single" w:sz="5" w:space="0" w:color="000000"/>
              <w:left w:val="none" w:sz="5" w:space="0" w:color="000000"/>
              <w:bottom w:val="none" w:sz="5" w:space="0" w:color="000000"/>
              <w:right w:val="non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</w:tr>
      <w:tr>
        <w:trPr>
          <w:cantSplit/>
          <w:trHeight w:val="46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575" w:type="dxa"/>
            <w:gridSpan w:val="4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b/>
                <w:sz w:val="20"/>
                <w:szCs w:val="20"/>
              </w:rPr>
              <w:t>Управляющий</w:t>
            </w:r>
          </w:p>
        </w:tc>
        <w:tc>
          <w:tcPr>
            <w:tcW w:w="469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5565" w:type="dxa"/>
            <w:gridSpan w:val="3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  <w:r>
              <w:rPr>
                <w:rFonts w:ascii="Times New Roman" w:hAnsi="Times New Roman"/>
                <w:b/>
                <w:sz w:val="20"/>
                <w:szCs w:val="20"/>
              </w:rPr>
              <w:t>Учредитель управления</w:t>
            </w:r>
          </w:p>
        </w:tc>
      </w:tr>
      <w:tr>
        <w:trPr>
          <w:cantSplit/>
          <w:trHeight w:val="40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tcBorders>
              <w:bottom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945" w:type="dxa"/>
            <w:tcBorders>
              <w:bottom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575" w:type="dxa"/>
            <w:tcBorders>
              <w:bottom w:val="single" w:sz="5" w:space="0" w:color="000000"/>
            </w:tcBorders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575" w:type="dxa"/>
            <w:tcBorders>
              <w:bottom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469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3840" w:type="dxa"/>
            <w:gridSpan w:val="2"/>
            <w:tcBorders>
              <w:top w:val="none" w:sz="5" w:space="0" w:color="auto"/>
              <w:left w:val="none" w:sz="5" w:space="0" w:color="auto"/>
              <w:bottom w:val="none" w:sz="5" w:space="0" w:color="auto"/>
              <w:right w:val="none" w:sz="5" w:space="0" w:color="auto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center"/>
            </w:pPr>
            <w:r/>
          </w:p>
        </w:tc>
        <w:tc>
          <w:tcPr>
            <w:tcW w:w="172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</w:tr>
      <w:tr>
        <w:trPr>
          <w:cantSplit/>
          <w:trHeight w:val="28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575" w:type="dxa"/>
            <w:gridSpan w:val="4"/>
            <w:tcBorders>
              <w:top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  <w:r>
              <w:rPr>
                <w:rFonts w:ascii="Times New Roman" w:hAnsi="Times New Roman"/>
                <w:sz w:val="20"/>
                <w:szCs w:val="20"/>
              </w:rPr>
              <w:t>Е.А. Зайцева</w:t>
            </w:r>
          </w:p>
        </w:tc>
        <w:tc>
          <w:tcPr>
            <w:tcW w:w="469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210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3465" w:type="dxa"/>
            <w:gridSpan w:val="2"/>
            <w:tcBorders>
              <w:top w:val="single" w:sz="5" w:space="0" w:color="000000"/>
            </w:tcBorders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  <w:r>
              <w:rPr>
                <w:rFonts w:ascii="Times New Roman" w:hAnsi="Times New Roman"/>
                <w:sz w:val="20"/>
                <w:szCs w:val="20"/>
              </w:rPr>
              <w:t>Л.Ю. Пантелеева</w:t>
            </w:r>
          </w:p>
        </w:tc>
      </w:tr>
      <w:tr>
        <w:trPr>
          <w:cantSplit/>
          <w:trHeight w:val="285" w:hRule="atLeast"/>
        </w:trPr>
        <w:tc>
          <w:tcPr>
            <w:tcW w:w="165" w:type="dxa"/>
            <w:shd w:val="clear" w:color="auto" w:fill="auto"/>
            <w:textDirection w:val="lrTb"/>
            <w:vAlign w:val="bottom"/>
          </w:tcPr>
          <w:p>
            <w:pPr>
              <w:spacing w:after="0"/>
              <w:jc w:val="left"/>
            </w:pPr>
            <w:r/>
          </w:p>
        </w:tc>
        <w:tc>
          <w:tcPr>
            <w:tcW w:w="480" w:type="dxa"/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94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57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469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2100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740" w:type="dxa"/>
            <w:shd w:val="clear" w:color="auto" w:fill="auto"/>
            <w:textDirection w:val="lrTb"/>
            <w:vAlign w:val="center"/>
          </w:tcPr>
          <w:p>
            <w:pPr>
              <w:spacing w:after="0"/>
              <w:wordWrap w:val="1"/>
              <w:jc w:val="left"/>
            </w:pPr>
            <w:r/>
          </w:p>
        </w:tc>
        <w:tc>
          <w:tcPr>
            <w:tcW w:w="1725" w:type="dxa"/>
            <w:shd w:val="clear" w:color="auto" w:fill="auto"/>
            <w:textDirection w:val="lrTb"/>
            <w:vAlign w:val="bottom"/>
          </w:tcPr>
          <w:p>
            <w:pPr>
              <w:spacing w:after="0"/>
              <w:wordWrap w:val="1"/>
              <w:jc w:val="left"/>
            </w:pPr>
            <w:r/>
          </w:p>
        </w:tc>
      </w:tr>
    </w:tbl>
    <w:sectPr>
      <w:pgSz w:w="16839" w:h="11907" w:orient="landscape"/>
      <w:pgMar w:top="567" w:right="567" w:bottom="567" w:left="567"/>
    </w:sectPr>
  </w:body>
</w:document>
</file>

<file path=word/settings.xml><?xml version="1.0" encoding="utf-8"?>
<w:settings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normal"/>
  <w:zoom w:percent="100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settings" Target="settings.xml"/>
	<Relationship Id="rId8" Type="http://schemas.openxmlformats.org/officeDocument/2006/relationships/header" Target="header1.xml"/>
	<Relationship Id="rId9" Type="http://schemas.openxmlformats.org/officeDocument/2006/relationships/footer" Target="footer1.xml"/>
	<Relationship Id="rId10" Type="http://schemas.openxmlformats.org/officeDocument/2006/relationships/header" Target="header2.xml"/>
	<Relationship Id="rId11" Type="http://schemas.openxmlformats.org/officeDocument/2006/relationships/footer" Target="footer2.xml"/>
</Relationships>
</file>