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SMEC OIL &amp; GAS</w:t>
      </w:r>
    </w:p>
    <w:p>
      <w:pPr>
        <w:jc w:val="center"/>
      </w:pPr>
      <w:r>
        <w:rPr>
          <w:b/>
          <w:sz w:val="48"/>
        </w:rPr>
        <w:t>WEBSITE DEVELOPER HANDOVER BRIEF</w:t>
      </w:r>
    </w:p>
    <w:p>
      <w:pPr>
        <w:jc w:val="center"/>
      </w:pPr>
      <w:r>
        <w:rPr>
          <w:sz w:val="22"/>
        </w:rPr>
        <w:t>Build decisions • assets • integrations • responsibilities • acceptance criteria |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shd w:fill="D9EAF7"/>
          </w:tcPr>
          <w:p>
            <w:r/>
            <w:r>
              <w:rPr>
                <w:b/>
                <w:sz w:val="20"/>
              </w:rPr>
              <w:t>DOCUMENT ROLE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Translate the approved Content Master and Technical/SEO Master into an executable web-development scope.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Developer principle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Do not invent content, technical claims, URLs, schema properties or corporate facts.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Build sequence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Freeze architecture → configure templates/CMS → load approved content → integrate forms/analytics → migrate/redirect → UAT → launch → monitor.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Unresolved items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Items marked CLIENT DECISION or VERIFIED INPUT must be confirmed by SMEC before the relevant build/UAT gate.</w:t>
            </w:r>
          </w:p>
        </w:tc>
      </w:tr>
    </w:tbl>
    <w:p>
      <w:pPr>
        <w:pStyle w:val="Heading1"/>
      </w:pPr>
      <w:r>
        <w:t>1. Source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Owns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Approved engineering datasheet / project specification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Numerical ratings, standards, safety-critical and product-specific technical claims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Website Content Master 2026 — Final Handoff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Publishable wording, page intent, FAQs, RFQ language, content status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Technical, SEO, GEO &amp; AI Master 2026 — Final Handoff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Architecture implementation, SEO, schema, performance, accessibility, security, analytics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This Developer Handover Brief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Build decisions, assets, integrations, responsibilities, UAT and acceptance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Verified corporate/legal records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Entity names, addresses, certifications, authorizations, public contact data</w:t>
            </w:r>
          </w:p>
        </w:tc>
      </w:tr>
    </w:tbl>
    <w:p>
      <w:pPr>
        <w:pStyle w:val="Heading1"/>
      </w:pPr>
      <w:r>
        <w:t>2. Locked Site Architecture</w:t>
      </w:r>
    </w:p>
    <w:p>
      <w:r>
        <w:t>Top-level navigation is locked to:</w:t>
      </w:r>
    </w:p>
    <w:p>
      <w:pPr>
        <w:pStyle w:val="ListBullet"/>
      </w:pPr>
      <w:r>
        <w:t>Industries &amp; Markets</w:t>
      </w:r>
    </w:p>
    <w:p>
      <w:pPr>
        <w:pStyle w:val="ListBullet"/>
      </w:pPr>
      <w:r>
        <w:t>By Customer</w:t>
      </w:r>
    </w:p>
    <w:p>
      <w:pPr>
        <w:pStyle w:val="ListBullet"/>
      </w:pPr>
      <w:r>
        <w:t>Solutions</w:t>
      </w:r>
    </w:p>
    <w:p>
      <w:pPr>
        <w:pStyle w:val="ListBullet"/>
      </w:pPr>
      <w:r>
        <w:t>Products</w:t>
      </w:r>
    </w:p>
    <w:p>
      <w:pPr>
        <w:pStyle w:val="ListBullet"/>
      </w:pPr>
      <w:r>
        <w:t>Digital</w:t>
      </w:r>
    </w:p>
    <w:p>
      <w:pPr>
        <w:pStyle w:val="ListBullet"/>
      </w:pPr>
      <w:r>
        <w:t>Resources</w:t>
      </w:r>
    </w:p>
    <w:p>
      <w:pPr>
        <w:pStyle w:val="ListBullet"/>
      </w:pPr>
      <w:r>
        <w:t>Company</w:t>
      </w:r>
    </w:p>
    <w:p>
      <w:pPr>
        <w:pStyle w:val="ListBullet"/>
      </w:pPr>
      <w:r>
        <w:t>Contact / RFQ</w:t>
      </w:r>
    </w:p>
    <w:p>
      <w:r>
        <w:t>Products is a single top-level tab. Product categories may be presented inside a mega-menu or Products hub, but must not become separate top-level navigation items.</w:t>
      </w:r>
    </w:p>
    <w:p>
      <w:pPr>
        <w:pStyle w:val="Heading1"/>
      </w:pPr>
      <w:r>
        <w:t>3. Locked URL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Locked value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Turnkey canonical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/solutions/turnkey-engineering-system-solutions/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Product canonical pattern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/products/&lt;slug&gt;/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Hub pages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/industries/, /industries/onshore/, /customers/, /solutions/, /products/, /digital/, /resources/, /company/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URL format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Lowercase, descriptive, trailing slash, self-canonical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Legacy URLs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One-to-one 301 to closest equivalent; never bulk-redirect unrelated URLs to homepage</w:t>
            </w:r>
          </w:p>
        </w:tc>
      </w:tr>
    </w:tbl>
    <w:p>
      <w:pPr>
        <w:pStyle w:val="Heading1"/>
      </w:pPr>
      <w:r>
        <w:t>4. Homepage Build Direction</w:t>
      </w:r>
    </w:p>
    <w:p>
      <w:r>
        <w:t>The homepage is a semantic and conversion hub, not a corporate brochure.</w:t>
      </w:r>
    </w:p>
    <w:p>
      <w:pPr>
        <w:pStyle w:val="ListBullet"/>
      </w:pPr>
      <w:r>
        <w:t>Primary logic: asset → engineering problem → system architecture → SMEC scope → evidence → RFQ.</w:t>
      </w:r>
    </w:p>
    <w:p>
      <w:pPr>
        <w:pStyle w:val="ListBullet"/>
      </w:pPr>
      <w:r>
        <w:t>Answer quickly: what SMEC engineers; assets served; problems solved; delivery model; what the buyer should send.</w:t>
      </w:r>
    </w:p>
    <w:p>
      <w:pPr>
        <w:pStyle w:val="ListBullet"/>
      </w:pPr>
      <w:r>
        <w:t>Keep full Mission/Vision, MD Message, corporate history, leadership, certifications, OEM relationships and legal/group detail under Company.</w:t>
      </w:r>
    </w:p>
    <w:p>
      <w:pPr>
        <w:pStyle w:val="ListBullet"/>
      </w:pPr>
      <w:r>
        <w:t>Use verified proof only. No invented numbers, client logos, certifications, OEM authorization or outcomes.</w:t>
      </w:r>
    </w:p>
    <w:p>
      <w:pPr>
        <w:pStyle w:val="Heading1"/>
      </w:pPr>
      <w:r>
        <w:t>5. Required Page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Core components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Industry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Hero; buyer trigger; scope; interfaces; applications; lifecycle; evidence; FAQ; RFQ; related pages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Asset/facility search intent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Customer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Hero; procurement context; scope; delivery model; evidence; FAQ; RFQ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Buyer-context search intent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Solution / Program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Hero; problem trigger; architecture; delivery chain; interfaces; evidence; FAQ; RFQ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Capability or change-event intent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Hero; purpose; architecture; verified specs; integration; lifecycle; FAT/SAT; documents; FAQ; RFQ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Exact product/system intent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Digital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Hero; operating decision; data sources; architecture; integration; cybersecurity boundary; FAQ; RFQ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Software/use-case intent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Direct answer; assumptions; diagrams/tables; evidence/sources; author/reviewer; related commercial page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Article/guide/case study/checklist/calculator/glossary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Company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Verified corporate content only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Do not publish placeholders as facts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Contact / RFQ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Progressive form; uploads; consent; confirmation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Protect technical uploads and sensitive enquiry text</w:t>
            </w:r>
          </w:p>
        </w:tc>
      </w:tr>
    </w:tbl>
    <w:p>
      <w:pPr>
        <w:pStyle w:val="Heading1"/>
      </w:pPr>
      <w:r>
        <w:t>6. CMS / Editing Requirements</w:t>
      </w:r>
    </w:p>
    <w:p>
      <w:pPr>
        <w:pStyle w:val="ListBullet"/>
      </w:pPr>
      <w:r>
        <w:t>Non-technical SMEC users must be able to edit title, meta description, H1, answer block, body sections, FAQs, CTAs, related pages, evidence cards and publication status.</w:t>
      </w:r>
    </w:p>
    <w:p>
      <w:pPr>
        <w:pStyle w:val="ListBullet"/>
      </w:pPr>
      <w:r>
        <w:t>Reusable components: RFQ block, FAQ, evidence card, specification table, related-pages block, office/contact card and CTA.</w:t>
      </w:r>
    </w:p>
    <w:p>
      <w:pPr>
        <w:pStyle w:val="ListBullet"/>
      </w:pPr>
      <w:r>
        <w:t>Structured data must be generated from visible CMS content, not maintained as separate contradictory copy.</w:t>
      </w:r>
    </w:p>
    <w:p>
      <w:pPr>
        <w:pStyle w:val="ListBullet"/>
      </w:pPr>
      <w:r>
        <w:t>Support Draft / Engineering Review / Corporate Review / Approved / Published states, or an equivalent editorial workflow.</w:t>
      </w:r>
    </w:p>
    <w:p>
      <w:pPr>
        <w:pStyle w:val="ListBullet"/>
      </w:pPr>
      <w:r>
        <w:t>Prevent accidental indexation of draft/placeholder pages.</w:t>
      </w:r>
    </w:p>
    <w:p>
      <w:pPr>
        <w:pStyle w:val="Heading1"/>
      </w:pPr>
      <w:r>
        <w:t>7. Platform &amp; Hosting — CLIENT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FF2CC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408"/>
            <w:shd w:fill="FFF2CC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08"/>
            <w:shd w:fill="FFF2CC"/>
          </w:tcPr>
          <w:p>
            <w:r/>
            <w:r>
              <w:rPr>
                <w:b/>
                <w:sz w:val="18"/>
              </w:rPr>
              <w:t>Owner / status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Framework/CMS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Confirm final stack. Requirement: server-render or statically render core commercial content; avoid JS-only core copy.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SMEC + Developer — TO CONFIRM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Hosting/CDN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Confirm production hosting, CDN, backup and deployment ownership.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SMEC + Developer — TO CONFIRM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Confirm code repository owner, access, branching and handover.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SMEC + Developer — TO CONFIRM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Environments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Development, staging and production. Staging must be password-protected and/or noindex.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SMEC + Developer — TO CONFIRM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CMS access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Define admin roles, MFA and least-privilege permissions.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SMEC + Developer — TO CONFIRM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Support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Confirm warranty/bug-fix period, maintenance owner, dependency updates and SLA after launch.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SMEC + Developer — TO CONFIRM</w:t>
            </w:r>
          </w:p>
        </w:tc>
      </w:tr>
    </w:tbl>
    <w:p>
      <w:pPr>
        <w:pStyle w:val="Heading1"/>
      </w:pPr>
      <w:r>
        <w:t>8. Design &amp; Brand Inputs — VERIFIED INPUT</w:t>
      </w:r>
    </w:p>
    <w:p>
      <w:pPr>
        <w:pStyle w:val="ListBullet"/>
      </w:pPr>
      <w:r>
        <w:t>Approved logo files and brand usage rules</w:t>
      </w:r>
    </w:p>
    <w:p>
      <w:pPr>
        <w:pStyle w:val="ListBullet"/>
      </w:pPr>
      <w:r>
        <w:t>Approved colour palette and typography / licensed fonts</w:t>
      </w:r>
    </w:p>
    <w:p>
      <w:pPr>
        <w:pStyle w:val="ListBullet"/>
      </w:pPr>
      <w:r>
        <w:t>Desktop and mobile design direction or approved reference sites</w:t>
      </w:r>
    </w:p>
    <w:p>
      <w:pPr>
        <w:pStyle w:val="ListBullet"/>
      </w:pPr>
      <w:r>
        <w:t>Photography / factory / panel / project / product image library with usage rights</w:t>
      </w:r>
    </w:p>
    <w:p>
      <w:pPr>
        <w:pStyle w:val="ListBullet"/>
      </w:pPr>
      <w:r>
        <w:t>Product renders, diagrams, videos and approved datasheets</w:t>
      </w:r>
    </w:p>
    <w:p>
      <w:pPr>
        <w:pStyle w:val="ListBullet"/>
      </w:pPr>
      <w:r>
        <w:t>Icon style and illustration approach</w:t>
      </w:r>
    </w:p>
    <w:p>
      <w:pPr>
        <w:pStyle w:val="ListBullet"/>
      </w:pPr>
      <w:r>
        <w:t>Social-share image template (1200 × 630)</w:t>
      </w:r>
    </w:p>
    <w:p>
      <w:r>
        <w:t>Design must remain engineering-led and information-dense without becoming brochure-like. Mobile readability and RFQ conversion take priority over decorative motion.</w:t>
      </w:r>
    </w:p>
    <w:p>
      <w:pPr>
        <w:pStyle w:val="Heading1"/>
      </w:pPr>
      <w:r>
        <w:t>9. Forms, CRM &amp; Enquiry Routing — CLIENT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FF2CC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shd w:fill="FFF2CC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408"/>
            <w:shd w:fill="FFF2CC"/>
          </w:tcPr>
          <w:p>
            <w:r/>
            <w:r>
              <w:rPr>
                <w:b/>
                <w:sz w:val="18"/>
              </w:rPr>
              <w:t>To confirm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Named sales/RFQ mailbox and/or CRM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Exact mailbox/CRM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WhatsApp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Track click; use verified business number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Telephone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Track click; use verified public number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Uploads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RFQ, BOQ, P&amp;ID, SLD, I/O, equipment list, drawings, fault history, specification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Allowed types/size/retention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Spam protection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Server-side validation + rate limiting + suitable anti-abuse control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Provider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Confirmation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On-page success state and/or thank-you page; no sensitive query strings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Final copy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Data retention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Define retention/deletion/access policy for technical RFQ files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SMEC policy</w:t>
            </w:r>
          </w:p>
        </w:tc>
      </w:tr>
    </w:tbl>
    <w:p>
      <w:pPr>
        <w:pStyle w:val="Heading1"/>
      </w:pPr>
      <w:r>
        <w:t>10. Analytics, Search &amp; Consent</w:t>
      </w:r>
    </w:p>
    <w:p>
      <w:pPr>
        <w:pStyle w:val="ListBullet"/>
      </w:pPr>
      <w:r>
        <w:t>Confirm GA4 and/or GTM ownership and account IDs before UAT.</w:t>
      </w:r>
    </w:p>
    <w:p>
      <w:pPr>
        <w:pStyle w:val="ListBullet"/>
      </w:pPr>
      <w:r>
        <w:t>Implement events: rfq_submit, rfq_file_upload, cta_talk_engineer, click_phone, click_whatsapp, click_email, datasheet_download, case_study_view, product_to_rfq, solution_to_rfq and form_error.</w:t>
      </w:r>
    </w:p>
    <w:p>
      <w:pPr>
        <w:pStyle w:val="ListBullet"/>
      </w:pPr>
      <w:r>
        <w:t>Never send RFQ text, uploaded file contents or sensitive technical data into analytics.</w:t>
      </w:r>
    </w:p>
    <w:p>
      <w:pPr>
        <w:pStyle w:val="ListBullet"/>
      </w:pPr>
      <w:r>
        <w:t>Verify Google Search Console and Bing Webmaster Tools; submit final sitemap after launch.</w:t>
      </w:r>
    </w:p>
    <w:p>
      <w:pPr>
        <w:pStyle w:val="ListBullet"/>
      </w:pPr>
      <w:r>
        <w:t>Implement cookie/consent behavior appropriate to the selected analytics and legal requirements.</w:t>
      </w:r>
    </w:p>
    <w:p>
      <w:pPr>
        <w:pStyle w:val="Heading1"/>
      </w:pPr>
      <w:r>
        <w:t>11. Legal &amp; Compliance Pages — CLIENT INPUT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Cookie notice / consent information</w:t>
      </w:r>
    </w:p>
    <w:p>
      <w:pPr>
        <w:pStyle w:val="ListBullet"/>
      </w:pPr>
      <w:r>
        <w:t>Website Terms / Terms of Use</w:t>
      </w:r>
    </w:p>
    <w:p>
      <w:pPr>
        <w:pStyle w:val="ListBullet"/>
      </w:pPr>
      <w:r>
        <w:t>Form consent wording</w:t>
      </w:r>
    </w:p>
    <w:p>
      <w:pPr>
        <w:pStyle w:val="ListBullet"/>
      </w:pPr>
      <w:r>
        <w:t>Data-retention statement for uploaded RFQ/technical files where required</w:t>
      </w:r>
    </w:p>
    <w:p>
      <w:pPr>
        <w:pStyle w:val="ListBullet"/>
      </w:pPr>
      <w:r>
        <w:t>Accessibility statement if SMEC chooses to publish one</w:t>
      </w:r>
    </w:p>
    <w:p>
      <w:pPr>
        <w:pStyle w:val="Heading1"/>
      </w:pPr>
      <w:r>
        <w:t>12. Language &amp; Regional Scope</w:t>
      </w:r>
    </w:p>
    <w:p>
      <w:r>
        <w:t>Launch language must be explicitly confirmed. Do not create Arabic or country-specific SEO pages merely for keyword coverage. If a real language variant is commissioned later, use dedicated URLs and correct hreflang pairs plus x-default.</w:t>
      </w:r>
    </w:p>
    <w:p>
      <w:pPr>
        <w:pStyle w:val="Heading1"/>
      </w:pPr>
      <w:r>
        <w:t>13. Asset Migration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Asset class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Current production URLs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Export full crawl/indexed inventory before launch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PDF datasheets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Inventory; retain valuable URLs or redirect to current equivalent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 + Developer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Images/videos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Map source, rights, filename, alt requirement and destination page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Client/OEM logos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Publish only with approval/current authorization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Gated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Case studies/projects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Verify naming, scope and outcomes before publication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Gated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Certifications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Verify legal entity, validity and approved certificate file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Gated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Office data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Verify legal entity, address, phone, email and public status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Gated</w:t>
            </w:r>
          </w:p>
        </w:tc>
      </w:tr>
    </w:tbl>
    <w:p>
      <w:pPr>
        <w:pStyle w:val="Heading1"/>
      </w:pPr>
      <w:r>
        <w:t>14. Redirect &amp; Migration Deliverables</w:t>
      </w:r>
    </w:p>
    <w:p>
      <w:pPr>
        <w:pStyle w:val="ListBullet"/>
      </w:pPr>
      <w:r>
        <w:t>Old-to-new URL manifest with keep / 301 / retire status</w:t>
      </w:r>
    </w:p>
    <w:p>
      <w:pPr>
        <w:pStyle w:val="ListBullet"/>
      </w:pPr>
      <w:r>
        <w:t>No redirect chains or loops; target one hop</w:t>
      </w:r>
    </w:p>
    <w:p>
      <w:pPr>
        <w:pStyle w:val="ListBullet"/>
      </w:pPr>
      <w:r>
        <w:t>True 404/410 where no relevant replacement exists</w:t>
      </w:r>
    </w:p>
    <w:p>
      <w:pPr>
        <w:pStyle w:val="ListBullet"/>
      </w:pPr>
      <w:r>
        <w:t>Final internal links point directly to canonical URLs</w:t>
      </w:r>
    </w:p>
    <w:p>
      <w:pPr>
        <w:pStyle w:val="ListBullet"/>
      </w:pPr>
      <w:r>
        <w:t>Sitemap contains only canonical, indexable, 200-status URLs</w:t>
      </w:r>
    </w:p>
    <w:p>
      <w:pPr>
        <w:pStyle w:val="ListBullet"/>
      </w:pPr>
      <w:r>
        <w:t>Staging noindex/password protection removed correctly only on production launch</w:t>
      </w:r>
    </w:p>
    <w:p>
      <w:pPr>
        <w:pStyle w:val="Heading1"/>
      </w:pPr>
      <w:r>
        <w:t>15. Performance &amp; Accessibility Acceptance</w:t>
      </w:r>
    </w:p>
    <w:p>
      <w:pPr>
        <w:pStyle w:val="ListBullet"/>
      </w:pPr>
      <w:r>
        <w:t>Target WCAG 2.2 AA implementation baseline.</w:t>
      </w:r>
    </w:p>
    <w:p>
      <w:pPr>
        <w:pStyle w:val="ListBullet"/>
      </w:pPr>
      <w:r>
        <w:t>Keyboard-accessible navigation, mega menus, accordions, modals and forms.</w:t>
      </w:r>
    </w:p>
    <w:p>
      <w:pPr>
        <w:pStyle w:val="ListBullet"/>
      </w:pPr>
      <w:r>
        <w:t>Visible focus states; semantic headings; labelled form controls; meaningful error messages.</w:t>
      </w:r>
    </w:p>
    <w:p>
      <w:pPr>
        <w:pStyle w:val="ListBullet"/>
      </w:pPr>
      <w:r>
        <w:t>Responsive images using modern formats where practical; explicit dimensions/aspect ratio; no mobile autoplay hero video by default.</w:t>
      </w:r>
    </w:p>
    <w:p>
      <w:pPr>
        <w:pStyle w:val="ListBullet"/>
      </w:pPr>
      <w:r>
        <w:t>Core content server-rendered; below-the-fold media lazy-loaded; LCP asset not lazy-loaded.</w:t>
      </w:r>
    </w:p>
    <w:p>
      <w:pPr>
        <w:pStyle w:val="ListBullet"/>
      </w:pPr>
      <w:r>
        <w:t>Representative mobile pages tested before launch: homepage, E-House, VFD House, product-heavy page, article and Contact/RFQ.</w:t>
      </w:r>
    </w:p>
    <w:p>
      <w:pPr>
        <w:pStyle w:val="Heading1"/>
      </w:pPr>
      <w:r>
        <w:t>16. Security Acceptance</w:t>
      </w:r>
    </w:p>
    <w:p>
      <w:pPr>
        <w:pStyle w:val="ListBullet"/>
      </w:pPr>
      <w:r>
        <w:t>HTTPS only; HTTP redirects to HTTPS.</w:t>
      </w:r>
    </w:p>
    <w:p>
      <w:pPr>
        <w:pStyle w:val="ListBullet"/>
      </w:pPr>
      <w:r>
        <w:t>Server-side validation and sanitization for forms and uploads.</w:t>
      </w:r>
    </w:p>
    <w:p>
      <w:pPr>
        <w:pStyle w:val="ListBullet"/>
      </w:pPr>
      <w:r>
        <w:t>Restrict file types and sizes; malware scanning where infrastructure supports it.</w:t>
      </w:r>
    </w:p>
    <w:p>
      <w:pPr>
        <w:pStyle w:val="ListBullet"/>
      </w:pPr>
      <w:r>
        <w:t>Rate-limit forms and protect against automated abuse.</w:t>
      </w:r>
    </w:p>
    <w:p>
      <w:pPr>
        <w:pStyle w:val="ListBullet"/>
      </w:pPr>
      <w:r>
        <w:t>No API keys, SMTP credentials or private endpoints exposed in client JavaScript.</w:t>
      </w:r>
    </w:p>
    <w:p>
      <w:pPr>
        <w:pStyle w:val="ListBullet"/>
      </w:pPr>
      <w:r>
        <w:t>MFA and least-privilege access for privileged CMS/admin accounts.</w:t>
      </w:r>
    </w:p>
    <w:p>
      <w:pPr>
        <w:pStyle w:val="ListBullet"/>
      </w:pPr>
      <w:r>
        <w:t>Appropriate security headers after validation: HSTS, CSP, frame-ancestors, X-Content-Type-Options and Referrer-Policy.</w:t>
      </w:r>
    </w:p>
    <w:p>
      <w:pPr>
        <w:pStyle w:val="Heading1"/>
      </w:pPr>
      <w:r>
        <w:t>17. Content Publication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Content family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Launch behavior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Numerical product specs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Engineering/datasheet approval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Do not publish unverified values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Gas Watch / Flare / VFD / SCR / Battery / E-House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Engineering sign-off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Publish only approved ratings/standards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BOP / F&amp;G / ICSS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Safety-critical engineering approval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No implied certification beyond actual scope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OEM partners/logos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Current documentary support + permission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Hide until approved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Clients/case studies/outcomes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Approval for names/logos/outcomes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Hide or anonymize until approved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Leadership / MD Message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Approved names, roles, biographies/message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No placeholder facts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8"/>
              </w:rPr>
              <w:t>Office pages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Verified legal entity/address/contact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No LocalBusiness schema until verified</w:t>
            </w:r>
          </w:p>
        </w:tc>
      </w:tr>
    </w:tbl>
    <w:p>
      <w:pPr>
        <w:pStyle w:val="Heading1"/>
      </w:pPr>
      <w:r>
        <w:t>18. UAT &amp; Sign-Off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Acceptance test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Primary owner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Sign-off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Approved H1, answer block, FAQs, CTA and no internal notes visible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 Marketing/BD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Engineering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Technical claims/specifications verified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 Engineering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Corporate/legal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Entity, office, certification, OEM/client claims verified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 Management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SEO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Titles/meta/canonicals/breadcrumbs/schema/sitemap/robots/redirects validated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SEO + Developer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Forms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Routing, uploads, consent, validation and success state tested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SMEC + Developer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Analytics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Events fire correctly without sensitive payloads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Developer/Marketing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Accessibility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Keyboard, focus, headings, labels, contrast and responsive tables checked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Representative mobile pages tested and material defects fixed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HTTPS, headers, uploads, secrets, admin access reviewed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Developer/IT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Old URLs and valuable assets mapped and tested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Developer/SEO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</w:tr>
    </w:tbl>
    <w:p>
      <w:pPr>
        <w:pStyle w:val="Heading1"/>
      </w:pPr>
      <w:r>
        <w:t>19. Definition of Done</w:t>
      </w:r>
    </w:p>
    <w:p>
      <w:pPr>
        <w:pStyle w:val="ListBullet"/>
      </w:pPr>
      <w:r>
        <w:t>Final URL manifest implemented with no unresolved architecture conflicts.</w:t>
      </w:r>
    </w:p>
    <w:p>
      <w:pPr>
        <w:pStyle w:val="ListBullet"/>
      </w:pPr>
      <w:r>
        <w:t>All launch pages use approved content and correct publication status.</w:t>
      </w:r>
    </w:p>
    <w:p>
      <w:pPr>
        <w:pStyle w:val="ListBullet"/>
      </w:pPr>
      <w:r>
        <w:t>No visible internal notes, placeholders, DOMAIN tokens or VERIFIED tokens remain on production.</w:t>
      </w:r>
    </w:p>
    <w:p>
      <w:pPr>
        <w:pStyle w:val="ListBullet"/>
      </w:pPr>
      <w:r>
        <w:t>No missing breadcrumb hubs or orphan commercial pages.</w:t>
      </w:r>
    </w:p>
    <w:p>
      <w:pPr>
        <w:pStyle w:val="ListBullet"/>
      </w:pPr>
      <w:r>
        <w:t>Products are consolidated under one Products architecture and canonical /products/ URLs.</w:t>
      </w:r>
    </w:p>
    <w:p>
      <w:pPr>
        <w:pStyle w:val="ListBullet"/>
      </w:pPr>
      <w:r>
        <w:t>Visible FAQ copy and FAQ schema are synchronized where schema is used.</w:t>
      </w:r>
    </w:p>
    <w:p>
      <w:pPr>
        <w:pStyle w:val="ListBullet"/>
      </w:pPr>
      <w:r>
        <w:t>Forms, uploads, routing, confirmation, spam protection and analytics are tested.</w:t>
      </w:r>
    </w:p>
    <w:p>
      <w:pPr>
        <w:pStyle w:val="ListBullet"/>
      </w:pPr>
      <w:r>
        <w:t>Redirect manifest, sitemap, robots.txt, canonicals and structured data pass QA.</w:t>
      </w:r>
    </w:p>
    <w:p>
      <w:pPr>
        <w:pStyle w:val="ListBullet"/>
      </w:pPr>
      <w:r>
        <w:t>Mobile, accessibility, performance and security checks are completed.</w:t>
      </w:r>
    </w:p>
    <w:p>
      <w:pPr>
        <w:pStyle w:val="ListBullet"/>
      </w:pPr>
      <w:r>
        <w:t>SMEC receives source code/repository access, CMS/admin access, deployment documentation, backup/restore information and post-launch support contacts.</w:t>
      </w:r>
    </w:p>
    <w:p>
      <w:pPr>
        <w:pStyle w:val="Heading1"/>
      </w:pPr>
      <w:r>
        <w:t>20. Launch Blockers — Must Be Closed by SMEC / Developer</w:t>
      </w:r>
    </w:p>
    <w:p>
      <w:pPr>
        <w:pStyle w:val="ListBullet"/>
      </w:pPr>
      <w:r>
        <w:t>☐ Production domain and final hosting/CMS stack</w:t>
      </w:r>
    </w:p>
    <w:p>
      <w:pPr>
        <w:pStyle w:val="ListBullet"/>
      </w:pPr>
      <w:r>
        <w:t>☐ Verified Abu Dhabi / India office details and public contact information</w:t>
      </w:r>
    </w:p>
    <w:p>
      <w:pPr>
        <w:pStyle w:val="ListBullet"/>
      </w:pPr>
      <w:r>
        <w:t>☐ Sales/RFQ email, telephone and WhatsApp destination</w:t>
      </w:r>
    </w:p>
    <w:p>
      <w:pPr>
        <w:pStyle w:val="ListBullet"/>
      </w:pPr>
      <w:r>
        <w:t>☐ GA4/GTM/Search Console/Bing ownership and IDs</w:t>
      </w:r>
    </w:p>
    <w:p>
      <w:pPr>
        <w:pStyle w:val="ListBullet"/>
      </w:pPr>
      <w:r>
        <w:t>☐ Privacy/Terms/Cookie/consent wording</w:t>
      </w:r>
    </w:p>
    <w:p>
      <w:pPr>
        <w:pStyle w:val="ListBullet"/>
      </w:pPr>
      <w:r>
        <w:t>☐ Approved brand assets, fonts and image library</w:t>
      </w:r>
    </w:p>
    <w:p>
      <w:pPr>
        <w:pStyle w:val="ListBullet"/>
      </w:pPr>
      <w:r>
        <w:t>☐ Approved datasheets/specifications for numerical product claims</w:t>
      </w:r>
    </w:p>
    <w:p>
      <w:pPr>
        <w:pStyle w:val="ListBullet"/>
      </w:pPr>
      <w:r>
        <w:t>☐ Approved OEM/client/certification evidence</w:t>
      </w:r>
    </w:p>
    <w:p>
      <w:pPr>
        <w:pStyle w:val="ListBullet"/>
      </w:pPr>
      <w:r>
        <w:t>☐ Legacy URL and PDF inventory</w:t>
      </w:r>
    </w:p>
    <w:p>
      <w:pPr>
        <w:pStyle w:val="ListBullet"/>
      </w:pPr>
      <w:r>
        <w:t>☐ English-only vs multilingual launch decision</w:t>
      </w:r>
    </w:p>
    <w:p>
      <w:pPr>
        <w:pStyle w:val="ListBullet"/>
      </w:pPr>
      <w:r>
        <w:t>☐ Post-launch support/warranty and maintenance ownership</w:t>
      </w:r>
    </w:p>
    <w:p>
      <w:pPr>
        <w:pStyle w:val="Heading1"/>
      </w:pPr>
      <w:r>
        <w:t>21. Handover Package</w:t>
      </w:r>
    </w:p>
    <w:p>
      <w:r>
        <w:t>Developer receives these three coordinated documents:</w:t>
      </w:r>
    </w:p>
    <w:p>
      <w:pPr>
        <w:pStyle w:val="ListBullet"/>
      </w:pPr>
      <w:r>
        <w:t>SMEC Website Content Master 2026 — FINAL HANDOFF</w:t>
      </w:r>
    </w:p>
    <w:p>
      <w:pPr>
        <w:pStyle w:val="ListBullet"/>
      </w:pPr>
      <w:r>
        <w:t>SMEC Website Technical, SEO, GEO &amp; AI Master 2026 — FINAL HANDOFF</w:t>
      </w:r>
    </w:p>
    <w:p>
      <w:pPr>
        <w:pStyle w:val="ListBullet"/>
      </w:pPr>
      <w:r>
        <w:t>SMEC Website Developer Handover Brief 2026</w:t>
      </w:r>
    </w:p>
    <w:p>
      <w:r>
        <w:t>Where a conflict remains, use the source-of-truth order in Section 1 and raise the conflict before implementation rather than choosing a version silently.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