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3224"/>
        <w:gridCol w:w="3224"/>
        <w:gridCol w:w="3224"/>
      </w:tblGrid>
      <w:tr>
        <w:tc>
          <w:tcPr>
            <w:tcW w:type="dxa" w:w="9672"/>
            <w:gridSpan w:val="3"/>
            <w:tcBorders>
              <w:top w:val="single" w:sz="4" w:space="0" w:color="000000"/>
              <w:bottom w:val="single" w:sz="4" w:space="0" w:color="000000"/>
              <w:left w:val="single" w:sz="4" w:space="0" w:color="000000"/>
              <w:right w:val="single" w:sz="4" w:space="0" w:color="000000"/>
            </w:tcBorders>
          </w:tcPr>
          <w:p>
            <w:pPr>
              <w:jc w:val="center"/>
            </w:pPr>
            <w:r/>
            <w:r>
              <w:rPr>
                <w:rFonts w:ascii="Kai" w:hAnsi="Kai" w:eastAsia="Kai"/>
                <w:b/>
                <w:sz w:val="28"/>
              </w:rPr>
              <w:t xml:space="preserve">個人資料侵害事故通報與紀錄表 </w:t>
            </w:r>
          </w:p>
        </w:tc>
      </w:tr>
      <w:tr>
        <w:tc>
          <w:tcPr>
            <w:tcW w:type="dxa" w:w="3224"/>
            <w:vMerge w:val="restart"/>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事業名稱</w:t>
              <w:br/>
              <w:t>ACME Technology Co., Ltd.</w:t>
              <w:br/>
              <w:t>通報機關</w:t>
              <w:br/>
              <w:t>數位發展部數位產業署</w:t>
            </w:r>
          </w:p>
        </w:tc>
        <w:tc>
          <w:tcPr>
            <w:tcW w:type="dxa" w:w="6448"/>
            <w:gridSpan w:val="2"/>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 xml:space="preserve">通報時間： 2026 年  03月 09 日  12時 00 分 </w:t>
            </w:r>
          </w:p>
        </w:tc>
      </w:tr>
      <w:tr>
        <w:tc>
          <w:tcPr>
            <w:tcW w:type="dxa" w:w="3224"/>
            <w:vMerge/>
            <w:tcBorders>
              <w:top w:val="single" w:sz="4" w:space="0" w:color="000000"/>
              <w:bottom w:val="single" w:sz="4" w:space="0" w:color="000000"/>
              <w:left w:val="single" w:sz="4" w:space="0" w:color="000000"/>
              <w:right w:val="single" w:sz="4" w:space="0" w:color="000000"/>
            </w:tcBorders>
          </w:tcPr>
          <w:p/>
        </w:tc>
        <w:tc>
          <w:tcPr>
            <w:tcW w:type="dxa" w:w="6448"/>
            <w:gridSpan w:val="2"/>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 xml:space="preserve">通報人：    John Doe 簽名(蓋章) </w:t>
            </w:r>
          </w:p>
        </w:tc>
      </w:tr>
      <w:tr>
        <w:tc>
          <w:tcPr>
            <w:tcW w:type="dxa" w:w="3224"/>
            <w:vMerge/>
            <w:tcBorders>
              <w:top w:val="single" w:sz="4" w:space="0" w:color="000000"/>
              <w:bottom w:val="single" w:sz="4" w:space="0" w:color="000000"/>
              <w:left w:val="single" w:sz="4" w:space="0" w:color="000000"/>
              <w:right w:val="single" w:sz="4" w:space="0" w:color="000000"/>
            </w:tcBorders>
          </w:tcPr>
          <w:p/>
        </w:tc>
        <w:tc>
          <w:tcPr>
            <w:tcW w:type="dxa" w:w="6448"/>
            <w:gridSpan w:val="2"/>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職稱：       Security Engineer</w:t>
            </w:r>
          </w:p>
        </w:tc>
      </w:tr>
      <w:tr>
        <w:tc>
          <w:tcPr>
            <w:tcW w:type="dxa" w:w="3224"/>
            <w:vMerge/>
            <w:tcBorders>
              <w:top w:val="single" w:sz="4" w:space="0" w:color="000000"/>
              <w:bottom w:val="single" w:sz="4" w:space="0" w:color="000000"/>
              <w:left w:val="single" w:sz="4" w:space="0" w:color="000000"/>
              <w:right w:val="single" w:sz="4" w:space="0" w:color="000000"/>
            </w:tcBorders>
          </w:tcPr>
          <w:p/>
        </w:tc>
        <w:tc>
          <w:tcPr>
            <w:tcW w:type="dxa" w:w="6448"/>
            <w:gridSpan w:val="2"/>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電話：       0900-000000</w:t>
            </w:r>
          </w:p>
        </w:tc>
      </w:tr>
      <w:tr>
        <w:tc>
          <w:tcPr>
            <w:tcW w:type="dxa" w:w="3224"/>
            <w:vMerge/>
            <w:tcBorders>
              <w:top w:val="single" w:sz="4" w:space="0" w:color="000000"/>
              <w:bottom w:val="single" w:sz="4" w:space="0" w:color="000000"/>
              <w:left w:val="single" w:sz="4" w:space="0" w:color="000000"/>
              <w:right w:val="single" w:sz="4" w:space="0" w:color="000000"/>
            </w:tcBorders>
          </w:tcPr>
          <w:p/>
        </w:tc>
        <w:tc>
          <w:tcPr>
            <w:tcW w:type="dxa" w:w="6448"/>
            <w:gridSpan w:val="2"/>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Email：      security@example.com</w:t>
            </w:r>
          </w:p>
        </w:tc>
      </w:tr>
      <w:tr>
        <w:tc>
          <w:tcPr>
            <w:tcW w:type="dxa" w:w="3224"/>
            <w:vMerge/>
            <w:tcBorders>
              <w:top w:val="single" w:sz="4" w:space="0" w:color="000000"/>
              <w:bottom w:val="single" w:sz="4" w:space="0" w:color="000000"/>
              <w:left w:val="single" w:sz="4" w:space="0" w:color="000000"/>
              <w:right w:val="single" w:sz="4" w:space="0" w:color="000000"/>
            </w:tcBorders>
          </w:tcPr>
          <w:p/>
        </w:tc>
        <w:tc>
          <w:tcPr>
            <w:tcW w:type="dxa" w:w="6448"/>
            <w:gridSpan w:val="2"/>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地址：       123 Example Street, Taipei</w:t>
            </w:r>
          </w:p>
        </w:tc>
      </w:tr>
      <w:tr>
        <w:tc>
          <w:tcPr>
            <w:tcW w:type="dxa" w:w="3224"/>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事件發生時間</w:t>
            </w:r>
          </w:p>
        </w:tc>
        <w:tc>
          <w:tcPr>
            <w:tcW w:type="dxa" w:w="6448"/>
            <w:gridSpan w:val="2"/>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2026 年 03月 07 日</w:t>
            </w:r>
          </w:p>
        </w:tc>
      </w:tr>
      <w:tr>
        <w:tc>
          <w:tcPr>
            <w:tcW w:type="dxa" w:w="3224"/>
            <w:vMerge w:val="restart"/>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事件發生種類</w:t>
            </w:r>
          </w:p>
        </w:tc>
        <w:tc>
          <w:tcPr>
            <w:tcW w:type="dxa" w:w="3224"/>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□竊取</w:t>
            </w:r>
          </w:p>
        </w:tc>
        <w:tc>
          <w:tcPr>
            <w:tcW w:type="dxa" w:w="3224"/>
            <w:vMerge w:val="restart"/>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個資侵害之總筆數(大約)  | No records affected in our system</w:t>
            </w:r>
          </w:p>
        </w:tc>
      </w:tr>
      <w:tr>
        <w:tc>
          <w:tcPr>
            <w:tcW w:type="dxa" w:w="3224"/>
            <w:vMerge/>
            <w:tcBorders>
              <w:top w:val="single" w:sz="4" w:space="0" w:color="000000"/>
              <w:bottom w:val="single" w:sz="4" w:space="0" w:color="000000"/>
              <w:left w:val="single" w:sz="4" w:space="0" w:color="000000"/>
              <w:right w:val="single" w:sz="4" w:space="0" w:color="000000"/>
            </w:tcBorders>
          </w:tcPr>
          <w:p/>
        </w:tc>
        <w:tc>
          <w:tcPr>
            <w:tcW w:type="dxa" w:w="3224"/>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□洩漏</w:t>
            </w:r>
          </w:p>
        </w:tc>
        <w:tc>
          <w:tcPr>
            <w:tcW w:type="dxa" w:w="3224"/>
            <w:vMerge/>
            <w:tcBorders>
              <w:top w:val="single" w:sz="4" w:space="0" w:color="000000"/>
              <w:bottom w:val="single" w:sz="4" w:space="0" w:color="000000"/>
              <w:left w:val="single" w:sz="4" w:space="0" w:color="000000"/>
              <w:right w:val="single" w:sz="4" w:space="0" w:color="000000"/>
            </w:tcBorders>
          </w:tcPr>
          <w:p/>
        </w:tc>
      </w:tr>
      <w:tr>
        <w:tc>
          <w:tcPr>
            <w:tcW w:type="dxa" w:w="3224"/>
            <w:vMerge/>
            <w:tcBorders>
              <w:top w:val="single" w:sz="4" w:space="0" w:color="000000"/>
              <w:bottom w:val="single" w:sz="4" w:space="0" w:color="000000"/>
              <w:left w:val="single" w:sz="4" w:space="0" w:color="000000"/>
              <w:right w:val="single" w:sz="4" w:space="0" w:color="000000"/>
            </w:tcBorders>
          </w:tcPr>
          <w:p/>
        </w:tc>
        <w:tc>
          <w:tcPr>
            <w:tcW w:type="dxa" w:w="3224"/>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□竄改</w:t>
            </w:r>
          </w:p>
        </w:tc>
        <w:tc>
          <w:tcPr>
            <w:tcW w:type="dxa" w:w="3224"/>
            <w:vMerge/>
            <w:tcBorders>
              <w:top w:val="single" w:sz="4" w:space="0" w:color="000000"/>
              <w:bottom w:val="single" w:sz="4" w:space="0" w:color="000000"/>
              <w:left w:val="single" w:sz="4" w:space="0" w:color="000000"/>
              <w:right w:val="single" w:sz="4" w:space="0" w:color="000000"/>
            </w:tcBorders>
          </w:tcPr>
          <w:p/>
        </w:tc>
      </w:tr>
      <w:tr>
        <w:tc>
          <w:tcPr>
            <w:tcW w:type="dxa" w:w="3224"/>
            <w:vMerge/>
            <w:tcBorders>
              <w:top w:val="single" w:sz="4" w:space="0" w:color="000000"/>
              <w:bottom w:val="single" w:sz="4" w:space="0" w:color="000000"/>
              <w:left w:val="single" w:sz="4" w:space="0" w:color="000000"/>
              <w:right w:val="single" w:sz="4" w:space="0" w:color="000000"/>
            </w:tcBorders>
          </w:tcPr>
          <w:p/>
        </w:tc>
        <w:tc>
          <w:tcPr>
            <w:tcW w:type="dxa" w:w="3224"/>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□毀損</w:t>
            </w:r>
          </w:p>
        </w:tc>
        <w:tc>
          <w:tcPr>
            <w:tcW w:type="dxa" w:w="3224"/>
            <w:vMerge w:val="restart"/>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□一般個_0_筆  | □特種個_0_筆</w:t>
            </w:r>
          </w:p>
        </w:tc>
      </w:tr>
      <w:tr>
        <w:tc>
          <w:tcPr>
            <w:tcW w:type="dxa" w:w="3224"/>
            <w:vMerge/>
            <w:tcBorders>
              <w:top w:val="single" w:sz="4" w:space="0" w:color="000000"/>
              <w:bottom w:val="single" w:sz="4" w:space="0" w:color="000000"/>
              <w:left w:val="single" w:sz="4" w:space="0" w:color="000000"/>
              <w:right w:val="single" w:sz="4" w:space="0" w:color="000000"/>
            </w:tcBorders>
          </w:tcPr>
          <w:p/>
        </w:tc>
        <w:tc>
          <w:tcPr>
            <w:tcW w:type="dxa" w:w="3224"/>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□滅失</w:t>
            </w:r>
          </w:p>
        </w:tc>
        <w:tc>
          <w:tcPr>
            <w:tcW w:type="dxa" w:w="3224"/>
            <w:vMerge/>
            <w:tcBorders>
              <w:top w:val="single" w:sz="4" w:space="0" w:color="000000"/>
              <w:bottom w:val="single" w:sz="4" w:space="0" w:color="000000"/>
              <w:left w:val="single" w:sz="4" w:space="0" w:color="000000"/>
              <w:right w:val="single" w:sz="4" w:space="0" w:color="000000"/>
            </w:tcBorders>
          </w:tcPr>
          <w:p/>
        </w:tc>
      </w:tr>
      <w:tr>
        <w:tc>
          <w:tcPr>
            <w:tcW w:type="dxa" w:w="3224"/>
            <w:vMerge/>
            <w:tcBorders>
              <w:top w:val="single" w:sz="4" w:space="0" w:color="000000"/>
              <w:bottom w:val="single" w:sz="4" w:space="0" w:color="000000"/>
              <w:left w:val="single" w:sz="4" w:space="0" w:color="000000"/>
              <w:right w:val="single" w:sz="4" w:space="0" w:color="000000"/>
            </w:tcBorders>
          </w:tcPr>
          <w:p/>
        </w:tc>
        <w:tc>
          <w:tcPr>
            <w:tcW w:type="dxa" w:w="3224"/>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■其他 | Third-party system breach, our system unaffected</w:t>
            </w:r>
          </w:p>
        </w:tc>
        <w:tc>
          <w:tcPr>
            <w:tcW w:type="dxa" w:w="3224"/>
            <w:vMerge/>
            <w:tcBorders>
              <w:top w:val="single" w:sz="4" w:space="0" w:color="000000"/>
              <w:bottom w:val="single" w:sz="4" w:space="0" w:color="000000"/>
              <w:left w:val="single" w:sz="4" w:space="0" w:color="000000"/>
              <w:right w:val="single" w:sz="4" w:space="0" w:color="000000"/>
            </w:tcBorders>
          </w:tcPr>
          <w:p/>
        </w:tc>
      </w:tr>
      <w:tr>
        <w:tc>
          <w:tcPr>
            <w:tcW w:type="dxa" w:w="3224"/>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發生原因及事件摘要</w:t>
            </w:r>
          </w:p>
        </w:tc>
        <w:tc>
          <w:tcPr>
            <w:tcW w:type="dxa" w:w="6448"/>
            <w:gridSpan w:val="2"/>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請參考底部附錄</w:t>
            </w:r>
          </w:p>
        </w:tc>
      </w:tr>
      <w:tr>
        <w:tc>
          <w:tcPr>
            <w:tcW w:type="dxa" w:w="3224"/>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損害狀況</w:t>
            </w:r>
          </w:p>
        </w:tc>
        <w:tc>
          <w:tcPr>
            <w:tcW w:type="dxa" w:w="6448"/>
            <w:gridSpan w:val="2"/>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Not applicable — no security incident occurred in our system</w:t>
            </w:r>
          </w:p>
        </w:tc>
      </w:tr>
      <w:tr>
        <w:tc>
          <w:tcPr>
            <w:tcW w:type="dxa" w:w="3224"/>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個資侵害可能結果</w:t>
            </w:r>
          </w:p>
        </w:tc>
        <w:tc>
          <w:tcPr>
            <w:tcW w:type="dxa" w:w="6448"/>
            <w:gridSpan w:val="2"/>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Not applicable — no personal data breach in our system</w:t>
            </w:r>
          </w:p>
        </w:tc>
      </w:tr>
      <w:tr>
        <w:tc>
          <w:tcPr>
            <w:tcW w:type="dxa" w:w="3224"/>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擬採取之因應措施</w:t>
            </w:r>
          </w:p>
        </w:tc>
        <w:tc>
          <w:tcPr>
            <w:tcW w:type="dxa" w:w="6448"/>
            <w:gridSpan w:val="2"/>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請參考底部附錄</w:t>
            </w:r>
          </w:p>
        </w:tc>
      </w:tr>
      <w:tr>
        <w:tc>
          <w:tcPr>
            <w:tcW w:type="dxa" w:w="3224"/>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擬採通知當事人之時</w:t>
              <w:br/>
              <w:t>間及方式</w:t>
            </w:r>
          </w:p>
        </w:tc>
        <w:tc>
          <w:tcPr>
            <w:tcW w:type="dxa" w:w="6448"/>
            <w:gridSpan w:val="2"/>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Not applicable — no directly affected individuals</w:t>
            </w:r>
          </w:p>
        </w:tc>
      </w:tr>
      <w:tr>
        <w:tc>
          <w:tcPr>
            <w:tcW w:type="dxa" w:w="3224"/>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是否於發現個資外洩</w:t>
              <w:br/>
              <w:t>時起算七十二小時內</w:t>
              <w:br/>
              <w:t>通報</w:t>
            </w:r>
          </w:p>
        </w:tc>
        <w:tc>
          <w:tcPr>
            <w:tcW w:type="dxa" w:w="6448"/>
            <w:gridSpan w:val="2"/>
            <w:tcBorders>
              <w:top w:val="single" w:sz="4" w:space="0" w:color="000000"/>
              <w:bottom w:val="single" w:sz="4" w:space="0" w:color="000000"/>
              <w:left w:val="single" w:sz="4" w:space="0" w:color="000000"/>
              <w:right w:val="single" w:sz="4" w:space="0" w:color="000000"/>
            </w:tcBorders>
          </w:tcPr>
          <w:p>
            <w:r/>
            <w:r>
              <w:rPr>
                <w:rFonts w:ascii="Kai" w:hAnsi="Kai" w:eastAsia="Kai"/>
                <w:b w:val="0"/>
                <w:sz w:val="28"/>
              </w:rPr>
              <w:t>■是  □否，理由：No incident in our system, responding to inquiry only</w:t>
            </w:r>
          </w:p>
        </w:tc>
      </w:tr>
    </w:tbl>
    <w:p>
      <w:r>
        <w:br w:type="page"/>
      </w:r>
    </w:p>
    <w:p>
      <w:pPr>
        <w:pStyle w:val="Heading2"/>
        <w:jc w:val="center"/>
      </w:pPr>
      <w:r>
        <w:t>附錄. Third-Party Data Breach — ACME Technology Incident Report</w:t>
      </w:r>
    </w:p>
    <w:p>
      <w:r>
        <w:t>文件日期： 2026 年 03 月 09 日</w:t>
      </w:r>
    </w:p>
    <w:p>
      <w:r>
        <w:t>文件性質： 資安事件通報說明</w:t>
      </w:r>
    </w:p>
    <w:p>
      <w:r>
        <w:t>編製單位： ACME Technology Co., Ltd.</w:t>
      </w:r>
    </w:p>
    <w:p>
      <w:pPr>
        <w:pStyle w:val="Heading2"/>
      </w:pPr>
      <w:r>
        <w:t>一、事件摘要</w:t>
      </w:r>
    </w:p>
    <w:p>
      <w:r>
        <w:t>In early March 2026, a data breach was reported involving a client's independently managed internal system. The breach exposed approximately 33,000 records of supporter personal data on an underground forum. Our company's donation platform was mentioned in the media because the leaked data contained a field referencing our payment service. After thorough investigation, we confirmed our systems were not breached.</w:t>
      </w:r>
    </w:p>
    <w:p>
      <w:pPr>
        <w:pStyle w:val="Heading2"/>
      </w:pPr>
      <w:r>
        <w:t>二、與本公司之關聯</w:t>
      </w:r>
    </w:p>
    <w:p>
      <w:r>
        <w:t>Media reports noted that leaked data contained a reference to our payment service. As the client's donation platform provider, public concern briefly associated our system with the incident.</w:t>
      </w:r>
    </w:p>
    <w:p>
      <w:r>
        <w:t>After comprehensive investigation and technical forensics, we confirmed the incident occurred in the client's self-built internal system and is completely unrelated to our cloud platform.</w:t>
      </w:r>
    </w:p>
    <w:p>
      <w:r>
        <w:t>具體說明如下：</w:t>
      </w:r>
    </w:p>
    <w:p>
      <w:r>
        <w:t>Completely independent system architecture: Our platform and the client's internal system are entirely separate, with no shared databases or access.</w:t>
      </w:r>
    </w:p>
    <w:p>
      <w:r>
        <w:t>The reference to our service was a label created by the client in their own CRM system to mark the donation source — it was not data generated by our system.</w:t>
      </w:r>
    </w:p>
    <w:p>
      <w:r>
        <w:t>Different database technologies: The leaked data was in MySQL/SQL format, while our system uses NoSQL (DynamoDB), further proving the data did not originate from our system.</w:t>
      </w:r>
    </w:p>
    <w:p>
      <w:pPr>
        <w:pStyle w:val="Heading2"/>
      </w:pPr>
      <w:r>
        <w:t>三、事件時間軸</w:t>
      </w:r>
    </w:p>
    <w:tbl>
      <w:tblPr>
        <w:tblW w:type="auto" w:w="0"/>
        <w:jc w:val="center"/>
        <w:tblLook w:firstColumn="1" w:firstRow="1" w:lastColumn="0" w:lastRow="0" w:noHBand="0" w:noVBand="1" w:val="04A0"/>
      </w:tblPr>
      <w:tblGrid>
        <w:gridCol w:w="4836"/>
        <w:gridCol w:w="4836"/>
      </w:tblGrid>
      <w:tr>
        <w:tc>
          <w:tcPr>
            <w:tcW w:type="dxa" w:w="4836"/>
            <w:tcBorders>
              <w:top w:val="single" w:sz="4" w:space="0" w:color="000000"/>
              <w:bottom w:val="single" w:sz="4" w:space="0" w:color="000000"/>
              <w:left w:val="single" w:sz="4" w:space="0" w:color="000000"/>
              <w:right w:val="single" w:sz="4" w:space="0" w:color="000000"/>
            </w:tcBorders>
          </w:tcPr>
          <w:p>
            <w:r/>
            <w:r>
              <w:rPr>
                <w:rFonts w:ascii="Kai" w:hAnsi="Kai" w:eastAsia="Kai"/>
                <w:b/>
                <w:sz w:val="22"/>
              </w:rPr>
              <w:t>時間</w:t>
            </w:r>
          </w:p>
        </w:tc>
        <w:tc>
          <w:tcPr>
            <w:tcW w:type="dxa" w:w="4836"/>
            <w:tcBorders>
              <w:top w:val="single" w:sz="4" w:space="0" w:color="000000"/>
              <w:bottom w:val="single" w:sz="4" w:space="0" w:color="000000"/>
              <w:left w:val="single" w:sz="4" w:space="0" w:color="000000"/>
              <w:right w:val="single" w:sz="4" w:space="0" w:color="000000"/>
            </w:tcBorders>
          </w:tcPr>
          <w:p>
            <w:r/>
            <w:r>
              <w:rPr>
                <w:rFonts w:ascii="Kai" w:hAnsi="Kai" w:eastAsia="Kai"/>
                <w:b/>
                <w:sz w:val="22"/>
              </w:rPr>
              <w:t>事件</w:t>
            </w:r>
          </w:p>
        </w:tc>
      </w:tr>
      <w:tr>
        <w:tc>
          <w:tcPr>
            <w:tcW w:type="dxa" w:w="4836"/>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2026/03/07 06:45</w:t>
            </w:r>
          </w:p>
        </w:tc>
        <w:tc>
          <w:tcPr>
            <w:tcW w:type="dxa" w:w="4836"/>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Media report published revealing the client's data breach</w:t>
            </w:r>
          </w:p>
        </w:tc>
      </w:tr>
      <w:tr>
        <w:tc>
          <w:tcPr>
            <w:tcW w:type="dxa" w:w="4836"/>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2026/03/07 AM</w:t>
            </w:r>
          </w:p>
        </w:tc>
        <w:tc>
          <w:tcPr>
            <w:tcW w:type="dxa" w:w="4836"/>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Company activated emergency response team</w:t>
            </w:r>
          </w:p>
        </w:tc>
      </w:tr>
      <w:tr>
        <w:tc>
          <w:tcPr>
            <w:tcW w:type="dxa" w:w="4836"/>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2026/03/07 AM</w:t>
            </w:r>
          </w:p>
        </w:tc>
        <w:tc>
          <w:tcPr>
            <w:tcW w:type="dxa" w:w="4836"/>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Completed full system security scan and access log review</w:t>
            </w:r>
          </w:p>
        </w:tc>
      </w:tr>
      <w:tr>
        <w:tc>
          <w:tcPr>
            <w:tcW w:type="dxa" w:w="4836"/>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2026/03/07 PM</w:t>
            </w:r>
          </w:p>
        </w:tc>
        <w:tc>
          <w:tcPr>
            <w:tcW w:type="dxa" w:w="4836"/>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Confirmed our system was unaffected, published public statement</w:t>
            </w:r>
          </w:p>
        </w:tc>
      </w:tr>
      <w:tr>
        <w:tc>
          <w:tcPr>
            <w:tcW w:type="dxa" w:w="4836"/>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2026/03/08-09</w:t>
            </w:r>
          </w:p>
        </w:tc>
        <w:tc>
          <w:tcPr>
            <w:tcW w:type="dxa" w:w="4836"/>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Conducted deep system audit, prepared this report</w:t>
            </w:r>
          </w:p>
        </w:tc>
      </w:tr>
    </w:tbl>
    <w:p>
      <w:pPr>
        <w:pStyle w:val="Heading2"/>
      </w:pPr>
      <w:r>
        <w:t>四、本公司系統安全架構說明</w:t>
      </w:r>
    </w:p>
    <w:p>
      <w:r>
        <w:t>本公司平台採用雲端原生架構，並依循業界標準建置多層次安全防護機制</w:t>
      </w:r>
    </w:p>
    <w:p>
      <w:r>
        <w:t>系統之設計、開發與營運遵循以下國際標準規範：</w:t>
      </w:r>
    </w:p>
    <w:p>
      <w:r>
        <w:t>PCI DSS Level 1（Payment Card Industry Data Security Standard）：支付卡產業資料安全標準</w:t>
      </w:r>
    </w:p>
    <w:p>
      <w:r>
        <w:t>ISO 27001：資訊安全管理系統（ISMS）</w:t>
      </w:r>
    </w:p>
    <w:p>
      <w:r>
        <w:t>ISO 27701：隱私資訊管理系統（PIMS）</w:t>
      </w:r>
    </w:p>
    <w:p>
      <w:pPr>
        <w:pStyle w:val="Heading3"/>
      </w:pPr>
      <w:r>
        <w:t>4.1 基礎架構</w:t>
      </w:r>
    </w:p>
    <w:p>
      <w:pPr>
        <w:pStyle w:val="Heading3"/>
      </w:pPr>
      <w:r>
        <w:t>採用 Serverless 架構，無傳統伺服器管理風險</w:t>
      </w:r>
    </w:p>
    <w:p>
      <w:pPr>
        <w:pStyle w:val="Heading3"/>
      </w:pPr>
      <w:r>
        <w:t>VPC 網路隔離，多個 Security Group 分區管理</w:t>
      </w:r>
    </w:p>
    <w:p>
      <w:pPr>
        <w:pStyle w:val="Heading3"/>
      </w:pPr>
      <w:r>
        <w:t>4.2 加密與金鑰管理</w:t>
      </w:r>
    </w:p>
    <w:p>
      <w:pPr>
        <w:pStyle w:val="Heading3"/>
      </w:pPr>
      <w:r>
        <w:t>KMS 加密金鑰管理，啟用自動輪替機制</w:t>
      </w:r>
    </w:p>
    <w:p>
      <w:pPr>
        <w:pStyle w:val="Heading3"/>
      </w:pPr>
      <w:r>
        <w:t>Secrets Manager 管理所有敏感憑證，避免硬編碼風險</w:t>
      </w:r>
    </w:p>
    <w:p>
      <w:pPr>
        <w:pStyle w:val="Heading3"/>
      </w:pPr>
      <w:r>
        <w:t>檔案儲存庫阻擋公開存取、強制 TLS 傳輸加密</w:t>
      </w:r>
    </w:p>
    <w:p>
      <w:pPr>
        <w:pStyle w:val="Heading3"/>
      </w:pPr>
      <w:r>
        <w:t>4.3 API 安全</w:t>
      </w:r>
    </w:p>
    <w:p>
      <w:pPr>
        <w:pStyle w:val="Heading3"/>
      </w:pPr>
      <w:r>
        <w:t>強制 TLS 1.2 安全傳輸策略</w:t>
      </w:r>
    </w:p>
    <w:p>
      <w:pPr>
        <w:pStyle w:val="Heading3"/>
      </w:pPr>
      <w:r>
        <w:t>邊緣驗證與安全標頭注入</w:t>
      </w:r>
    </w:p>
    <w:p>
      <w:pPr>
        <w:pStyle w:val="Heading3"/>
      </w:pPr>
      <w:r>
        <w:t>WAF 防護，速率限制、阻擋惡意請求、Anti-DDoS</w:t>
      </w:r>
    </w:p>
    <w:p>
      <w:pPr>
        <w:pStyle w:val="Heading3"/>
      </w:pPr>
      <w:r>
        <w:t>Content-Security-Policy（CSP）標頭注入</w:t>
      </w:r>
    </w:p>
    <w:p>
      <w:pPr>
        <w:pStyle w:val="Heading3"/>
      </w:pPr>
      <w:r>
        <w:t>4.4 監控與威脅偵測</w:t>
      </w:r>
    </w:p>
    <w:p>
      <w:pPr>
        <w:pStyle w:val="Heading3"/>
      </w:pPr>
      <w:r>
        <w:t>持續性威脅偵測服務</w:t>
      </w:r>
    </w:p>
    <w:p>
      <w:pPr>
        <w:pStyle w:val="Heading3"/>
      </w:pPr>
      <w:r>
        <w:t>統一安全態勢管理與合規檢查</w:t>
      </w:r>
    </w:p>
    <w:p>
      <w:pPr>
        <w:pStyle w:val="Heading3"/>
      </w:pPr>
      <w:r>
        <w:t>完整 API 呼叫稽核日誌</w:t>
      </w:r>
    </w:p>
    <w:p>
      <w:pPr>
        <w:pStyle w:val="Heading3"/>
      </w:pPr>
      <w:r>
        <w:t>全鏈路請求追蹤</w:t>
      </w:r>
    </w:p>
    <w:p>
      <w:pPr>
        <w:pStyle w:val="Heading3"/>
      </w:pPr>
      <w:r>
        <w:t>即時效能與異常監控</w:t>
      </w:r>
    </w:p>
    <w:p>
      <w:pPr>
        <w:pStyle w:val="Heading3"/>
      </w:pPr>
      <w:r>
        <w:t>4.5 入侵偵測與防禦</w:t>
      </w:r>
    </w:p>
    <w:p>
      <w:pPr>
        <w:pStyle w:val="Heading3"/>
      </w:pPr>
      <w:r>
        <w:t>採用多層次入侵偵測與防禦架構：</w:t>
      </w:r>
    </w:p>
    <w:p>
      <w:r>
        <w:t>持續分析網路流量與事件日誌，自動偵測可疑活動與潛在入侵行為</w:t>
      </w:r>
    </w:p>
    <w:p>
      <w:r>
        <w:t>完整網路層可視性，可追蹤異常連線與資料傳輸行為</w:t>
      </w:r>
    </w:p>
    <w:p>
      <w:r>
        <w:t>即時攔截惡意請求，包含 SQL Injection、XSS、異常請求頻率等攻擊模式</w:t>
      </w:r>
    </w:p>
    <w:p>
      <w:pPr>
        <w:pStyle w:val="Heading3"/>
      </w:pPr>
      <w:r>
        <w:t>4.6 存取控制</w:t>
      </w:r>
    </w:p>
    <w:p>
      <w:r>
        <w:t>系統層存取控制（IAM）</w:t>
      </w:r>
    </w:p>
    <w:p>
      <w:r>
        <w:t>嚴格遵循最小權限原則（Principle of Least Privilege）</w:t>
      </w:r>
    </w:p>
    <w:p>
      <w:r>
        <w:t>強制啟用 MFA 多因素驗證</w:t>
      </w:r>
    </w:p>
    <w:p>
      <w:r>
        <w:t>密碼管理：最低 12 字元、定期輪替、連續失敗鎖定帳戶</w:t>
      </w:r>
    </w:p>
    <w:p>
      <w:r>
        <w:t>定期進行帳戶盤點</w:t>
      </w:r>
    </w:p>
    <w:p>
      <w:r>
        <w:t>應用層存取控制（RBAC）</w:t>
      </w:r>
    </w:p>
    <w:p>
      <w:r>
        <w:t>租戶隔離之角色型存取控制（Role-Based Access Control）</w:t>
      </w:r>
    </w:p>
    <w:p>
      <w:r>
        <w:t>管理後台登入強制二階段驗證（OTP）</w:t>
      </w:r>
    </w:p>
    <w:p>
      <w:pPr>
        <w:pStyle w:val="Heading2"/>
      </w:pPr>
      <w:r>
        <w:t>五、系統排查報告</w:t>
      </w:r>
    </w:p>
    <w:p>
      <w:r>
        <w:t>本公司依循資訊安全與隱私管理規範，於事件發生後立即啟動系統性排查作業，參考以下內部管理程序：</w:t>
      </w:r>
    </w:p>
    <w:p>
      <w:r>
        <w:t>網路安全管理程序 — 網路分段、加密傳輸、IDS/IPS 部署規範</w:t>
      </w:r>
    </w:p>
    <w:p>
      <w:r>
        <w:t>存取控制管理程序 — 角色權限控管、最小權限原則、稽核軌跡記錄</w:t>
      </w:r>
    </w:p>
    <w:p>
      <w:r>
        <w:t>資訊安全事件管理程序 — 事件偵測、證據保全、根因分析</w:t>
      </w:r>
    </w:p>
    <w:p>
      <w:r>
        <w:t>個人資料管理程序 — 個資處理、隱私影響評估</w:t>
      </w:r>
    </w:p>
    <w:p>
      <w:r>
        <w:t>資訊安全事件通報及危機處理作業說明書 — 事件分級、通報流程、危機處理</w:t>
      </w:r>
    </w:p>
    <w:p>
      <w:r>
        <w:t>帳號及密碼管理要點 — 密碼強度、定期輪替、遠端存取雙因素驗證</w:t>
      </w:r>
    </w:p>
    <w:p>
      <w:r>
        <w:t>防火牆管理作業說明書 — Security Group 設定、預設拒絕規則、ACL 管控</w:t>
      </w:r>
    </w:p>
    <w:p>
      <w:r>
        <w:t>加密金鑰管理作業說明書 — KMS 管理、金鑰輪替、職責分離</w:t>
      </w:r>
    </w:p>
    <w:p>
      <w:pPr>
        <w:pStyle w:val="Heading3"/>
      </w:pPr>
      <w:r>
        <w:t>排查結果</w:t>
      </w:r>
    </w:p>
    <w:tbl>
      <w:tblPr>
        <w:tblW w:type="auto" w:w="0"/>
        <w:jc w:val="center"/>
        <w:tblLook w:firstColumn="1" w:firstRow="1" w:lastColumn="0" w:lastRow="0" w:noHBand="0" w:noVBand="1" w:val="04A0"/>
      </w:tblPr>
      <w:tblGrid>
        <w:gridCol w:w="2418"/>
        <w:gridCol w:w="2418"/>
        <w:gridCol w:w="2418"/>
        <w:gridCol w:w="2418"/>
      </w:tblGrid>
      <w:tr>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sz w:val="22"/>
              </w:rPr>
              <w:t>項次</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sz w:val="22"/>
              </w:rPr>
              <w:t>排查項目</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sz w:val="22"/>
              </w:rPr>
              <w:t>排查範圍</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sz w:val="22"/>
              </w:rPr>
              <w:t>結果</w:t>
            </w:r>
          </w:p>
        </w:tc>
      </w:tr>
      <w:tr>
        <w:tc>
          <w:tcPr>
            <w:tcW w:type="dxa" w:w="2418"/>
            <w:tcBorders>
              <w:top w:val="single" w:sz="4" w:space="0" w:color="000000"/>
              <w:bottom w:val="single" w:sz="4" w:space="0" w:color="000000"/>
              <w:left w:val="single" w:sz="4" w:space="0" w:color="000000"/>
              <w:right w:val="single" w:sz="4" w:space="0" w:color="000000"/>
            </w:tcBorders>
          </w:tcPr>
          <w:p>
            <w:pPr>
              <w:jc w:val="center"/>
            </w:pPr>
            <w:r/>
            <w:r>
              <w:rPr>
                <w:rFonts w:ascii="Kai" w:hAnsi="Kai" w:eastAsia="Kai"/>
                <w:b w:val="0"/>
                <w:sz w:val="22"/>
              </w:rPr>
              <w:t>1</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GuardDuty 威脅偵測紀錄</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系統威脅偵測</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無異常</w:t>
            </w:r>
          </w:p>
        </w:tc>
      </w:tr>
      <w:tr>
        <w:tc>
          <w:tcPr>
            <w:tcW w:type="dxa" w:w="2418"/>
            <w:tcBorders>
              <w:top w:val="single" w:sz="4" w:space="0" w:color="000000"/>
              <w:bottom w:val="single" w:sz="4" w:space="0" w:color="000000"/>
              <w:left w:val="single" w:sz="4" w:space="0" w:color="000000"/>
              <w:right w:val="single" w:sz="4" w:space="0" w:color="000000"/>
            </w:tcBorders>
          </w:tcPr>
          <w:p>
            <w:pPr>
              <w:jc w:val="center"/>
            </w:pPr>
            <w:r/>
            <w:r>
              <w:rPr>
                <w:rFonts w:ascii="Kai" w:hAnsi="Kai" w:eastAsia="Kai"/>
                <w:b w:val="0"/>
                <w:sz w:val="22"/>
              </w:rPr>
              <w:t>2</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GuardDuty IAM 異常連線偵測</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IAM 憑證異常存取</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無異常</w:t>
            </w:r>
          </w:p>
        </w:tc>
      </w:tr>
      <w:tr>
        <w:tc>
          <w:tcPr>
            <w:tcW w:type="dxa" w:w="2418"/>
            <w:tcBorders>
              <w:top w:val="single" w:sz="4" w:space="0" w:color="000000"/>
              <w:bottom w:val="single" w:sz="4" w:space="0" w:color="000000"/>
              <w:left w:val="single" w:sz="4" w:space="0" w:color="000000"/>
              <w:right w:val="single" w:sz="4" w:space="0" w:color="000000"/>
            </w:tcBorders>
          </w:tcPr>
          <w:p>
            <w:pPr>
              <w:jc w:val="center"/>
            </w:pPr>
            <w:r/>
            <w:r>
              <w:rPr>
                <w:rFonts w:ascii="Kai" w:hAnsi="Kai" w:eastAsia="Kai"/>
                <w:b w:val="0"/>
                <w:sz w:val="22"/>
              </w:rPr>
              <w:t>3</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Security Hub 安全態勢檢查</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統一安全合規狀態</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無異常發現</w:t>
            </w:r>
          </w:p>
        </w:tc>
      </w:tr>
      <w:tr>
        <w:tc>
          <w:tcPr>
            <w:tcW w:type="dxa" w:w="2418"/>
            <w:tcBorders>
              <w:top w:val="single" w:sz="4" w:space="0" w:color="000000"/>
              <w:bottom w:val="single" w:sz="4" w:space="0" w:color="000000"/>
              <w:left w:val="single" w:sz="4" w:space="0" w:color="000000"/>
              <w:right w:val="single" w:sz="4" w:space="0" w:color="000000"/>
            </w:tcBorders>
          </w:tcPr>
          <w:p>
            <w:pPr>
              <w:jc w:val="center"/>
            </w:pPr>
            <w:r/>
            <w:r>
              <w:rPr>
                <w:rFonts w:ascii="Kai" w:hAnsi="Kai" w:eastAsia="Kai"/>
                <w:b w:val="0"/>
                <w:sz w:val="22"/>
              </w:rPr>
              <w:t>4</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CloudTrail API 呼叫稽核</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全 API 存取紀錄</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無未授權存取</w:t>
            </w:r>
          </w:p>
        </w:tc>
      </w:tr>
      <w:tr>
        <w:tc>
          <w:tcPr>
            <w:tcW w:type="dxa" w:w="2418"/>
            <w:tcBorders>
              <w:top w:val="single" w:sz="4" w:space="0" w:color="000000"/>
              <w:bottom w:val="single" w:sz="4" w:space="0" w:color="000000"/>
              <w:left w:val="single" w:sz="4" w:space="0" w:color="000000"/>
              <w:right w:val="single" w:sz="4" w:space="0" w:color="000000"/>
            </w:tcBorders>
          </w:tcPr>
          <w:p>
            <w:pPr>
              <w:jc w:val="center"/>
            </w:pPr>
            <w:r/>
            <w:r>
              <w:rPr>
                <w:rFonts w:ascii="Kai" w:hAnsi="Kai" w:eastAsia="Kai"/>
                <w:b w:val="0"/>
                <w:sz w:val="22"/>
              </w:rPr>
              <w:t>5</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WAF 日誌分析</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Web 應用防火牆日誌</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無異常攻擊模式</w:t>
            </w:r>
          </w:p>
        </w:tc>
      </w:tr>
      <w:tr>
        <w:tc>
          <w:tcPr>
            <w:tcW w:type="dxa" w:w="2418"/>
            <w:tcBorders>
              <w:top w:val="single" w:sz="4" w:space="0" w:color="000000"/>
              <w:bottom w:val="single" w:sz="4" w:space="0" w:color="000000"/>
              <w:left w:val="single" w:sz="4" w:space="0" w:color="000000"/>
              <w:right w:val="single" w:sz="4" w:space="0" w:color="000000"/>
            </w:tcBorders>
          </w:tcPr>
          <w:p>
            <w:pPr>
              <w:jc w:val="center"/>
            </w:pPr>
            <w:r/>
            <w:r>
              <w:rPr>
                <w:rFonts w:ascii="Kai" w:hAnsi="Kai" w:eastAsia="Kai"/>
                <w:b w:val="0"/>
                <w:sz w:val="22"/>
              </w:rPr>
              <w:t>6</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Database 資料存取紀錄</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資料庫讀寫操作</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無異常查詢或匯出</w:t>
            </w:r>
          </w:p>
        </w:tc>
      </w:tr>
      <w:tr>
        <w:tc>
          <w:tcPr>
            <w:tcW w:type="dxa" w:w="2418"/>
            <w:tcBorders>
              <w:top w:val="single" w:sz="4" w:space="0" w:color="000000"/>
              <w:bottom w:val="single" w:sz="4" w:space="0" w:color="000000"/>
              <w:left w:val="single" w:sz="4" w:space="0" w:color="000000"/>
              <w:right w:val="single" w:sz="4" w:space="0" w:color="000000"/>
            </w:tcBorders>
          </w:tcPr>
          <w:p>
            <w:pPr>
              <w:jc w:val="center"/>
            </w:pPr>
            <w:r/>
            <w:r>
              <w:rPr>
                <w:rFonts w:ascii="Kai" w:hAnsi="Kai" w:eastAsia="Kai"/>
                <w:b w:val="0"/>
                <w:sz w:val="22"/>
              </w:rPr>
              <w:t>7</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Function 執行日誌</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全部函式執行紀錄</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無異常調用</w:t>
            </w:r>
          </w:p>
        </w:tc>
      </w:tr>
      <w:tr>
        <w:tc>
          <w:tcPr>
            <w:tcW w:type="dxa" w:w="2418"/>
            <w:tcBorders>
              <w:top w:val="single" w:sz="4" w:space="0" w:color="000000"/>
              <w:bottom w:val="single" w:sz="4" w:space="0" w:color="000000"/>
              <w:left w:val="single" w:sz="4" w:space="0" w:color="000000"/>
              <w:right w:val="single" w:sz="4" w:space="0" w:color="000000"/>
            </w:tcBorders>
          </w:tcPr>
          <w:p>
            <w:pPr>
              <w:jc w:val="center"/>
            </w:pPr>
            <w:r/>
            <w:r>
              <w:rPr>
                <w:rFonts w:ascii="Kai" w:hAnsi="Kai" w:eastAsia="Kai"/>
                <w:b w:val="0"/>
                <w:sz w:val="22"/>
              </w:rPr>
              <w:t>8</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Secrets Manager 存取紀錄</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機密資料存取</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無未授權存取</w:t>
            </w:r>
          </w:p>
        </w:tc>
      </w:tr>
      <w:tr>
        <w:tc>
          <w:tcPr>
            <w:tcW w:type="dxa" w:w="2418"/>
            <w:tcBorders>
              <w:top w:val="single" w:sz="4" w:space="0" w:color="000000"/>
              <w:bottom w:val="single" w:sz="4" w:space="0" w:color="000000"/>
              <w:left w:val="single" w:sz="4" w:space="0" w:color="000000"/>
              <w:right w:val="single" w:sz="4" w:space="0" w:color="000000"/>
            </w:tcBorders>
          </w:tcPr>
          <w:p>
            <w:pPr>
              <w:jc w:val="center"/>
            </w:pPr>
            <w:r/>
            <w:r>
              <w:rPr>
                <w:rFonts w:ascii="Kai" w:hAnsi="Kai" w:eastAsia="Kai"/>
                <w:b w:val="0"/>
                <w:sz w:val="22"/>
              </w:rPr>
              <w:t>9</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KMS 金鑰使用紀錄</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加密金鑰操作與存取</w:t>
            </w:r>
          </w:p>
        </w:tc>
        <w:tc>
          <w:tcPr>
            <w:tcW w:type="dxa" w:w="2418"/>
            <w:tcBorders>
              <w:top w:val="single" w:sz="4" w:space="0" w:color="000000"/>
              <w:bottom w:val="single" w:sz="4" w:space="0" w:color="000000"/>
              <w:left w:val="single" w:sz="4" w:space="0" w:color="000000"/>
              <w:right w:val="single" w:sz="4" w:space="0" w:color="000000"/>
            </w:tcBorders>
          </w:tcPr>
          <w:p>
            <w:r/>
            <w:r>
              <w:rPr>
                <w:rFonts w:ascii="Kai" w:hAnsi="Kai" w:eastAsia="Kai"/>
                <w:b w:val="0"/>
                <w:sz w:val="22"/>
              </w:rPr>
              <w:t>無未授權使用</w:t>
            </w:r>
          </w:p>
        </w:tc>
      </w:tr>
    </w:tbl>
    <w:p>
      <w:r>
        <w:t>排查結論：本公司系統於事件期間未發現任何異常存取、未授權操作或入侵跡象。</w:t>
      </w:r>
    </w:p>
    <w:p>
      <w:pPr>
        <w:pStyle w:val="Heading2"/>
      </w:pPr>
      <w:r>
        <w:t>六、結論</w:t>
      </w:r>
    </w:p>
    <w:p>
      <w:r>
        <w:t>Incident attribution confirmed: The breach occurred in the client's self-built internal system, completely unrelated to our cloud platform.</w:t>
      </w:r>
    </w:p>
    <w:p>
      <w:r>
        <w:t>System security confirmed: Full system audit found no anomalous access or intrusion indicators. All security monitoring metrics are normal.</w:t>
      </w:r>
    </w:p>
    <w:p>
      <w:r>
        <w:t>Independent architecture: Our system and the client's system are completely independent with no data exchange paths.</w:t>
      </w:r>
    </w:p>
    <w:p>
      <w:pPr>
        <w:pStyle w:val="Heading2"/>
      </w:pPr>
      <w:r>
        <w:t>七、後續措施</w:t>
      </w:r>
    </w:p>
    <w:p>
      <w:r>
        <w:t>Continuous monitoring: Maintaining 24/7 threat detection mechanisms.</w:t>
      </w:r>
    </w:p>
    <w:p>
      <w:r>
        <w:t>Notification completed: Internal incident notification procedures completed.</w:t>
      </w:r>
    </w:p>
    <w:p>
      <w:r>
        <w:t>Client advisory: Recommended the client conduct a security forensics investigation and notify affected individuals per the Personal Data Protection Act.</w:t>
      </w:r>
    </w:p>
    <w:p>
      <w:r>
        <w:t>Enhanced client data governance: Evaluating additional data governance clauses in service agreements.</w:t>
      </w:r>
    </w:p>
    <w:sectPr w:rsidR="00FC693F" w:rsidRPr="0006063C" w:rsidSect="00034616">
      <w:pgSz w:w="11906" w:h="16838"/>
      <w:pgMar w:top="822" w:right="1106" w:bottom="1389" w:left="11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